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62ED" w14:paraId="2E71636F" w14:textId="77777777" w:rsidTr="0010095E">
        <w:trPr>
          <w:trHeight w:hRule="exact" w:val="1418"/>
        </w:trPr>
        <w:tc>
          <w:tcPr>
            <w:tcW w:w="6804" w:type="dxa"/>
            <w:shd w:val="clear" w:color="auto" w:fill="auto"/>
            <w:vAlign w:val="center"/>
          </w:tcPr>
          <w:p w14:paraId="1F527820" w14:textId="77777777" w:rsidR="00751A4A" w:rsidRPr="000F62ED" w:rsidRDefault="00BC23B9" w:rsidP="0010095E">
            <w:pPr>
              <w:pStyle w:val="EPName"/>
            </w:pPr>
            <w:r w:rsidRPr="000F62ED">
              <w:t>Ευρωπαϊκό Κοινοβούλιο</w:t>
            </w:r>
          </w:p>
          <w:p w14:paraId="39D71D2C" w14:textId="77777777" w:rsidR="00751A4A" w:rsidRPr="000F62ED" w:rsidRDefault="005F1B17" w:rsidP="005F1B17">
            <w:pPr>
              <w:pStyle w:val="EPTerm"/>
              <w:rPr>
                <w:rStyle w:val="HideTWBExt"/>
                <w:noProof w:val="0"/>
                <w:vanish w:val="0"/>
                <w:color w:val="auto"/>
              </w:rPr>
            </w:pPr>
            <w:r w:rsidRPr="000F62ED">
              <w:t>2024</w:t>
            </w:r>
            <w:r w:rsidR="00817416" w:rsidRPr="000F62ED">
              <w:t>-202</w:t>
            </w:r>
            <w:r w:rsidRPr="000F62ED">
              <w:t>9</w:t>
            </w:r>
          </w:p>
        </w:tc>
        <w:tc>
          <w:tcPr>
            <w:tcW w:w="2268" w:type="dxa"/>
            <w:shd w:val="clear" w:color="auto" w:fill="auto"/>
          </w:tcPr>
          <w:p w14:paraId="0C86E7A5" w14:textId="77777777" w:rsidR="00751A4A" w:rsidRPr="000F62ED" w:rsidRDefault="00187494" w:rsidP="0010095E">
            <w:pPr>
              <w:pStyle w:val="EPLogo"/>
            </w:pPr>
            <w:r w:rsidRPr="000F62ED">
              <w:rPr>
                <w:noProof/>
                <w:lang w:eastAsia="ja-JP"/>
              </w:rPr>
              <w:drawing>
                <wp:inline distT="0" distB="0" distL="0" distR="0" wp14:anchorId="1B443679" wp14:editId="22EA72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05F88" w14:textId="77777777" w:rsidR="00D058B8" w:rsidRPr="000F62ED" w:rsidRDefault="00D058B8" w:rsidP="004C5D52">
      <w:pPr>
        <w:pStyle w:val="LineTop"/>
      </w:pPr>
    </w:p>
    <w:p w14:paraId="5C5DC5D0" w14:textId="77777777" w:rsidR="00680577" w:rsidRPr="000F62ED" w:rsidRDefault="00BC23B9" w:rsidP="00680577">
      <w:pPr>
        <w:pStyle w:val="EPBodyTA1"/>
      </w:pPr>
      <w:r w:rsidRPr="000F62ED">
        <w:t>ΚΕΙΜΕΝΑ ΠΟΥ ΕΓΚΡΙΘΗΚΑΝ</w:t>
      </w:r>
    </w:p>
    <w:p w14:paraId="147A9B80" w14:textId="77777777" w:rsidR="00D058B8" w:rsidRPr="000F62ED" w:rsidRDefault="00D058B8" w:rsidP="00D058B8">
      <w:pPr>
        <w:pStyle w:val="LineBottom"/>
      </w:pPr>
    </w:p>
    <w:p w14:paraId="3EAC364C" w14:textId="3DC5760B" w:rsidR="00BC23B9" w:rsidRPr="000F62ED" w:rsidRDefault="00BC23B9" w:rsidP="00BC23B9">
      <w:pPr>
        <w:pStyle w:val="ATHeading1"/>
      </w:pPr>
      <w:bookmarkStart w:id="0" w:name="TANumber"/>
      <w:r w:rsidRPr="000F62ED">
        <w:t>P10_TA(2025)0</w:t>
      </w:r>
      <w:r w:rsidR="000F62ED" w:rsidRPr="000F62ED">
        <w:t>228</w:t>
      </w:r>
      <w:bookmarkEnd w:id="0"/>
    </w:p>
    <w:p w14:paraId="6FABCF4F" w14:textId="589CBAF4" w:rsidR="00BC23B9" w:rsidRPr="000F62ED" w:rsidRDefault="00C924DD" w:rsidP="00BC23B9">
      <w:pPr>
        <w:pStyle w:val="ATHeading2"/>
      </w:pPr>
      <w:bookmarkStart w:id="1" w:name="title"/>
      <w:r w:rsidRPr="000F62ED">
        <w:t>Διαβουλεύσεις της Επιτροπής Αναφορών κατά το έτος 2024</w:t>
      </w:r>
      <w:bookmarkEnd w:id="1"/>
    </w:p>
    <w:p w14:paraId="2D3CF167" w14:textId="77777777" w:rsidR="00BC23B9" w:rsidRPr="000F62ED" w:rsidRDefault="00BC23B9" w:rsidP="00BC23B9">
      <w:pPr>
        <w:rPr>
          <w:i/>
          <w:vanish/>
        </w:rPr>
      </w:pPr>
      <w:r w:rsidRPr="000F62ED">
        <w:rPr>
          <w:i/>
        </w:rPr>
        <w:fldChar w:fldCharType="begin"/>
      </w:r>
      <w:r w:rsidRPr="000F62ED">
        <w:rPr>
          <w:i/>
        </w:rPr>
        <w:instrText xml:space="preserve"> TC"(</w:instrText>
      </w:r>
      <w:bookmarkStart w:id="2" w:name="DocNumber"/>
      <w:r w:rsidRPr="000F62ED">
        <w:rPr>
          <w:i/>
        </w:rPr>
        <w:instrText>A10-0170/2025</w:instrText>
      </w:r>
      <w:bookmarkEnd w:id="2"/>
      <w:r w:rsidRPr="000F62ED">
        <w:rPr>
          <w:i/>
        </w:rPr>
        <w:instrText xml:space="preserve"> - Εισηγητής: Φρέντης Μπελέρης)"\l3 \n&gt; \* MERGEFORMAT </w:instrText>
      </w:r>
      <w:r w:rsidRPr="000F62ED">
        <w:rPr>
          <w:i/>
        </w:rPr>
        <w:fldChar w:fldCharType="end"/>
      </w:r>
    </w:p>
    <w:p w14:paraId="1605BEE2" w14:textId="77777777" w:rsidR="00BC23B9" w:rsidRPr="000F62ED" w:rsidRDefault="00BC23B9" w:rsidP="00BC23B9">
      <w:pPr>
        <w:rPr>
          <w:vanish/>
        </w:rPr>
      </w:pPr>
      <w:bookmarkStart w:id="3" w:name="Commission"/>
      <w:r w:rsidRPr="000F62ED">
        <w:rPr>
          <w:vanish/>
        </w:rPr>
        <w:t>Επιτροπή Αναφορών</w:t>
      </w:r>
      <w:bookmarkEnd w:id="3"/>
    </w:p>
    <w:p w14:paraId="75789BFF" w14:textId="77777777" w:rsidR="00BC23B9" w:rsidRPr="000F62ED" w:rsidRDefault="00BC23B9" w:rsidP="00BC23B9">
      <w:pPr>
        <w:rPr>
          <w:vanish/>
        </w:rPr>
      </w:pPr>
      <w:bookmarkStart w:id="4" w:name="PE"/>
      <w:r w:rsidRPr="000F62ED">
        <w:rPr>
          <w:vanish/>
        </w:rPr>
        <w:t>PE773.363</w:t>
      </w:r>
      <w:bookmarkEnd w:id="4"/>
    </w:p>
    <w:p w14:paraId="2F0572CF" w14:textId="4353D67D" w:rsidR="00BC23B9" w:rsidRPr="000F62ED" w:rsidRDefault="00BC23B9" w:rsidP="00BC23B9">
      <w:pPr>
        <w:pStyle w:val="ATHeading3"/>
      </w:pPr>
      <w:bookmarkStart w:id="5" w:name="Sujet"/>
      <w:r w:rsidRPr="000F62ED">
        <w:t>Ψήφισμα του Ευρωπαϊκού Κοινοβουλίου</w:t>
      </w:r>
      <w:r w:rsidR="00C924DD" w:rsidRPr="000F62ED">
        <w:t xml:space="preserve"> της </w:t>
      </w:r>
      <w:r w:rsidR="00421B55" w:rsidRPr="000F62ED">
        <w:t>9</w:t>
      </w:r>
      <w:r w:rsidR="00C924DD" w:rsidRPr="000F62ED">
        <w:t>ης Οκτωβρίου 2025</w:t>
      </w:r>
      <w:r w:rsidRPr="000F62ED">
        <w:t xml:space="preserve"> σχετικά με τις διαβουλεύσεις της Επιτροπής Αναφορών κατά το έτος 2024</w:t>
      </w:r>
      <w:bookmarkEnd w:id="5"/>
      <w:r w:rsidRPr="000F62ED">
        <w:t xml:space="preserve"> </w:t>
      </w:r>
      <w:bookmarkStart w:id="6" w:name="References"/>
      <w:r w:rsidRPr="000F62ED">
        <w:t>(2025/2114(INI))</w:t>
      </w:r>
      <w:bookmarkEnd w:id="6"/>
    </w:p>
    <w:p w14:paraId="53B53898" w14:textId="77777777" w:rsidR="00511261" w:rsidRPr="000F62ED" w:rsidRDefault="00511261" w:rsidP="00511261">
      <w:pPr>
        <w:pStyle w:val="EPComma"/>
      </w:pPr>
      <w:r w:rsidRPr="000F62ED">
        <w:rPr>
          <w:i/>
        </w:rPr>
        <w:t>Το Ευρωπαϊκό Κοινοβούλιο</w:t>
      </w:r>
      <w:r w:rsidRPr="000F62ED">
        <w:t>,</w:t>
      </w:r>
    </w:p>
    <w:p w14:paraId="6A490545" w14:textId="77777777" w:rsidR="00511261" w:rsidRPr="000F62ED" w:rsidRDefault="00511261" w:rsidP="00C924DD">
      <w:pPr>
        <w:pStyle w:val="NormalHanging12a"/>
        <w:widowControl/>
      </w:pPr>
      <w:r w:rsidRPr="000F62ED">
        <w:t>–</w:t>
      </w:r>
      <w:r w:rsidRPr="000F62ED">
        <w:tab/>
        <w:t>έχοντας υπόψη τα προηγούμενα ψηφίσματά του σχετικά με τις διαβουλεύσεις της Επιτροπής Αναφορών,</w:t>
      </w:r>
    </w:p>
    <w:p w14:paraId="0E5C110B" w14:textId="77777777" w:rsidR="00511261" w:rsidRPr="000F62ED" w:rsidRDefault="00511261" w:rsidP="00C924DD">
      <w:pPr>
        <w:pStyle w:val="NormalHanging12a"/>
        <w:widowControl/>
      </w:pPr>
      <w:r w:rsidRPr="000F62ED">
        <w:t>–</w:t>
      </w:r>
      <w:r w:rsidRPr="000F62ED">
        <w:tab/>
        <w:t>έχοντας υπόψη τα άρθρα 10 και 11 της Συνθήκης για την Ευρωπαϊκή Ένωση,</w:t>
      </w:r>
    </w:p>
    <w:p w14:paraId="7D0698D3" w14:textId="77777777" w:rsidR="00511261" w:rsidRPr="000F62ED" w:rsidRDefault="00511261" w:rsidP="00C924DD">
      <w:pPr>
        <w:pStyle w:val="NormalHanging12a"/>
        <w:widowControl/>
      </w:pPr>
      <w:r w:rsidRPr="000F62ED">
        <w:t>–</w:t>
      </w:r>
      <w:r w:rsidRPr="000F62ED">
        <w:tab/>
        <w:t>έχοντας υπόψη τα άρθρα 20, 24 και 227 της Συνθήκης για τη λειτουργία της Ευρωπαϊκής Ένωσης (ΣΛΕΕ) σχετικά με το δικαίωμα των πολιτών και των κατοίκων της ΕΕ να υποβάλλουν αναφορά στο Ευρωπαϊκό Κοινοβούλιο,</w:t>
      </w:r>
    </w:p>
    <w:p w14:paraId="0121E1F3" w14:textId="77777777" w:rsidR="00511261" w:rsidRPr="000F62ED" w:rsidRDefault="00511261" w:rsidP="00C924DD">
      <w:pPr>
        <w:pStyle w:val="NormalHanging12a"/>
        <w:widowControl/>
      </w:pPr>
      <w:r w:rsidRPr="000F62ED">
        <w:t>–</w:t>
      </w:r>
      <w:r w:rsidRPr="000F62ED">
        <w:tab/>
        <w:t>έχοντας υπόψη το άρθρο 228 ΣΛΕΕ σχετικά με τον ρόλο και τις λειτουργίες του Ευρωπαίου Διαμεσολαβητή,</w:t>
      </w:r>
    </w:p>
    <w:p w14:paraId="0BE5CE2B" w14:textId="77777777" w:rsidR="00511261" w:rsidRPr="000F62ED" w:rsidRDefault="00511261" w:rsidP="00C924DD">
      <w:pPr>
        <w:pStyle w:val="NormalHanging12a"/>
        <w:widowControl/>
      </w:pPr>
      <w:r w:rsidRPr="000F62ED">
        <w:t>–</w:t>
      </w:r>
      <w:r w:rsidRPr="000F62ED">
        <w:tab/>
        <w:t>έχοντας υπόψη το άρθρο 44 του Χάρτη των Θεμελιωδών Δικαιωμάτων της Ευρωπαϊκής Ένωσης σχετικά με το δικαίωμα υποβολής αναφοράς στο Ευρωπαϊκό Κοινοβούλιο,</w:t>
      </w:r>
    </w:p>
    <w:p w14:paraId="0A230584" w14:textId="77777777" w:rsidR="00511261" w:rsidRPr="000F62ED" w:rsidRDefault="00511261" w:rsidP="00C924DD">
      <w:pPr>
        <w:pStyle w:val="NormalHanging12a"/>
        <w:widowControl/>
      </w:pPr>
      <w:r w:rsidRPr="000F62ED">
        <w:t>–</w:t>
      </w:r>
      <w:r w:rsidRPr="000F62ED">
        <w:tab/>
        <w:t xml:space="preserve">έχοντας υπόψη τις διατάξεις της ΣΛΕΕ σχετικά με τη διαδικασία επί </w:t>
      </w:r>
      <w:proofErr w:type="spellStart"/>
      <w:r w:rsidRPr="000F62ED">
        <w:t>παραβάσει</w:t>
      </w:r>
      <w:proofErr w:type="spellEnd"/>
      <w:r w:rsidRPr="000F62ED">
        <w:t xml:space="preserve"> και συγκεκριμένα τα άρθρα 258 και 260,</w:t>
      </w:r>
    </w:p>
    <w:p w14:paraId="7C975947" w14:textId="77777777" w:rsidR="00511261" w:rsidRPr="000F62ED" w:rsidRDefault="00511261" w:rsidP="00C924DD">
      <w:pPr>
        <w:pStyle w:val="NormalHanging12a"/>
        <w:widowControl/>
      </w:pPr>
      <w:r w:rsidRPr="000F62ED">
        <w:t>–</w:t>
      </w:r>
      <w:r w:rsidRPr="000F62ED">
        <w:tab/>
        <w:t>έχοντας υπόψη το άρθρο 55 και το άρθρο 233 παράγραφος 7 του Κανονισμού του,</w:t>
      </w:r>
    </w:p>
    <w:p w14:paraId="5548E374" w14:textId="77777777" w:rsidR="00511261" w:rsidRPr="000F62ED" w:rsidRDefault="00511261" w:rsidP="00C924DD">
      <w:pPr>
        <w:pStyle w:val="NormalHanging12a"/>
        <w:widowControl/>
      </w:pPr>
      <w:r w:rsidRPr="000F62ED">
        <w:t>–</w:t>
      </w:r>
      <w:r w:rsidRPr="000F62ED">
        <w:tab/>
        <w:t>έχοντας υπόψη την έκθεση της Επιτροπής Αναφορών (A10-0170/2025),</w:t>
      </w:r>
    </w:p>
    <w:p w14:paraId="684AB586" w14:textId="7C291FF2" w:rsidR="00511261" w:rsidRPr="000F62ED" w:rsidRDefault="00511261" w:rsidP="00C924DD">
      <w:pPr>
        <w:pStyle w:val="NormalHanging12a"/>
        <w:widowControl/>
      </w:pPr>
      <w:r w:rsidRPr="000F62ED">
        <w:t>Α.</w:t>
      </w:r>
      <w:r w:rsidRPr="000F62ED">
        <w:tab/>
        <w:t>λαμβάνοντας υπόψη ότι μετά τις ευρωπαϊκές εκλογές, οι οποίες διεξήχθησαν από τις 6</w:t>
      </w:r>
      <w:r w:rsidR="00C924DD" w:rsidRPr="000F62ED">
        <w:t> </w:t>
      </w:r>
      <w:r w:rsidRPr="000F62ED">
        <w:t xml:space="preserve">έως τις 9 Ιουνίου 2024, και τη σύσταση του νέου Κοινοβουλίου στις 16 Ιουλίου 2024, η Επιτροπή Αναφορών πραγματοποίησε τη συνεδρίασή της για συγκρότηση σε Σώμα στις 23 Ιουλίου 2024· </w:t>
      </w:r>
    </w:p>
    <w:p w14:paraId="1522D476" w14:textId="77777777" w:rsidR="00511261" w:rsidRPr="000F62ED" w:rsidRDefault="00511261" w:rsidP="00C924DD">
      <w:pPr>
        <w:pStyle w:val="NormalHanging12a"/>
        <w:widowControl/>
      </w:pPr>
      <w:r w:rsidRPr="000F62ED">
        <w:t>Β.</w:t>
      </w:r>
      <w:r w:rsidRPr="000F62ED">
        <w:tab/>
        <w:t>λαμβάνοντας υπόψη ότι σκοπός της ετήσιας έκθεσης σχετικά με τις διαβουλεύσεις της Επιτροπής Αναφορών είναι να παρουσιάσει μια ανάλυση των αναφορών που ελήφθησαν το 2024 και των σχέσεων με άλλα θεσμικά όργανα, καθώς και να παράσχει μια ακριβή εικόνα των στόχων που επιτεύχθηκαν κατά το έτος 2024·</w:t>
      </w:r>
    </w:p>
    <w:p w14:paraId="743D733A" w14:textId="77777777" w:rsidR="00511261" w:rsidRPr="000F62ED" w:rsidRDefault="00511261" w:rsidP="00C924DD">
      <w:pPr>
        <w:pStyle w:val="NormalHanging12a"/>
        <w:widowControl/>
      </w:pPr>
      <w:r w:rsidRPr="000F62ED">
        <w:lastRenderedPageBreak/>
        <w:t>Γ.</w:t>
      </w:r>
      <w:r w:rsidRPr="000F62ED">
        <w:tab/>
        <w:t>λαμβάνοντας υπόψη ότι το 2024 το Κοινοβούλιο έλαβε 1 518 αναφορές, αριθμός που αντιστοιχεί σε αύξηση κατά 4,3 % συγκριτικά με τις 1 452 αναφορές που έλαβε το 2023 και κατά 19,8 % συγκριτικά με τις 1 217 αναφορές που έλαβε το 2022· λαμβάνοντας υπόψη ότι ο συνολικός αριθμός των αναφορών που ελήφθησαν εξακολουθεί να είναι αισθητά χαμηλότερος από τις κορυφώσεις του που σημειώθηκαν το 2013 και το 2014, όπου το Κοινοβούλιο έλαβε 2 891 και 2 715 αναφορές αντίστοιχα·</w:t>
      </w:r>
    </w:p>
    <w:p w14:paraId="747A7965" w14:textId="77777777" w:rsidR="00511261" w:rsidRPr="000F62ED" w:rsidRDefault="00511261" w:rsidP="00C924DD">
      <w:pPr>
        <w:pStyle w:val="NormalHanging12a"/>
        <w:widowControl/>
      </w:pPr>
      <w:r w:rsidRPr="000F62ED">
        <w:t>Δ.</w:t>
      </w:r>
      <w:r w:rsidRPr="000F62ED">
        <w:tab/>
        <w:t>λαμβάνοντας υπόψη ότι το 2024, 15 661 χρήστες υποστήριξαν αναφορές στη διαδικτυακή πύλη αναφορών του Κοινοβουλίου, σημειώνοντας σημαντική μείωση σε σύγκριση με 26 331 το 2023 και 22 441 το 2022· λαμβάνοντας υπόψη ότι ο αριθμός των κλικ υποστήριξης μειώθηκε επίσης σε 17 745 το 2024, σε σύγκριση με 29 287 το 2023 και 27 927 το 2022·</w:t>
      </w:r>
    </w:p>
    <w:p w14:paraId="19900550" w14:textId="77777777" w:rsidR="00511261" w:rsidRPr="000F62ED" w:rsidRDefault="00511261" w:rsidP="00C924DD">
      <w:pPr>
        <w:pStyle w:val="NormalHanging12a"/>
        <w:widowControl/>
      </w:pPr>
      <w:r w:rsidRPr="000F62ED">
        <w:t>Ε.</w:t>
      </w:r>
      <w:r w:rsidRPr="000F62ED">
        <w:tab/>
        <w:t xml:space="preserve">λαμβάνοντας υπόψη ότι ο συνολικός αριθμός των αναφορών παραμένει χαμηλός σε σχέση με τον συνολικό πληθυσμό της ΕΕ, γεγονός που μαρτυρά ότι πρέπει να ενταθούν οι προσπάθειες για την ενημέρωση των πολιτών σχετικά με το δικαίωμά αναφοράς που διαθέτουν και την ενδεχόμενη χρησιμότητα των αναφορών ως μέσου με το οποίο εφίσταται η προσοχή των θεσμικών οργάνων της ΕΕ και των κρατών μελών σε θέματα που επηρεάζουν και αφορούν άμεσα τους πολίτες· λαμβάνοντας υπόψη ότι η Επιτροπή Αναφορών, η οποία είναι πολύ δημοφιλής μεταξύ των νέων σε εκδηλώσεις όπως η Ευρωπαϊκή Εκδήλωση για τη Νεολαία (EΕΝ) στο Στρασβούργο, συνιστά αποτελεσματικό μέσο για την προώθηση αυτού του δικαιώματος και την ευαισθητοποίηση των πολιτών, ιδίως των νεότερων γενεών, σχετικά με τη σημασία του· λαμβάνοντας υπόψη ότι, κατά συνέπεια, είναι σημαντικό να διασφαλιστεί η ενεργός και συστηματική παρουσία της Επιτροπής Αναφορών σε κάθε διοργάνωση της ΕΕΝ, προκειμένου να αυξηθεί η προβολή και η </w:t>
      </w:r>
      <w:proofErr w:type="spellStart"/>
      <w:r w:rsidRPr="000F62ED">
        <w:t>προσιτότητά</w:t>
      </w:r>
      <w:proofErr w:type="spellEnd"/>
      <w:r w:rsidRPr="000F62ED">
        <w:t xml:space="preserve"> της· λαμβάνοντας υπόψη ότι, ασκώντας το δικαίωμά τους να υποβάλουν αναφορά, οι πολίτες προσδοκούν ότι η εξεύρεση λύσης στα προβλήματά τους από τα θεσμικά όργανα της ΕΕ θα έχει προστιθέμενη αξία· λαμβάνοντας υπόψη ότι το δικαίωμα αναφοράς πρέπει επίσης να προάγει θεμελιώδεις αρχές, όπως η χρηστή διοίκηση των ευρωπαϊκών θεσμικών οργάνων, η ελευθερία της έκφρασης και ο σεβασμός της δημοκρατικής έκφρασης·</w:t>
      </w:r>
    </w:p>
    <w:p w14:paraId="45289E03" w14:textId="77777777" w:rsidR="00511261" w:rsidRPr="000F62ED" w:rsidRDefault="00511261" w:rsidP="00C924DD">
      <w:pPr>
        <w:pStyle w:val="NormalHanging12a"/>
        <w:widowControl/>
      </w:pPr>
      <w:r w:rsidRPr="000F62ED">
        <w:t>ΣΤ.</w:t>
      </w:r>
      <w:r w:rsidRPr="000F62ED">
        <w:tab/>
        <w:t>λαμβάνοντας υπόψη ότι τα κριτήρια για το παραδεκτό των αναφορών ορίζονται στο άρθρο 227 ΣΛΕΕ και στο άρθρο 232 παράγραφος 1 του Κανονισμού του Κοινοβουλίου, σύμφωνα με τα οποία οι αναφορές πρέπει να υποβάλλονται από πολίτη της ΕΕ ή από φυσικό ή νομικό πρόσωπο, είτε ατομικά είτε από κοινού με άλλους, το οποίο κατοικεί ή έχει την καταστατική έδρα του σε κράτος μέλος, για θέματα που εμπίπτουν στους τομείς δραστηριότητας της ΕΕ και τα οποία αφορούν άμεσα τους αναφέροντες, με την τελευταία προϋπόθεση να έχει πολύ ευρεία ερμηνεία·</w:t>
      </w:r>
    </w:p>
    <w:p w14:paraId="4242ABA9" w14:textId="77777777" w:rsidR="00511261" w:rsidRPr="000F62ED" w:rsidRDefault="00511261" w:rsidP="00C924DD">
      <w:pPr>
        <w:pStyle w:val="NormalHanging12a"/>
        <w:widowControl/>
      </w:pPr>
      <w:r w:rsidRPr="000F62ED">
        <w:t>Ζ.</w:t>
      </w:r>
      <w:r w:rsidRPr="000F62ED">
        <w:tab/>
        <w:t xml:space="preserve">λαμβάνοντας υπόψη ότι, από τις 1 518 αναφορές που υποβλήθηκαν το 2024, οι 611 χαρακτηρίστηκαν μη παραδεκτές, ενώ 31 αποσύρθηκαν· λαμβάνοντας υπόψη ότι το υψηλό και αυξανόμενο ποσοστό των μη παραδεκτών αναφορών το 2024 (40,25 %) επιβεβαιώνει ότι εξακολουθεί να υπάρχει ευρεία έλλειψη κατανόησης σχετικά με το εύρος των τομέων αρμοδιότητας της ΕΕ· λαμβάνοντας υπόψη ότι, για να μειωθεί ο αριθμός των μη παραδεκτών αναφορών, πρέπει να ενταθούν οι προσπάθειες για την περαιτέρω αποσαφήνιση του εύρους των τομέων δραστηριότητας της ΕΕ· </w:t>
      </w:r>
    </w:p>
    <w:p w14:paraId="12C052AE" w14:textId="77777777" w:rsidR="00511261" w:rsidRPr="000F62ED" w:rsidRDefault="00511261" w:rsidP="00C924DD">
      <w:pPr>
        <w:pStyle w:val="NormalHanging12a"/>
        <w:widowControl/>
      </w:pPr>
      <w:r w:rsidRPr="000F62ED">
        <w:t>Η.</w:t>
      </w:r>
      <w:r w:rsidRPr="000F62ED">
        <w:tab/>
        <w:t xml:space="preserve">λαμβάνοντας υπόψη ότι το δικαίωμα αναφοράς στο Κοινοβούλιο αποτελεί θεμελιώδες δικαίωμα των πολιτών της ΕΕ, προσφέροντας τόσο στους πολίτες όσο και στους κατοίκους έναν ανοικτό, δημοκρατικό και διαφανή μηχανισμό για άμεση επικοινωνία </w:t>
      </w:r>
      <w:r w:rsidRPr="000F62ED">
        <w:lastRenderedPageBreak/>
        <w:t>με τους εκλεγμένους αντιπροσώπους τους· λαμβάνοντας υπόψη ότι πολλά άτομα με αναπηρία δεν έχουν ισότιμη πρόσβαση σε πληροφορίες και στην επικοινωνία λόγω της περιορισμένης διαθεσιμότητας προσβάσιμων μορφοτύπων και διότι οι εθνικές νοηματικές γλώσσες δεν αναγνωρίζονται ως στοιχείο της πολυγλωσσίας της ΕΕ· λαμβάνοντας υπόψη ότι αυτό το βασικό εργαλείο παρέχει στους πολίτες τη δυνατότητα να συμμετέχουν ενεργά και αποτελεσματικά στη ζωή της Ένωσης· λαμβάνοντας υπόψη ότι, μέσω των αναφορών, οι πολίτες της ΕΕ μπορούν να καταγγέλλουν ελλείψεις στην εφαρμογή του ενωσιακού δικαίου και να συμβάλλουν στον εντοπισμό παραβιάσεων του ενωσιακού δικαίου, με παράλληλο σεβασμό της κυριαρχίας των κρατών μελών και της εφαρμογής των Συνθηκών της ΕΕ·</w:t>
      </w:r>
    </w:p>
    <w:p w14:paraId="7730A058" w14:textId="77777777" w:rsidR="00511261" w:rsidRPr="000F62ED" w:rsidRDefault="00511261" w:rsidP="00C924DD">
      <w:pPr>
        <w:pStyle w:val="NormalHanging12a"/>
        <w:widowControl/>
      </w:pPr>
      <w:r w:rsidRPr="000F62ED">
        <w:t>Θ.</w:t>
      </w:r>
      <w:r w:rsidRPr="000F62ED">
        <w:tab/>
        <w:t>λαμβάνοντας υπόψη ότι το Ευρωπαϊκό Κοινοβούλιο πρωτοστατεί από καιρό στην εξέλιξη της διαδικασίας αναφορών διεθνώς και διαθέτει το πιο ανοικτό και διαφανές σύστημα στην Ευρώπη, παρέχοντας στους αναφέροντες τη δυνατότητα να συμμετέχουν πλήρως στις δραστηριότητές του· λαμβάνοντας υπόψη ότι η διαδικτυακή πλατφόρμα υποβολής αναφορών θα μπορούσε να γίνει πιο εύχρηστη ώστε να διευκολυνθεί η πλοήγηση των χρηστών· λαμβάνοντας υπόψη ότι η ενσωμάτωση τεχνολογιών τεχνητής νοημοσύνης θα μπορούσε να απλουστεύσει την αναζήτηση και να βελτιώσει την προσβασιμότητα των αναφορών, προσφέροντας πιο προηγμένες λειτουργίες σε σύγκριση με τις υφιστάμενες στην τρέχουσα μορφή·</w:t>
      </w:r>
    </w:p>
    <w:p w14:paraId="1F844695" w14:textId="77777777" w:rsidR="00511261" w:rsidRPr="000F62ED" w:rsidRDefault="00511261" w:rsidP="00C924DD">
      <w:pPr>
        <w:pStyle w:val="NormalHanging12a"/>
        <w:widowControl/>
      </w:pPr>
      <w:r w:rsidRPr="000F62ED">
        <w:t>Ι.</w:t>
      </w:r>
      <w:r w:rsidRPr="000F62ED">
        <w:tab/>
        <w:t>λαμβάνοντας υπόψη ότι η Επιτροπή Αναφορών υπογραμμίζει τη σημασία της αυξημένης διαφάνειας κατά τον χειρισμό των αναφορών, συμπεριλαμβανομένων της συστηματικής ανατροφοδότησης προς τους αναφέροντες σε βασικά στάδια της διαδικασίας και ενός σαφούς χρονοδιαγράμματος για τις επακόλουθες ενέργειες από τα θεσμικά όργανα της ΕΕ·</w:t>
      </w:r>
    </w:p>
    <w:p w14:paraId="30948A49" w14:textId="77777777" w:rsidR="00511261" w:rsidRPr="000F62ED" w:rsidRDefault="00511261" w:rsidP="00C924DD">
      <w:pPr>
        <w:pStyle w:val="NormalHanging12a"/>
        <w:widowControl/>
      </w:pPr>
      <w:r w:rsidRPr="000F62ED">
        <w:t>ΙΑ.</w:t>
      </w:r>
      <w:r w:rsidRPr="000F62ED">
        <w:tab/>
        <w:t>λαμβάνοντας υπόψη ότι οι δραστηριότητες της Επιτροπής Αναφορών βασίζονται στα σχόλια των αναφερόντων και στις πληροφορίες που αυτοί παρέχουν· λαμβάνοντας υπόψη ότι οι πληροφορίες αυτές και η εμπειρογνωσία της Επιτροπής, των κρατών μελών και άλλων φορέων είναι ουσιαστικής σημασίας για το έργο της Επιτροπής Αναφορών· λαμβάνοντας υπόψη ότι οι παραδεκτές αναφορές συχνά παρέχουν πολύτιμα σχόλια για το έργο άλλων κοινοβουλευτικών επιτροπών· λαμβάνοντας υπόψη ότι, επομένως, οι αναφορές μπορούν να συμβάλλουν και στη νομοθετική διαδικασία, παρέχοντας συγκεκριμένες πληροφορίες σχετικά με τον αντίκτυπο των πολιτικών της ΕΕ και επιτρέποντας έτσι την αντιμετώπιση αναδυόμενων αναγκών κατά τη χάραξη των πολιτικών·</w:t>
      </w:r>
    </w:p>
    <w:p w14:paraId="4D89E949" w14:textId="77777777" w:rsidR="00511261" w:rsidRPr="000F62ED" w:rsidRDefault="00511261" w:rsidP="00C924DD">
      <w:pPr>
        <w:pStyle w:val="NormalHanging12a"/>
        <w:widowControl/>
      </w:pPr>
      <w:r w:rsidRPr="000F62ED">
        <w:t>ΙΒ.</w:t>
      </w:r>
      <w:r w:rsidRPr="000F62ED">
        <w:tab/>
        <w:t>λαμβάνοντας υπόψη ότι το δικαίωμα αναφοράς ενισχύει την ικανότητα ανταπόκρισης του Κοινοβουλίου σε καταγγελίες και ανησυχίες σχετικά με τον σεβασμό των θεμελιωδών δικαιωμάτων της ΕΕ και τη συμμόρφωση με την ενωσιακή νομοθεσία στα κράτη μέλη· λαμβάνοντας υπόψη ότι οι αναφορές μπορούν να αποτελέσουν χρήσιμη πηγή πληροφοριών σχετικά με περιπτώσεις εσφαλμένης εφαρμογής ή παραβάσεων του δικαίου της ΕΕ και επιτρέπουν στο Κοινοβούλιο και σε άλλα θεσμικά όργανα να αξιολογούν τη μεταφορά και την εφαρμογή του δικαίου της ΕΕ καθώς και τον αντίκτυπό του στα δικαιώματα των πολιτών και των κατοίκων της ΕΕ·</w:t>
      </w:r>
    </w:p>
    <w:p w14:paraId="3EC77C65" w14:textId="77777777" w:rsidR="00511261" w:rsidRPr="000F62ED" w:rsidRDefault="00511261" w:rsidP="00C924DD">
      <w:pPr>
        <w:pStyle w:val="NormalHanging12a"/>
        <w:widowControl/>
      </w:pPr>
      <w:r w:rsidRPr="000F62ED">
        <w:t>ΙΓ.</w:t>
      </w:r>
      <w:r w:rsidRPr="000F62ED">
        <w:tab/>
        <w:t xml:space="preserve">λαμβάνοντας υπόψη ότι κάθε αναφορά εξετάζεται και αντιμετωπίζεται με προσοχή, αποτελεσματικότητα και διαφάνεια· λαμβάνοντας υπόψη ότι όλοι οι αναφέροντες έχουν το δικαίωμα να λάβουν πληροφορίες σχετικά με την απόφαση επί του παραδεκτού που έλαβε η Επιτροπή Αναφορών και τη συνέχεια που δόθηκε στην εξέταση της αναφοράς, </w:t>
      </w:r>
      <w:r w:rsidRPr="000F62ED">
        <w:lastRenderedPageBreak/>
        <w:t>μέσα σε εύλογο χρονικό διάστημα και στη γλώσσα τους ή στη γλώσσα στην οποία συντάχθηκε η αναφορά· λαμβάνοντας υπόψη ότι η αναφορά αριθ. 1056/2016 που συζητήθηκε στις 19 Μαρτίου 2024 ζητεί από το Κοινοβούλιο να επιτρέψει την υποβολή αναφορών στις εθνικές νοηματικές γλώσσες που χρησιμοποιούνται στην ΕΕ·</w:t>
      </w:r>
    </w:p>
    <w:p w14:paraId="05FC1798" w14:textId="77777777" w:rsidR="00511261" w:rsidRPr="000F62ED" w:rsidRDefault="00511261" w:rsidP="00C924DD">
      <w:pPr>
        <w:pStyle w:val="NormalHanging12a"/>
        <w:widowControl/>
      </w:pPr>
      <w:r w:rsidRPr="000F62ED">
        <w:t>ΙΔ.</w:t>
      </w:r>
      <w:r w:rsidRPr="000F62ED">
        <w:tab/>
        <w:t>λαμβάνοντας υπόψη ότι η Επιτροπή Αναφορών αποδίδει ύψιστη σημασία στην εξέταση των αναφορών και τη σχετική με αυτές δημόσια συζήτηση κατά τις συνεδριάσεις της· λαμβάνοντας υπόψη ότι οι αναφέροντες έχουν το δικαίωμα να παρουσιάσουν οι ίδιοι τις αναφορές τους στις συνεδριάσεις της Επιτροπής Αναφορών, όπου συχνά μάλιστα λαμβάνουν τον λόγο, συμβάλλοντας έτσι ενεργά στο έργο της· λαμβάνοντας υπόψη ότι το 2024, η Επιτροπή Αναφορών πραγματοποίησε οκτώ συνεδριάσεις, πέραν της συνεδρίασης για τη συγκρότησή της, κατά τις οποίες εξετάσθηκαν 106 αναφορές παρουσία 106 αναφερόντων που συμμετείχαν ενεργά λαμβάνοντας τον λόγο·</w:t>
      </w:r>
    </w:p>
    <w:p w14:paraId="3321E116" w14:textId="77777777" w:rsidR="00511261" w:rsidRPr="000F62ED" w:rsidRDefault="00511261" w:rsidP="00C924DD">
      <w:pPr>
        <w:pStyle w:val="NormalHanging12a"/>
        <w:widowControl/>
      </w:pPr>
      <w:r w:rsidRPr="000F62ED">
        <w:t>ΙΕ.</w:t>
      </w:r>
      <w:r w:rsidRPr="000F62ED">
        <w:tab/>
        <w:t>λαμβάνοντας υπόψη ότι τα κύρια επίμαχα θέματα των αναφορών που υποβλήθηκαν το 2024 αφορούσαν το περιβάλλον, τα θεμελιώδη δικαιώματα, το κράτος δικαίου (συμπεριλαμβανομένου του δικαιώματος χρηστής διοίκησης, το δικαίωμα πρόσβασης σε έγγραφα και την ελευθερία έκφρασης και πληροφόρησης), την εσωτερική αγορά, τη δικαιοσύνη, τα δικαιώματα των καταναλωτών και την υγεία·</w:t>
      </w:r>
    </w:p>
    <w:p w14:paraId="35C4CBAE" w14:textId="77777777" w:rsidR="00511261" w:rsidRPr="000F62ED" w:rsidRDefault="00511261" w:rsidP="00C924DD">
      <w:pPr>
        <w:pStyle w:val="NormalHanging12a"/>
        <w:widowControl/>
      </w:pPr>
      <w:r w:rsidRPr="000F62ED">
        <w:t>ΙΣΤ.</w:t>
      </w:r>
      <w:r w:rsidRPr="000F62ED">
        <w:tab/>
        <w:t>λαμβάνοντας υπόψη ότι η Επιτροπή Αναφορών, κατά την έγκριση της ημερήσιας διάταξης των συνεδριάσεών της, προσπαθεί να συζητά αναφορές και θέματα υψηλής σημασίας για συζήτηση σε επίπεδο ΕΕ και λαμβάνει υπόψη την ανάγκη διατήρησης μιας ισορροπημένης γεωγραφικής κάλυψης αναλογικά προς τις ληφθείσες αναφορές·</w:t>
      </w:r>
    </w:p>
    <w:p w14:paraId="59C69F03" w14:textId="77777777" w:rsidR="00511261" w:rsidRPr="000F62ED" w:rsidRDefault="00511261" w:rsidP="00C924DD">
      <w:pPr>
        <w:pStyle w:val="NormalHanging12a"/>
        <w:widowControl/>
      </w:pPr>
      <w:r w:rsidRPr="000F62ED">
        <w:t>ΙΖ.</w:t>
      </w:r>
      <w:r w:rsidRPr="000F62ED">
        <w:tab/>
        <w:t>λαμβάνοντας υπόψη ότι το 82 % των αναφορών που έλαβε το Κοινοβούλιο το 2024 υποβλήθηκαν μέσω της διαδικτυακής πύλης αναφορών του Κοινοβουλίου, ποσοστό σχεδόν ίδιο με εκείνο του 2023, που ήταν 82,4 %, γεγονός που επιβεβαιώνει ότι η διαδικτυακή πύλη αποτελεί μακράν τον πλέον χρησιμοποιούμενο δίαυλο από τους πολίτες για την υποβολή αναφορών στο Κοινοβούλιο·</w:t>
      </w:r>
    </w:p>
    <w:p w14:paraId="33CF16E6" w14:textId="77777777" w:rsidR="00511261" w:rsidRPr="000F62ED" w:rsidRDefault="00511261" w:rsidP="00C924DD">
      <w:pPr>
        <w:pStyle w:val="NormalHanging12a"/>
        <w:widowControl/>
      </w:pPr>
      <w:r w:rsidRPr="000F62ED">
        <w:t>ΙΗ.</w:t>
      </w:r>
      <w:r w:rsidRPr="000F62ED">
        <w:tab/>
        <w:t>λαμβάνοντας υπόψη ότι η επικαιροποιημένη διαδικτυακή πύλη αναφορών δημοσιεύει αυτόματα πληροφορίες σχετικά με την έγκριση αναφορών και τις αλλαγές στην κατάστασή τους, πρόσθετες πληροφορίες (π.χ. χώρα, θέματα), καθώς και περιλήψεις και στις 24 επίσημες γλώσσες της ΕΕ· λαμβάνοντας υπόψη ότι και το 2024 όλες οι αναφορές καταρτίστηκαν και δημοσιεύθηκαν εγκαίρως, εντός ολίγων ημερών από την έγκρισή τους, και ότι όλες οι εσωτερικές και εξωτερικές αιτήσεις υποστήριξης σχετικά με τη χρήση και το περιεχόμενο της διαδικτυακής πύλης αναφορών απαντήθηκαν επιτυχώς, εγκαίρως και σε όλες τις επίσημες γλώσσες της ΕΕ·</w:t>
      </w:r>
    </w:p>
    <w:p w14:paraId="2AAE431B" w14:textId="77777777" w:rsidR="00511261" w:rsidRPr="000F62ED" w:rsidRDefault="00511261" w:rsidP="00C924DD">
      <w:pPr>
        <w:pStyle w:val="NormalHanging12a"/>
        <w:widowControl/>
      </w:pPr>
      <w:r w:rsidRPr="000F62ED">
        <w:t>ΙΘ.</w:t>
      </w:r>
      <w:r w:rsidRPr="000F62ED">
        <w:tab/>
        <w:t>λαμβάνοντας υπόψη ότι το 2024 δεν πραγματοποιήθηκαν διερευνητικές επισκέψεις για τις αναφορές για τις οποίες εκκρεμούσε έρευνα, λόγω της περιόδου διακοπής των εργασιών για τις ευρωπαϊκές εκλογές· λαμβάνοντας υπόψη ότι η επιτροπή διενήργησε την επακόλουθη αξιολόγηση και ενέκρινε δύο εκθέσεις σχετικά με προηγούμενες διερευνητικές επισκέψεις που πραγματοποιήθηκαν το 2023· λαμβάνοντας υπόψη ότι έχουν προγραμματιστεί δύο διερευνητικές επισκέψεις για το πρώτο εξάμηνο του 2025·</w:t>
      </w:r>
    </w:p>
    <w:p w14:paraId="7A513C92" w14:textId="77777777" w:rsidR="00511261" w:rsidRPr="000F62ED" w:rsidRDefault="00511261" w:rsidP="00C924DD">
      <w:pPr>
        <w:pStyle w:val="NormalHanging12a"/>
        <w:widowControl/>
      </w:pPr>
      <w:r w:rsidRPr="000F62ED">
        <w:t>Κ.</w:t>
      </w:r>
      <w:r w:rsidRPr="000F62ED">
        <w:tab/>
        <w:t xml:space="preserve">λαμβάνοντας υπόψη ότι, στις 4 Νοεμβρίου 2024, η Επιτροπή Αναφορών συμμετείχε, ως προσκεκλημένη επιτροπή, στην ακρόαση έγκρισης του ορισθέντος Επιτρόπου Εμπορίου και Οικονομικής Ασφάλειας, Διοργανικών Σχέσεων και Διαφάνειας, </w:t>
      </w:r>
      <w:proofErr w:type="spellStart"/>
      <w:r w:rsidRPr="000F62ED">
        <w:t>Maroš</w:t>
      </w:r>
      <w:proofErr w:type="spellEnd"/>
      <w:r w:rsidRPr="000F62ED">
        <w:t xml:space="preserve"> </w:t>
      </w:r>
      <w:proofErr w:type="spellStart"/>
      <w:r w:rsidRPr="000F62ED">
        <w:t>Šefčovič</w:t>
      </w:r>
      <w:proofErr w:type="spellEnd"/>
      <w:r w:rsidRPr="000F62ED">
        <w:t xml:space="preserve">· λαμβάνοντας υπόψη ότι, απαντώντας στις γραπτές και προφορικές ερωτήσεις </w:t>
      </w:r>
      <w:r w:rsidRPr="000F62ED">
        <w:lastRenderedPageBreak/>
        <w:t xml:space="preserve">που του έθεσε η Επιτροπή Αναφορών στο πλαίσιο της ακρόασης έγκρισης, ο </w:t>
      </w:r>
      <w:proofErr w:type="spellStart"/>
      <w:r w:rsidRPr="000F62ED">
        <w:t>Maroš</w:t>
      </w:r>
      <w:proofErr w:type="spellEnd"/>
      <w:r w:rsidRPr="000F62ED">
        <w:t xml:space="preserve"> </w:t>
      </w:r>
      <w:proofErr w:type="spellStart"/>
      <w:r w:rsidRPr="000F62ED">
        <w:t>Šefčovič</w:t>
      </w:r>
      <w:proofErr w:type="spellEnd"/>
      <w:r w:rsidRPr="000F62ED">
        <w:t xml:space="preserve"> ανέλαβε ορισμένες δεσμεύσεις σχετικά με τη διαδικασία των αναφορών και τη διαφάνεια των μέτρων επιβολής της Επιτροπής· </w:t>
      </w:r>
    </w:p>
    <w:p w14:paraId="198D9E1C" w14:textId="77777777" w:rsidR="00511261" w:rsidRPr="000F62ED" w:rsidRDefault="00511261" w:rsidP="00C924DD">
      <w:pPr>
        <w:pStyle w:val="NormalHanging12a"/>
        <w:widowControl/>
      </w:pPr>
      <w:r w:rsidRPr="000F62ED">
        <w:t>ΚΑ.</w:t>
      </w:r>
      <w:r w:rsidRPr="000F62ED">
        <w:tab/>
        <w:t xml:space="preserve">λαμβάνοντας υπόψη ότι, σύμφωνα με τον Κανονισμό του Κοινοβουλίου, η Επιτροπή Αναφορών είναι επίσης αρμόδια για τις σχέσεις με τον Ευρωπαίο Διαμεσολαβητή που διερευνά καταγγελίες για κακοδιοίκηση εντός των θεσμικών και λοιπών οργάνων της ΕΕ· λαμβάνοντας υπόψη ότι το 2024 η Επιτροπή Αναφορών διαδραμάτισε καίριο ρόλο στην οργάνωση της εκλογής του Ευρωπαίου Διαμεσολαβητή, διεξάγοντας τη δημόσια ακρόαση των υποψηφίων σύμφωνα με το άρθρο 237 του Κανονισμού του Κοινοβουλίου· λαμβάνοντας υπόψη ότι στις 17 Δεκεμβρίου 2024, η </w:t>
      </w:r>
      <w:proofErr w:type="spellStart"/>
      <w:r w:rsidRPr="000F62ED">
        <w:t>Teresa</w:t>
      </w:r>
      <w:proofErr w:type="spellEnd"/>
      <w:r w:rsidRPr="000F62ED">
        <w:t xml:space="preserve"> </w:t>
      </w:r>
      <w:proofErr w:type="spellStart"/>
      <w:r w:rsidRPr="000F62ED">
        <w:t>Anjinho</w:t>
      </w:r>
      <w:proofErr w:type="spellEnd"/>
      <w:r w:rsidRPr="000F62ED">
        <w:t xml:space="preserve"> εξελέγη Ευρωπαία Διαμεσολαβήτρια για την κοινοβουλευτική περίοδο 2024-2029· </w:t>
      </w:r>
    </w:p>
    <w:p w14:paraId="68F74F64" w14:textId="77777777" w:rsidR="00511261" w:rsidRPr="000F62ED" w:rsidRDefault="00511261" w:rsidP="00C924DD">
      <w:pPr>
        <w:pStyle w:val="NormalHanging12a"/>
        <w:widowControl/>
      </w:pPr>
      <w:r w:rsidRPr="000F62ED">
        <w:t>ΚΒ.</w:t>
      </w:r>
      <w:r w:rsidRPr="000F62ED">
        <w:tab/>
        <w:t xml:space="preserve">λαμβάνοντας υπόψη ότι το 2024 οι σχέσεις μεταξύ της Επιτροπής Αναφορών και του Ευρωπαίου Διαμεσολαβητή παρέμειναν εποικοδομητικές, όπως καταδεικνύει η ενεργός συμμετοχή της προηγούμενης Ευρωπαίας </w:t>
      </w:r>
      <w:proofErr w:type="spellStart"/>
      <w:r w:rsidRPr="000F62ED">
        <w:t>Διαμεσολαβήτριας</w:t>
      </w:r>
      <w:proofErr w:type="spellEnd"/>
      <w:r w:rsidRPr="000F62ED">
        <w:t xml:space="preserve"> </w:t>
      </w:r>
      <w:proofErr w:type="spellStart"/>
      <w:r w:rsidRPr="000F62ED">
        <w:t>Emily</w:t>
      </w:r>
      <w:proofErr w:type="spellEnd"/>
      <w:r w:rsidRPr="000F62ED">
        <w:t xml:space="preserve"> </w:t>
      </w:r>
      <w:proofErr w:type="spellStart"/>
      <w:r w:rsidRPr="000F62ED">
        <w:t>O’Reilly</w:t>
      </w:r>
      <w:proofErr w:type="spellEnd"/>
      <w:r w:rsidRPr="000F62ED">
        <w:t xml:space="preserve"> στις συνεδριάσεις της επιτροπής· λαμβάνοντας υπόψη ότι παρουσίασε την ετήσια έκθεσή της για το 2023 στην Επιτροπή Αναφορών κατά τη συνεδρίασή της στις 4 Σεπτεμβρίου 2024 και συμμετείχε στο ετήσιο εργαστήριο της επιτροπής για τα δικαιώματα των ατόμων με αναπηρία στις 2 Δεκεμβρίου 2024· </w:t>
      </w:r>
    </w:p>
    <w:p w14:paraId="72ADAA82" w14:textId="77777777" w:rsidR="00511261" w:rsidRPr="000F62ED" w:rsidRDefault="00511261" w:rsidP="00C924DD">
      <w:pPr>
        <w:pStyle w:val="NormalHanging12a"/>
        <w:widowControl/>
      </w:pPr>
      <w:r w:rsidRPr="000F62ED">
        <w:t>ΚΓ.</w:t>
      </w:r>
      <w:r w:rsidRPr="000F62ED">
        <w:tab/>
        <w:t>λαμβάνοντας υπόψη ότι η Επιτροπή Αναφορών είναι μέλος του Ευρωπαϊκού Δικτύου Διαμεσολαβητών, στο οποίο συμμετέχουν ο Ευρωπαίος Διαμεσολαβητής, οι εθνικοί και περιφερειακοί διαμεσολαβητές και παρόμοιοι οργανισμοί των κρατών μελών, των υποψήφιων για προσχώρηση κρατών, και άλλων κρατών του Ευρωπαϊκού Οικονομικού Χώρου και το οποίο αποσκοπεί στην προώθηση της ανταλλαγής πληροφοριών σχετικά με το δίκαιο και την χάραξη πολιτικής της ΕΕ, καθώς και στην ανταλλαγή βέλτιστων πρακτικών·</w:t>
      </w:r>
    </w:p>
    <w:p w14:paraId="0B732EBF" w14:textId="6C6BA498" w:rsidR="00511261" w:rsidRPr="000F62ED" w:rsidRDefault="000F62ED" w:rsidP="000F62ED">
      <w:pPr>
        <w:pStyle w:val="NormalHanging12a"/>
        <w:widowControl/>
        <w:ind w:left="570" w:hanging="570"/>
      </w:pPr>
      <w:r w:rsidRPr="000F62ED">
        <w:t>1.</w:t>
      </w:r>
      <w:r w:rsidRPr="000F62ED">
        <w:tab/>
      </w:r>
      <w:r w:rsidR="00511261" w:rsidRPr="000F62ED">
        <w:t>υπενθυμίζει τον σημαντικό ρόλο της Επιτροπής Αναφορών στην προστασία και την προώθηση των δικαιωμάτων των πολιτών και των κατοίκων της ΕΕ, και τονίζει ότι πρέπει να διασφαλίζει την έγκαιρη, αποτελεσματική και κατάλληλη εξέταση των καταγγελιών των αναφερόντων και την δέουσα ενημέρωσή τους σχετικά με τη συνέχεια που δίδεται και την πρόοδο που σημειώνεται όσον αφορά τις αναφορές τους· εκφράζει, ωστόσο, τη λύπη του για το γεγονός ότι αυτό δεν συμβαίνει πάντα στην πράξη· υπενθυμίζει ότι όλες οι αναφορές πρέπει να εξετάζονται μέσω μιας ανοικτής, δημοκρατικής και διαφανούς διαδικασίας αναφορών, την οποία η Επιτροπή Αναφορών αναμένεται να τηρεί με συνέπεια· συνιστά την αναθεώρηση των εσωτερικών διαδικασιών με σκοπό να διασφαλιστεί η ομαδοποίηση και αποτελεσματικότερη διεκπεραίωση όμοιων ή επαναλαμβανόμενων αναφορών, με παράλληλη διαφύλαξη του δικαιώματος κάθε αναφέροντος σε ατομική ακρόαση·</w:t>
      </w:r>
    </w:p>
    <w:p w14:paraId="5CD5100E" w14:textId="6B606766" w:rsidR="00511261" w:rsidRPr="000F62ED" w:rsidRDefault="000F62ED" w:rsidP="000F62ED">
      <w:pPr>
        <w:pStyle w:val="NormalHanging12a"/>
        <w:widowControl/>
        <w:ind w:left="570" w:hanging="570"/>
      </w:pPr>
      <w:r w:rsidRPr="000F62ED">
        <w:t>2.</w:t>
      </w:r>
      <w:r w:rsidRPr="000F62ED">
        <w:tab/>
      </w:r>
      <w:r w:rsidR="00511261" w:rsidRPr="000F62ED">
        <w:t xml:space="preserve">επαναλαμβάνει πόσο σημαντικός είναι ο συνεχής δημόσιος διάλογος σχετικά με τους τομείς δραστηριότητας της ΕΕ, για να διασφαλιστεί η δέουσα ενημέρωση των πολιτών σχετικά με το πεδίο αρμοδιοτήτων της Ένωσης και τα διάφορα επίπεδα λήψης αποφάσεων, ώστε να μειωθεί ο αριθμός των μη παραδεκτών αναφορών· επαναλαμβάνει την έκκλησή του για ευρύτερες εκστρατείες ευαισθητοποίησης, ιδίως σε απομακρυσμένες περιοχές, καθώς και μεταξύ υποεκπροσωπούμενων ομάδων πολιτών, συμπεριλαμβανομένων των νέων, των γυναικών, των αγροτικών και νησιωτικών κοινοτήτων, με την ενεργό συμμετοχή των υφιστάμενων υπηρεσιών επικοινωνίας σε ολόκληρη την Ένωση, ώστε να αυξηθεί η ενημέρωση των πολιτών σχετικά με το </w:t>
      </w:r>
      <w:r w:rsidR="00511261" w:rsidRPr="000F62ED">
        <w:lastRenderedPageBreak/>
        <w:t>δικαίωμά τους να υποβάλλουν αναφορές, καθώς και σχετικά με το πεδίο εφαρμογής των δραστηριοτήτων της Ένωσης και των αρμοδιοτήτων της Επιτροπής Αναφορών· ζητεί σαφέστερη, χωρίς ξύλινη γλώσσα επικοινωνία με τους αναφέροντες και καλύτερη δημόσια επεξήγηση του ρόλου και των ορίων της Επιτροπής Αναφορών, ιδίως για τους ευάλωτους χρήστες ή τους πρωτόπειρους χρήστες·</w:t>
      </w:r>
    </w:p>
    <w:p w14:paraId="74D5CB8A" w14:textId="6059AD76" w:rsidR="00511261" w:rsidRPr="000F62ED" w:rsidRDefault="000F62ED" w:rsidP="000F62ED">
      <w:pPr>
        <w:pStyle w:val="NormalHanging12a"/>
        <w:widowControl/>
        <w:ind w:left="570" w:hanging="570"/>
      </w:pPr>
      <w:r w:rsidRPr="000F62ED">
        <w:t>3.</w:t>
      </w:r>
      <w:r w:rsidRPr="000F62ED">
        <w:tab/>
      </w:r>
      <w:r w:rsidR="00511261" w:rsidRPr="000F62ED">
        <w:t>υπενθυμίζει την ευρωπαϊκή διάσταση της Επιτροπής Αναφορών, στην οποία μπορούν να απευθύνονται πολίτες και των 27 κρατών μελών για θέματα που εμπίπτουν στο πεδίο εφαρμογής των Συνθηκών της ΕΕ και του ενωσιακού δικαίου· θεωρεί ότι η Επιτροπή Αναφορών, σεβόμενη την εθνική κυριαρχία και τις εθνικές ιδιαιτερότητες, φέρει ιδιαίτερη ευθύνη να υπερασπιστεί αυτή την ευρωπαϊκή διάσταση και να καταδείξει στους πολίτες την προστιθέμενη αξία της ευρωπαϊκής ενότητας και ολοκλήρωσης·</w:t>
      </w:r>
    </w:p>
    <w:p w14:paraId="48EE60E6" w14:textId="771AF5EE" w:rsidR="00511261" w:rsidRPr="000F62ED" w:rsidRDefault="000F62ED" w:rsidP="000F62ED">
      <w:pPr>
        <w:pStyle w:val="NormalHanging12a"/>
        <w:widowControl/>
        <w:ind w:left="570" w:hanging="570"/>
      </w:pPr>
      <w:r w:rsidRPr="000F62ED">
        <w:t>4.</w:t>
      </w:r>
      <w:r w:rsidRPr="000F62ED">
        <w:tab/>
      </w:r>
      <w:r w:rsidR="00511261" w:rsidRPr="000F62ED">
        <w:t>επισημαίνει ότι οι αναφορές αποτελούν μια πρώτης τάξεως ευκαιρία για το Κοινοβούλιο και τα άλλα θεσμικά όργανα της ΕΕ να επικοινωνούν απευθείας με τους πολίτες της ΕΕ και να διατηρούν τακτικό διάλογο μαζί τους, ιδίως σε περιπτώσεις όπου οι πολίτες βιώνουν τις αρνητικές επιπτώσεις της εσφαλμένης εφαρμογής ή παραβίασης του ενωσιακού δικαίου· τονίζει την ανάγκη για ενισχυμένη συνεργασία μεταξύ των θεσμικών οργάνων της ΕΕ και των εθνικών, περιφερειακών και τοπικών αρχών όσον αφορά τις έρευνες σχετικά με την εφαρμογή και τη συμμόρφωση με το ενωσιακό δίκαιο· πιστεύει ότι η συνεργασία αυτή είναι ζωτικής σημασίας για την αντιμετώπιση και την επίλυση των προβλημάτων των πολιτών που σχετίζονται με την εφαρμογή του ενωσιακού δικαίου, και ότι συμβάλλει στην ενίσχυση της δημοκρατικής νομιμότητας και της λογοδοσίας της Ένωσης· ζητεί, ως εκ τούτου, την ουσιαστική συμμετοχή εκπροσώπων των κρατών μελών στις συνεδριάσεις της Επιτροπής Αναφορών καθώς και την έγκαιρη και εμπεριστατωμένη ανταπόκριση στα αιτήματα παροχής διευκρινίσεων ή πληροφοριών που στέλνει η Επιτροπή Αναφορών στις εθνικές αρχές, προκειμένου να διασφαλίζεται η δέουσα συνέχεια που δίνεται στις αναφορές·</w:t>
      </w:r>
    </w:p>
    <w:p w14:paraId="7C082374" w14:textId="05A3C721" w:rsidR="00511261" w:rsidRPr="000F62ED" w:rsidRDefault="000F62ED" w:rsidP="000F62ED">
      <w:pPr>
        <w:pStyle w:val="NormalHanging12a"/>
        <w:widowControl/>
        <w:ind w:left="570" w:hanging="570"/>
      </w:pPr>
      <w:r w:rsidRPr="000F62ED">
        <w:t>5.</w:t>
      </w:r>
      <w:r w:rsidRPr="000F62ED">
        <w:tab/>
      </w:r>
      <w:r w:rsidR="00511261" w:rsidRPr="000F62ED">
        <w:t>υπενθυμίζει ότι η Επιτροπή Αναφορών έλαβε σημαντικό αριθμό αναφορών στις αρχές του 2024, οι οποίες εξέφραζαν ανησυχίες για τις εικαζόμενες απειλές κατά του κράτους δικαίου στην Ισπανία· σημειώνει την κοινή συζήτηση που πραγματοποιήθηκε τον Ιανουάριο του 2024 σχετικά με σημαντικό αριθμό αναφορών που αφορούσαν τις εξελίξεις στην Ισπανία, ιδίως σε σχέση με την πρόταση της κυβέρνησης για νόμο περί αμνηστίας και τις πιθανές επιπτώσεις του για το ισπανικό και το ενωσιακό νομικό πλαίσιο·</w:t>
      </w:r>
    </w:p>
    <w:p w14:paraId="5F45196B" w14:textId="054365C4" w:rsidR="00511261" w:rsidRPr="000F62ED" w:rsidRDefault="000F62ED" w:rsidP="000F62ED">
      <w:pPr>
        <w:pStyle w:val="NormalHanging12a"/>
        <w:widowControl/>
        <w:ind w:left="570" w:hanging="570"/>
      </w:pPr>
      <w:r w:rsidRPr="000F62ED">
        <w:t>6.</w:t>
      </w:r>
      <w:r w:rsidRPr="000F62ED">
        <w:tab/>
      </w:r>
      <w:r w:rsidR="00511261" w:rsidRPr="000F62ED">
        <w:t xml:space="preserve">υπενθυμίζει ότι οι αναφορές συμβάλλουν σημαντικά στην άσκηση του ρόλου της Επιτροπής ως θεματοφύλακα των Συνθηκών, παρέχοντας στους πολίτες ένα πρόσθετο εργαλείο για την καταγγελία εικαζόμενων παραβιάσεων του ενωσιακού δικαίου· τονίζει ότι η εποικοδομητική συνεργασία μεταξύ της Επιτροπής Αναφορών και της Επιτροπής μέσω έγκαιρων και λεπτομερών απαντήσεων από την Επιτροπή, οι οποίες βασίζονται σε ενδελεχή εξέταση των ζητημάτων που εγείρονται στις αναφορές, είναι απαραίτητη ώστε να διασφαλιστεί η επιτυχής εξέταση των αναφορών· επαναλαμβάνει ότι οι απαντήσεις αυτές, οι οποίες διαβιβάζονται στους αναφέροντες, θα πρέπει να είναι σαφείς, απλές και με ενσυναίσθηση, ώστε να γίνονται καλύτερα κατανοητές· </w:t>
      </w:r>
    </w:p>
    <w:p w14:paraId="78ECF682" w14:textId="05CF858F" w:rsidR="00511261" w:rsidRPr="000F62ED" w:rsidRDefault="000F62ED" w:rsidP="000F62ED">
      <w:pPr>
        <w:pStyle w:val="NormalHanging12a"/>
        <w:widowControl/>
        <w:ind w:left="570" w:hanging="570"/>
      </w:pPr>
      <w:r w:rsidRPr="000F62ED">
        <w:t>7.</w:t>
      </w:r>
      <w:r w:rsidRPr="000F62ED">
        <w:tab/>
      </w:r>
      <w:r w:rsidR="00511261" w:rsidRPr="000F62ED">
        <w:t xml:space="preserve">επικροτεί τη δημιουργία νέας ιστοσελίδας της Επιτροπής σχετικά με τις υποθέσεις επί </w:t>
      </w:r>
      <w:proofErr w:type="spellStart"/>
      <w:r w:rsidR="00511261" w:rsidRPr="000F62ED">
        <w:t>παραβάσει</w:t>
      </w:r>
      <w:proofErr w:type="spellEnd"/>
      <w:r w:rsidR="00511261" w:rsidRPr="000F62ED">
        <w:t xml:space="preserve">, τη μεταφορά των οδηγιών στο εθνικό δίκαιο και τον διάλογο EU </w:t>
      </w:r>
      <w:proofErr w:type="spellStart"/>
      <w:r w:rsidR="00511261" w:rsidRPr="000F62ED">
        <w:t>Pilot</w:t>
      </w:r>
      <w:proofErr w:type="spellEnd"/>
      <w:r w:rsidR="00511261" w:rsidRPr="000F62ED">
        <w:t xml:space="preserve">· επαναλαμβάνει ωστόσο, την έκκλησή του προς την Επιτροπή να ενημερώνει τακτικά </w:t>
      </w:r>
      <w:r w:rsidR="00511261" w:rsidRPr="000F62ED">
        <w:lastRenderedPageBreak/>
        <w:t xml:space="preserve">την Επιτροπή Αναφορών σχετικά με τις εξελίξεις στις διαδικασίες επί </w:t>
      </w:r>
      <w:proofErr w:type="spellStart"/>
      <w:r w:rsidR="00511261" w:rsidRPr="000F62ED">
        <w:t>παραβάσει</w:t>
      </w:r>
      <w:proofErr w:type="spellEnd"/>
      <w:r w:rsidR="00511261" w:rsidRPr="000F62ED">
        <w:t xml:space="preserve"> και να διασφαλίζει ότι η Επιτροπή Αναφορών θα έχει πρόσβαση σε πληροφορίες σχετικές με τις διαδικασίες επί </w:t>
      </w:r>
      <w:proofErr w:type="spellStart"/>
      <w:r w:rsidR="00511261" w:rsidRPr="000F62ED">
        <w:t>παραβάσει</w:t>
      </w:r>
      <w:proofErr w:type="spellEnd"/>
      <w:r w:rsidR="00511261" w:rsidRPr="000F62ED">
        <w:t xml:space="preserve"> και τις διαδικασίες EU </w:t>
      </w:r>
      <w:proofErr w:type="spellStart"/>
      <w:r w:rsidR="00511261" w:rsidRPr="000F62ED">
        <w:t>Pilot</w:t>
      </w:r>
      <w:proofErr w:type="spellEnd"/>
      <w:r w:rsidR="00511261" w:rsidRPr="000F62ED">
        <w:t xml:space="preserve"> που σχετίζονται με εκκρεμείς αναφορές· επαναλαμβάνει την ανάγκη να βελτιωθεί η διαφάνεια των διαδικασιών επί </w:t>
      </w:r>
      <w:proofErr w:type="spellStart"/>
      <w:r w:rsidR="00511261" w:rsidRPr="000F62ED">
        <w:t>παραβάσει</w:t>
      </w:r>
      <w:proofErr w:type="spellEnd"/>
      <w:r w:rsidR="00511261" w:rsidRPr="000F62ED">
        <w:t xml:space="preserve">, καθώς και η επικοινωνία με τους αναφέροντες σχετικά με την πορεία αυτών των διαδικασιών και τονίζει ότι αυτό θα ωφελήσει τη διαδικασία των αναφορών· επικροτεί την πρωτοβουλία της Επιτροπής να συμπεριλάβει αναφορές στη διαδικτυακή πύλη της Επιτροπής για τις αποφάσεις επί </w:t>
      </w:r>
      <w:proofErr w:type="spellStart"/>
      <w:r w:rsidR="00511261" w:rsidRPr="000F62ED">
        <w:t>παραβάσει</w:t>
      </w:r>
      <w:proofErr w:type="spellEnd"/>
      <w:r w:rsidR="00511261" w:rsidRPr="000F62ED">
        <w:t xml:space="preserve">, καθώς και για τη συμπερίληψη συνδέσμου προς το δημόσιο μητρώο της Επιτροπής στη διαδικτυακή πύλη αναφορών· χαιρετίζει τη δέσμευση του Επιτρόπου </w:t>
      </w:r>
      <w:proofErr w:type="spellStart"/>
      <w:r w:rsidR="00511261" w:rsidRPr="000F62ED">
        <w:t>Šefčovič</w:t>
      </w:r>
      <w:proofErr w:type="spellEnd"/>
      <w:r w:rsidR="00511261" w:rsidRPr="000F62ED">
        <w:t xml:space="preserve"> να συνδέσει περαιτέρω το δημόσιο μητρώο της Επιτροπής με τη διαδικτυακή πύλη αναφορών του Κοινοβουλίου· επαναλαμβάνει την έκκλησή του προς την Επιτροπή να συμπεριλάβει όλες αυτές τις απαιτήσεις στη συμφωνία-πλαίσιο για τις σχέσεις μεταξύ του Ευρωπαϊκού Κοινοβουλίου και της Ευρωπαϊκής Επιτροπής</w:t>
      </w:r>
      <w:r w:rsidR="00511261" w:rsidRPr="000F62ED">
        <w:rPr>
          <w:rStyle w:val="FootnoteReference"/>
        </w:rPr>
        <w:footnoteReference w:id="1"/>
      </w:r>
      <w:r w:rsidR="00511261" w:rsidRPr="000F62ED">
        <w:t>·</w:t>
      </w:r>
    </w:p>
    <w:p w14:paraId="35B9D4DC" w14:textId="3D8DD920" w:rsidR="00511261" w:rsidRPr="000F62ED" w:rsidRDefault="000F62ED" w:rsidP="000F62ED">
      <w:pPr>
        <w:pStyle w:val="NormalHanging12a"/>
        <w:widowControl/>
        <w:ind w:left="570" w:hanging="570"/>
      </w:pPr>
      <w:r w:rsidRPr="000F62ED">
        <w:t>8.</w:t>
      </w:r>
      <w:r w:rsidRPr="000F62ED">
        <w:tab/>
      </w:r>
      <w:r w:rsidR="00511261" w:rsidRPr="000F62ED">
        <w:t>ζητεί ανεξάρτητη και περιοδική αξιολόγηση της ποιότητας και της σαφήνειας των απαντήσεων της Επιτροπής στις αναφορές, με ιδιαίτερη έμφαση στην αναγνωσιμότητα, τη συνάφεια και την ευαισθησία ως προς τα ζητήματα των αναφερόντων, για να διασφαλιστεί ότι οι πολίτες θα λαμβάνουν ουσιαστική ανταπόκριση, με τον δέοντα σεβασμό·</w:t>
      </w:r>
    </w:p>
    <w:p w14:paraId="3527CAAC" w14:textId="72C653E8" w:rsidR="00511261" w:rsidRPr="000F62ED" w:rsidRDefault="000F62ED" w:rsidP="000F62ED">
      <w:pPr>
        <w:pStyle w:val="NormalHanging12a"/>
        <w:widowControl/>
        <w:ind w:left="570" w:hanging="570"/>
      </w:pPr>
      <w:r w:rsidRPr="000F62ED">
        <w:t>9.</w:t>
      </w:r>
      <w:r w:rsidRPr="000F62ED">
        <w:tab/>
      </w:r>
      <w:r w:rsidR="00511261" w:rsidRPr="000F62ED">
        <w:t>θεωρεί ότι μια πιο ενεργός συνεργασία μεταξύ των κρατών μελών και της Επιτροπής Αναφορών θα μπορούσε να φανεί χρήσιμη για την περάτωση των αναφορών που απαιτούν άμεσες απαντήσεις και αντιδράσεις από τις εθνικές αρχές·</w:t>
      </w:r>
    </w:p>
    <w:p w14:paraId="5296FEA7" w14:textId="046D5E46" w:rsidR="00511261" w:rsidRPr="000F62ED" w:rsidRDefault="000F62ED" w:rsidP="000F62ED">
      <w:pPr>
        <w:pStyle w:val="NormalHanging12a"/>
        <w:widowControl/>
        <w:ind w:left="570" w:hanging="570"/>
      </w:pPr>
      <w:r w:rsidRPr="000F62ED">
        <w:t>10.</w:t>
      </w:r>
      <w:r w:rsidRPr="000F62ED">
        <w:tab/>
      </w:r>
      <w:r w:rsidR="00511261" w:rsidRPr="000F62ED">
        <w:t>υπενθυμίζει ότι η βάση δεδομένων e-</w:t>
      </w:r>
      <w:proofErr w:type="spellStart"/>
      <w:r w:rsidR="00511261" w:rsidRPr="000F62ED">
        <w:t>Petition</w:t>
      </w:r>
      <w:proofErr w:type="spellEnd"/>
      <w:r w:rsidR="00511261" w:rsidRPr="000F62ED">
        <w:t xml:space="preserve"> αποτελεί βασικό εσωτερικό εργαλείο το οποίο επιτρέπει στα μέλη της Επιτροπής Αναφορών να έχουν πρόσβαση σε όλες τις απαραίτητες πληροφορίες ώστε να παρακολουθούν την πορεία κάθε αναφοράς και να είναι σε θέση να λαμβάνουν τεκμηριωμένες αποφάσεις όσον αφορά την εξέταση των αναφορών· σημειώνει ότι η βάση δεδομένων e-</w:t>
      </w:r>
      <w:proofErr w:type="spellStart"/>
      <w:r w:rsidR="00511261" w:rsidRPr="000F62ED">
        <w:t>Petition</w:t>
      </w:r>
      <w:proofErr w:type="spellEnd"/>
      <w:r w:rsidR="00511261" w:rsidRPr="000F62ED">
        <w:t xml:space="preserve"> διαδραματίζει επίσης σημαντικό ρόλο στην επικοινωνία με τους αναφέροντες· τονίζει την ανάγκη περαιτέρω εκσυγχρονισμού των ψηφιακών εργαλείων της Επιτροπής Αναφορών και προτείνει να διερευνηθεί η υπεύθυνη και υπό ανθρώπινη καθοδήγηση χρήση της τεχνητής νοημοσύνης, ούτως ώστε να βελτιωθεί περαιτέρω η επεξεργασία των αναφορών·</w:t>
      </w:r>
    </w:p>
    <w:p w14:paraId="05B4222A" w14:textId="6E59C1D1" w:rsidR="00511261" w:rsidRPr="000F62ED" w:rsidRDefault="000F62ED" w:rsidP="000F62ED">
      <w:pPr>
        <w:pStyle w:val="NormalHanging12a"/>
        <w:widowControl/>
        <w:ind w:left="570" w:hanging="570"/>
      </w:pPr>
      <w:r w:rsidRPr="000F62ED">
        <w:t>11.</w:t>
      </w:r>
      <w:r w:rsidRPr="000F62ED">
        <w:tab/>
      </w:r>
      <w:r w:rsidR="00511261" w:rsidRPr="000F62ED">
        <w:t xml:space="preserve">υπενθυμίζει τη δέσμευση της Επιτροπής να δημιουργήσει ένα διοργανικό εργαλείο ΤΠ με σκοπό την ανταλλαγή πληροφοριών και εγγράφων μεταξύ της Επιτροπής και του Κοινοβουλίου σχετικά με όλες τις επακόλουθες ενέργειες που αναλαμβάνονται σε σχέση με αναφορές, όπως διαδικασίες επί </w:t>
      </w:r>
      <w:proofErr w:type="spellStart"/>
      <w:r w:rsidR="00511261" w:rsidRPr="000F62ED">
        <w:t>παραβάσει</w:t>
      </w:r>
      <w:proofErr w:type="spellEnd"/>
      <w:r w:rsidR="00511261" w:rsidRPr="000F62ED">
        <w:t>, νομοθετικές προτάσεις ή απαντήσεις από τις εθνικές αρχές, ενισχύοντας έτσι τη διαφάνεια και την αποτελεσματικότητα της επεξεργασίας των αναφορών, γεγονός που, σε ένα ευρύτερο πλαίσιο, συμβάλλει στην αύξηση της εμπιστοσύνης των πολιτών στα θεσμικά όργανα της ΕΕ και στο ευρωπαϊκό εγχείρημα· ζητεί την ταχεία ανάπτυξη ενός τέτοιου διοργανικού εργαλείου ΤΠ·</w:t>
      </w:r>
    </w:p>
    <w:p w14:paraId="6A8F6266" w14:textId="0E1247D0" w:rsidR="00511261" w:rsidRPr="000F62ED" w:rsidRDefault="000F62ED" w:rsidP="000F62ED">
      <w:pPr>
        <w:pStyle w:val="NormalHanging12a"/>
        <w:widowControl/>
        <w:ind w:left="570" w:hanging="570"/>
      </w:pPr>
      <w:r w:rsidRPr="000F62ED">
        <w:t>12.</w:t>
      </w:r>
      <w:r w:rsidRPr="000F62ED">
        <w:tab/>
      </w:r>
      <w:r w:rsidR="00511261" w:rsidRPr="000F62ED">
        <w:t xml:space="preserve">υπενθυμίζει ότι η συνεργασία με άλλες επιτροπές του Κοινοβουλίου είναι απαραίτητη για την ολοκληρωμένη εξέταση των αναφορών· σημειώνει ότι το 2024 απεστάλησαν σε άλλες επιτροπές 30 αιτήσεις γνωμοδότησης και 450 αιτήσεις παροχής πληροφοριών· </w:t>
      </w:r>
      <w:r w:rsidR="00511261" w:rsidRPr="000F62ED">
        <w:lastRenderedPageBreak/>
        <w:t>σημειώνει ότι έως το τέλος του 2024 είχαν παραληφθεί 26 γνώμες·</w:t>
      </w:r>
      <w:r w:rsidR="00511261" w:rsidRPr="000F62ED">
        <w:rPr>
          <w:color w:val="FF0000"/>
        </w:rPr>
        <w:t xml:space="preserve"> </w:t>
      </w:r>
      <w:r w:rsidR="00511261" w:rsidRPr="000F62ED">
        <w:t>υπενθυμίζει ότι οι αναφέροντες ενημερώνονται σχετικά με την απόφαση να ζητηθεί γνωμοδότηση από άλλες επιτροπές για την εξέταση των αναφορών τους· υπογραμμίζει ότι οι κοινοβουλευτικές επιτροπές πρέπει να εντείνουν τις προσπάθειές τους για να συμβάλλουν ενεργά στην εξέταση των αναφορών παρέχοντας την εμπειρογνωσία τους, ώστε το Κοινοβούλιο να είναι σε θέση να ανταποκρίνεται ταχύτερα και πληρέστερα στις ανησυχίες των πολιτών·</w:t>
      </w:r>
    </w:p>
    <w:p w14:paraId="19BEC54A" w14:textId="0413FE5F" w:rsidR="00511261" w:rsidRPr="000F62ED" w:rsidRDefault="000F62ED" w:rsidP="000F62ED">
      <w:pPr>
        <w:pStyle w:val="NormalHanging12a"/>
        <w:widowControl/>
        <w:ind w:left="570" w:hanging="570"/>
      </w:pPr>
      <w:r w:rsidRPr="000F62ED">
        <w:t>13.</w:t>
      </w:r>
      <w:r w:rsidRPr="000F62ED">
        <w:tab/>
      </w:r>
      <w:r w:rsidR="00511261" w:rsidRPr="000F62ED">
        <w:t xml:space="preserve">πιστεύει ότι το δίκτυο αναφορών αποτελεί χρήσιμο εργαλείο για τη διευκόλυνση του κοινοβουλευτικού και νομοθετικού έργου όσον αφορά την συνέχεια που δίνεται στις αναφορές· ευελπιστεί ότι οι τακτικές συνεδριάσεις του δικτύου αναφορών είναι ζωτικής σημασίας για να εξασφαλιστεί, αφενός, μεγαλύτερη προβολή των δραστηριοτήτων της Επιτροπής Αναφορών και καλύτερη κατανόηση του έργου και της αποστολής της, και να ενισχυθεί, αφετέρου, η συνεργασία της με τις λοιπές κοινοβουλευτικές επιτροπές· </w:t>
      </w:r>
    </w:p>
    <w:p w14:paraId="46A36061" w14:textId="0C93258B" w:rsidR="00511261" w:rsidRPr="000F62ED" w:rsidRDefault="000F62ED" w:rsidP="000F62ED">
      <w:pPr>
        <w:pStyle w:val="NormalHanging12a"/>
        <w:widowControl/>
        <w:ind w:left="570" w:hanging="570"/>
      </w:pPr>
      <w:r w:rsidRPr="000F62ED">
        <w:t>14.</w:t>
      </w:r>
      <w:r w:rsidRPr="000F62ED">
        <w:tab/>
      </w:r>
      <w:r w:rsidR="00511261" w:rsidRPr="000F62ED">
        <w:t>σημειώνει ότι το περιβάλλον παρέμεινε ο βασικός τομέας σοβαρής ανησυχίας για τους αναφέροντες το 2024, με πάνω από το 20 % των αναφορών να εγείρουν περιβαλλοντικά ζητήματα· σημειώνει τον σημαντικό αριθμό αναφορών που καταγγέλλουν παραβιάσεις της περιβαλλοντικής νομοθεσίας της ΕΕ σε αρκετά κράτη μέλη· σημειώνει ότι τα ζητήματα που εκτέθηκαν από τους αναφέροντες και που συζητήθηκαν στην επιτροπή περιλαμβάνουν την προστασία των λύκων στην ΕΕ, τις μακροπρόθεσμες τοξικές επιπτώσεις των φυτοφαρμάκων και την παραβίαση της οδηγίας για τις βιομηχανικές εκπομπές</w:t>
      </w:r>
      <w:r w:rsidR="00511261" w:rsidRPr="000F62ED">
        <w:rPr>
          <w:rStyle w:val="FootnoteReference"/>
        </w:rPr>
        <w:footnoteReference w:id="2"/>
      </w:r>
      <w:r w:rsidR="00511261" w:rsidRPr="000F62ED">
        <w:t xml:space="preserve"> που προκύπτει από τη διαχείριση μιας χαλυβουργικής μονάδας· τονίζει ότι είναι σημαντικό να ικανοποιηθούν οι προσδοκίες των πολιτών της ΕΕ σχετικά με την προστασία του περιβάλλοντος και παροτρύνει την Επιτροπή, από κοινού με τα κράτη μέλη, να διασφαλίσουν την ορθή εφαρμογή της νομοθεσίας της ΕΕ στον τομέα του περιβάλλοντος·</w:t>
      </w:r>
    </w:p>
    <w:p w14:paraId="04B5416F" w14:textId="02DA5247" w:rsidR="00511261" w:rsidRPr="000F62ED" w:rsidRDefault="000F62ED" w:rsidP="000F62ED">
      <w:pPr>
        <w:pStyle w:val="NormalHanging12a"/>
        <w:widowControl/>
        <w:ind w:left="570" w:hanging="570"/>
      </w:pPr>
      <w:r w:rsidRPr="000F62ED">
        <w:t>15.</w:t>
      </w:r>
      <w:r w:rsidRPr="000F62ED">
        <w:tab/>
      </w:r>
      <w:r w:rsidR="00511261" w:rsidRPr="000F62ED">
        <w:t>σημειώνει ότι η Επιτροπή Αναφορών εξέτασε και άλλα θέματα, όπως η προστασία των δικαιωμάτων των παιδιών, συμπεριλαμβανομένης της ασφάλειας στο διαδίκτυο και η βελτίωση της καλής διαβίωσης των ζώων· εφιστά την προσοχή στις αναφορές που επισημαίνουν παραβιάσεις των δικαιωμάτων των επιβατών· σημειώνει επίσης ότι πολυάριθμες αναφορές εγείρουν ανησυχίες σχετικά με την προστασία των δεδομένων και ιδίως την επιβολή του γενικού κανονισμού για την προστασία δεδομένων</w:t>
      </w:r>
      <w:r w:rsidR="00511261" w:rsidRPr="000F62ED">
        <w:rPr>
          <w:rStyle w:val="FootnoteReference"/>
        </w:rPr>
        <w:footnoteReference w:id="3"/>
      </w:r>
      <w:r w:rsidR="00511261" w:rsidRPr="000F62ED">
        <w:t xml:space="preserve">· επισημαίνει επίσης τον αριθμό των αναφορών που αφορούν τη στεγαστική κρίση σε όλα τα κράτη μέλη· σημειώνει ότι η Επιτροπή Αναφορών εξέτασε ζητήματα, όπως οι ευθύνες των εταιρειών ορυκτών καυσίμων στην κρίση του κόστους ζωής, οι ανησυχίες σχετικά με την ασφάλεια των σιδηροδρόμων και η προστασία των δικαιωμάτων των </w:t>
      </w:r>
      <w:r w:rsidR="00511261" w:rsidRPr="000F62ED">
        <w:lastRenderedPageBreak/>
        <w:t>εργαζομένων· σημειώνει την εξέταση αναφορών σχετικά με τον πολιτισμό και την εθνική κληρονομιά· υπενθυμίζει ότι η Επιτροπή Αναφορών συζήτησε αρκετές αναφορές σχετικά με την ακύρωση των αδειών μόνιμης διαμονής Ρώσων πολιτών· σημειώνει ότι η Επιτροπή Αναφορών έλαβε σημαντικό αριθμό αναφορών σχετικά με το κράτος δικαίου στα κράτη μέλη, οι οποίες συζητήθηκαν στην επιτροπή· λαμβάνει υπόψη τις αναφορές που έχουν υποβληθεί σχετικά με τις συνθήκες υποδοχής μεταναστών και αιτούντων άσυλο στα κράτη μέλη και σημειώνει τις αναφορές που αφορούν περιπτώσεις διακρίσεων· αναμένει να δοθεί η δέουσα συνέχεια και να επικαιροποιηθούν οι πληροφορίες από την Επιτροπή σχετικά με όλες αυτές τις αναφορές·</w:t>
      </w:r>
    </w:p>
    <w:p w14:paraId="389BEAC9" w14:textId="2EEC3235" w:rsidR="00511261" w:rsidRPr="000F62ED" w:rsidRDefault="000F62ED" w:rsidP="000F62ED">
      <w:pPr>
        <w:pStyle w:val="NormalHanging12a"/>
        <w:widowControl/>
        <w:ind w:left="570" w:hanging="570"/>
      </w:pPr>
      <w:r w:rsidRPr="000F62ED">
        <w:t>16.</w:t>
      </w:r>
      <w:r w:rsidRPr="000F62ED">
        <w:tab/>
      </w:r>
      <w:r w:rsidR="00511261" w:rsidRPr="000F62ED">
        <w:t xml:space="preserve">τονίζει τη σημαντική συμβολή της Επιτροπής Αναφορών στην προστασία των δικαιωμάτων των ατόμων με αναπηρία, όπως προκύπτει από την εξέταση ορισμένων αναφορών σχετικά με αυτό το θέμα, συμπεριλαμβανομένης της αναφοράς </w:t>
      </w:r>
      <w:r w:rsidR="00B559F2">
        <w:t xml:space="preserve">αριθ. </w:t>
      </w:r>
      <w:r w:rsidR="00511261" w:rsidRPr="000F62ED">
        <w:t>1056/2016 σχετικά με την κατάθεση αναφορών στις εθνικές νοηματικές γλώσσες· αναγνωρίζει, στο πλαίσιο αυτό, τις προσπάθειες των υπηρεσιών του Κοινοβουλίου και σημειώνει ότι πρέπει να βρεθεί όχι μόνο η καλύτερη τεχνική λύση αλλά και η πιο προσιτή για τους κωφούς πολίτες προκειμένου να είναι εφικτή η επικοινωνία στη μητρική τους γλώσσα, στις εθνικές νοηματικές γλώσσες· ζητεί την τροποποίηση του Κανονισμού σε στενή συνεργασία με την Επιτροπή Συνταγματικών Υποθέσεων, με σκοπό να καταργηθεί η υποχρεωτική αποκλειστικά γραπτή επικοινωνία με πολίτες που χρησιμοποιούν νοηματική γλώσσα, είναι κωφοί ή βαρήκοοι, ώστε, κατόπιν αιτήματός τους, να μπορούν να χρησιμοποιούν τη νοηματική τους γλώσσα κατά τη διάρκεια της διαδικασίας· σημειώνει ότι η εκπαίδευση των μαθητών με αναπηρία, η άρνηση παροχής υπηρεσιών υγειονομικής περίθαλψης για άτομα με αναπηρία και η προσβασιμότητα σε δημόσιους χώρους και υπηρεσίες αποτέλεσαν αντικείμενο περαιτέρω ανησυχίας για τους αναφέροντες το 2024· υπενθυμίζει το ετήσιο εργαστήριο της 2ας Δεκεμβρίου 2024 σχετικά με τα δικαιώματα των ατόμων με αναπηρία που διοργάνωσε η Επιτροπή Αναφορών, το οποίο επικεντρώθηκε στην τρέχουσα κατάσταση της στρατηγικής για τα δικαιώματα των ατόμων με αναπηρία 2021-2030 και ζητεί την ταχεία ενσωμάτωση των πορισμάτων της αναφοράς στην ενδιάμεση επανεξέταση της στρατηγικής για τα δικαιώματα των ατόμων με αναπηρία 2021-2030, με μετρήσιμους στόχους και δημοσιονομικές δεσμεύσεις·</w:t>
      </w:r>
    </w:p>
    <w:p w14:paraId="508AE1FB" w14:textId="547C8719" w:rsidR="00511261" w:rsidRPr="000F62ED" w:rsidRDefault="000F62ED" w:rsidP="000F62ED">
      <w:pPr>
        <w:pStyle w:val="NormalHanging12a"/>
        <w:widowControl/>
        <w:ind w:left="570" w:hanging="570"/>
      </w:pPr>
      <w:r w:rsidRPr="000F62ED">
        <w:t>17.</w:t>
      </w:r>
      <w:r w:rsidRPr="000F62ED">
        <w:tab/>
      </w:r>
      <w:r w:rsidR="00511261" w:rsidRPr="000F62ED">
        <w:t xml:space="preserve">υπογραμμίζει τον ειδικό προστατευτικό ρόλο που διαδραματίζει η Επιτροπή Αναφορών εντός της ΕΕ στο πλαίσιο της σύμβασης των Ηνωμένων Εθνών για τα δικαιώματα των ατόμων με αναπηρία· επισημαίνει το σημαντικό συνεχές έργο της επιτροπής σε σχέση με αναφορές για θέματα που σχετίζονται με τις αναπηρίες· υπενθυμίζει ότι η μνεία σε αναφορές σχετικά με την ανάγκη θέσπισης κάρτας αναπηρίας σε επίπεδο Ένωσης έχει συμπεριληφθεί στην οδηγία </w:t>
      </w:r>
      <w:r w:rsidR="00B559F2">
        <w:t xml:space="preserve">(ΕΕ) </w:t>
      </w:r>
      <w:r w:rsidR="00511261" w:rsidRPr="000F62ED">
        <w:t>2024/2841 για τη θέσπιση της ευρωπαϊκής κάρτας αναπηρίας και της ευρωπαϊκής κάρτας στάθμευσης</w:t>
      </w:r>
      <w:r w:rsidR="00511261" w:rsidRPr="000F62ED">
        <w:rPr>
          <w:rStyle w:val="FootnoteReference"/>
        </w:rPr>
        <w:footnoteReference w:id="4"/>
      </w:r>
      <w:r w:rsidR="00511261" w:rsidRPr="000F62ED">
        <w:t>· υπογραμμίζει ότι οι αναφορές μπορούν να συμβάλουν σημαντικά στη νομοθετική διαδικασία·</w:t>
      </w:r>
    </w:p>
    <w:p w14:paraId="7B0C4687" w14:textId="62885067" w:rsidR="00511261" w:rsidRPr="000F62ED" w:rsidRDefault="000F62ED" w:rsidP="000F62ED">
      <w:pPr>
        <w:pStyle w:val="NormalHanging12a"/>
        <w:widowControl/>
        <w:ind w:left="570" w:hanging="570"/>
        <w:rPr>
          <w:rFonts w:eastAsia="Calibri"/>
        </w:rPr>
      </w:pPr>
      <w:r w:rsidRPr="000F62ED">
        <w:rPr>
          <w:rFonts w:eastAsia="Calibri"/>
        </w:rPr>
        <w:t>18.</w:t>
      </w:r>
      <w:r w:rsidRPr="000F62ED">
        <w:rPr>
          <w:rFonts w:eastAsia="Calibri"/>
        </w:rPr>
        <w:tab/>
      </w:r>
      <w:r w:rsidR="00511261" w:rsidRPr="000F62ED">
        <w:t xml:space="preserve">υπενθυμίζει ότι οι σχέσεις με τον Ευρωπαίο Διαμεσολαβητή αποτελούν μία από τις αρμοδιότητες που ανατίθενται στην Επιτροπή Αναφορών από τον Κανονισμό του Κοινοβουλίου· επισημαίνει τον ρόλο της Επιτροπής Αναφορών στην εκλογική </w:t>
      </w:r>
      <w:r w:rsidR="00511261" w:rsidRPr="000F62ED">
        <w:lastRenderedPageBreak/>
        <w:t>διαδικασία του Ευρωπαίου Διαμεσολαβητή, ιδίως στη διοργάνωση της δημόσιας ακρόασης με όλους τους επιλέξιμους υποψηφίους, που πραγματοποιήθηκε στις 3</w:t>
      </w:r>
      <w:r w:rsidR="00C924DD" w:rsidRPr="000F62ED">
        <w:t> </w:t>
      </w:r>
      <w:r w:rsidR="00511261" w:rsidRPr="000F62ED">
        <w:t>Δεκεμβρίου 2024, η οποία ήταν ανοικτή σε όλους τους βουλευτές του Ευρωπαϊκού Κοινοβουλίου, παρέχοντάς τους έτσι τη δημοκρατική και διαφανή ευκαιρία να ανταλλάξουν απόψεις με τους υποψηφίους και να αξιολογήσουν την ανεξαρτησία, τα προσόντα και τον επαγγελματισμό τους, καθώς και το όραμά τους για το αξίωμα του Ευρωπαίου Διαμεσολαβητή στο πλαίσιο της θεσμικής αρχιτεκτονικής της ΕΕ· επικροτεί την εποικοδομητική συνεργασία του Κοινοβουλίου με τον Ευρωπαίο Διαμεσολαβητή, με τον οποίο η Επιτροπή Αναφορών συμμερίζεται τους στόχους της διασφάλισης της διαφάνειας, του επαγγελματισμού και της ακεραιότητας των θεσμικών οργάνων της ΕΕ έναντι των Ευρωπαίων πολιτών, καθώς και τη συμμετοχή του στο Ευρωπαϊκό Δίκτυο Διαμεσολαβητών·</w:t>
      </w:r>
    </w:p>
    <w:p w14:paraId="20FA9BE9" w14:textId="71FBC382" w:rsidR="00511261" w:rsidRPr="000F62ED" w:rsidRDefault="000F62ED" w:rsidP="000F62ED">
      <w:pPr>
        <w:pStyle w:val="NormalHanging12a"/>
        <w:widowControl/>
        <w:ind w:left="570" w:hanging="570"/>
        <w:rPr>
          <w:rFonts w:eastAsia="Calibri"/>
        </w:rPr>
      </w:pPr>
      <w:r w:rsidRPr="000F62ED">
        <w:rPr>
          <w:rFonts w:eastAsia="Calibri"/>
        </w:rPr>
        <w:t>19.</w:t>
      </w:r>
      <w:r w:rsidRPr="000F62ED">
        <w:rPr>
          <w:rFonts w:eastAsia="Calibri"/>
        </w:rPr>
        <w:tab/>
      </w:r>
      <w:r w:rsidR="00511261" w:rsidRPr="000F62ED">
        <w:t>ενθαρρύνει τη συνεχή τακτική συνεισφορά της Ευρωπαίας Διαμεσολαβήτριας στις εργασίες της Επιτροπής Αναφορών καθ’ όλη τη διάρκεια του έτους· πιστεύει ακράδαντα ότι τα θεσμικά και λοιπά όργανα και οργανισμοί της Ένωσης πρέπει να εξασφαλίζουν ότι δίνεται συνεπής και αποτελεσματική συνέχεια στις συστάσεις της Διαμεσολαβήτριας· τονίζει τον ουσιαστικό ρόλο της Ευρωπαίας Διαμεσολαβήτριας στην προώθηση της διαφάνειας, της χρηστής διοίκησης και της προστασίας των δικαιωμάτων των πολιτών· ζητεί στενότερη συνεργασία μεταξύ της Επιτροπής Αναφορών και του γραφείου της Διαμεσολαβήτριας·</w:t>
      </w:r>
    </w:p>
    <w:p w14:paraId="493BFEA7" w14:textId="59FA4A28" w:rsidR="00511261" w:rsidRPr="000F62ED" w:rsidRDefault="000F62ED" w:rsidP="000F62ED">
      <w:pPr>
        <w:pStyle w:val="NormalHanging12a"/>
        <w:widowControl/>
        <w:ind w:left="570" w:hanging="570"/>
        <w:rPr>
          <w:bCs/>
          <w:iCs/>
        </w:rPr>
      </w:pPr>
      <w:r w:rsidRPr="000F62ED">
        <w:rPr>
          <w:bCs/>
          <w:iCs/>
        </w:rPr>
        <w:t>20.</w:t>
      </w:r>
      <w:r w:rsidRPr="000F62ED">
        <w:rPr>
          <w:bCs/>
          <w:iCs/>
        </w:rPr>
        <w:tab/>
      </w:r>
      <w:r w:rsidR="00511261" w:rsidRPr="000F62ED">
        <w:t xml:space="preserve">σημειώνει ότι, παρά τις κοινοβουλευτικές διακοπές λόγω των ευρωπαϊκών εκλογών, η Επιτροπή Αναφορών εξέφρασε τη θέση της και διατύπωσε συστάσεις σχετικά με σημαντικά ζητήματα που εγείρονται στις αναφορές, συμπεριλαμβανομένης της έγκρισης δύο απολογισμών αποστολής μετά από διερευνητικές επισκέψεις που πραγματοποιήθηκαν το δεύτερο εξάμηνο του 2023, και συγκεκριμένα της αποστολής στην Ιρλανδία σε κτίρια μαρμαρυγίας και της αποστολής στην Ισπανία σχετικά με τη γλωσσική εμβάπτιση στην Καταλονία· τονίζει τη σημασία της εφαρμογής, από τις </w:t>
      </w:r>
      <w:proofErr w:type="spellStart"/>
      <w:r w:rsidR="00511261" w:rsidRPr="000F62ED">
        <w:t>καταλανικές</w:t>
      </w:r>
      <w:proofErr w:type="spellEnd"/>
      <w:r w:rsidR="00511261" w:rsidRPr="000F62ED">
        <w:t xml:space="preserve"> αρχές, των συστάσεων που διατύπωσε η Επιτροπή Αναφορών στην έκθεσή της τής 19ης Μαρτίου 2024, με σκοπό την προστασία των γλωσσικών δικαιωμάτων των μαθητών και των οικογενειών τους·</w:t>
      </w:r>
    </w:p>
    <w:p w14:paraId="1DA531AC" w14:textId="683BD228" w:rsidR="00511261" w:rsidRPr="000F62ED" w:rsidRDefault="000F62ED" w:rsidP="000F62ED">
      <w:pPr>
        <w:pStyle w:val="NormalHanging12a"/>
        <w:widowControl/>
        <w:ind w:left="570" w:hanging="570"/>
      </w:pPr>
      <w:r w:rsidRPr="000F62ED">
        <w:t>21.</w:t>
      </w:r>
      <w:r w:rsidRPr="000F62ED">
        <w:tab/>
      </w:r>
      <w:r w:rsidR="00511261" w:rsidRPr="000F62ED">
        <w:t>σημειώνει τον αυξανόμενο αριθμό αναφορών σχετικά με την εκπαιδευτική πολιτική, ιδίως την αναγνώριση των προσόντων διδασκαλίας σε όλα τα κράτη μέλη· επισημαίνει, στο πλαίσιο αυτό, την προφορική ερώτηση της Επιτροπής Αναφορών προς την Επιτροπή σχετικά με τις συνθήκες εργασίας των εκπαιδευτικών στην ΕΕ· εκφράζει την ανησυχία του για την προφορική απάντηση της Επιτροπής που επιβεβαιώνει ότι οι ελλείψεις εκπαιδευτικών αποτελούν σοβαρή πρόκληση, γεγονός που αντικατοπτρίζεται επίσης στα πρόσφατα αποτελέσματα του προγράμματος PISA, καθώς κανένα κράτος μέλος δεν κατορθώνει να βελτιώσει τις επιδόσεις του σε βασικές δεξιότητες· καλεί, στο πλαίσιο αυτό, την Επιτροπή και τα κράτη μέλη να εντείνουν σημαντικά τις προσπάθειές τους για τη βελτίωση των συστημάτων σχολικής εκπαίδευσης, αυξάνοντας παράλληλα την ελκυστικότητα του επαγγέλματος του εκπαιδευτικού, μεταξύ άλλων μέσω χρηματοδότησης και προγραμμάτων·</w:t>
      </w:r>
    </w:p>
    <w:p w14:paraId="656F67A0" w14:textId="555CE7F7" w:rsidR="00511261" w:rsidRPr="000F62ED" w:rsidRDefault="000F62ED" w:rsidP="000F62ED">
      <w:pPr>
        <w:pStyle w:val="NormalHanging12a"/>
        <w:widowControl/>
        <w:ind w:left="570" w:hanging="570"/>
      </w:pPr>
      <w:r w:rsidRPr="000F62ED">
        <w:lastRenderedPageBreak/>
        <w:t>22.</w:t>
      </w:r>
      <w:r w:rsidRPr="000F62ED">
        <w:tab/>
      </w:r>
      <w:r w:rsidR="00511261" w:rsidRPr="000F62ED">
        <w:t>επικροτεί την έγκριση του ψηφίσματος του Κοινοβουλίου της 10ης Απριλίου 2024 σχετικά με τον χειρισμό βαρέων φορτηγών οχημάτων στα συνοριακά σημεία διέλευσης βάσει της αναφοράς 0146/2023</w:t>
      </w:r>
      <w:r w:rsidR="00511261" w:rsidRPr="000F62ED">
        <w:rPr>
          <w:rStyle w:val="FootnoteReference"/>
        </w:rPr>
        <w:footnoteReference w:id="5"/>
      </w:r>
      <w:r w:rsidR="00511261" w:rsidRPr="000F62ED">
        <w:t xml:space="preserve">· </w:t>
      </w:r>
    </w:p>
    <w:p w14:paraId="7DE764A6" w14:textId="7C6F4FFF" w:rsidR="00511261" w:rsidRPr="000F62ED" w:rsidRDefault="000F62ED" w:rsidP="000F62ED">
      <w:pPr>
        <w:pStyle w:val="NormalHanging12a"/>
        <w:widowControl/>
        <w:ind w:left="570" w:hanging="570"/>
      </w:pPr>
      <w:r w:rsidRPr="000F62ED">
        <w:t>23.</w:t>
      </w:r>
      <w:r w:rsidRPr="000F62ED">
        <w:tab/>
      </w:r>
      <w:r w:rsidR="00511261" w:rsidRPr="000F62ED">
        <w:t>υπογραμμίζει ότι η διαδικτυακή πύλη αναφορών συνιστά βασικό εργαλείο για τη διασφάλιση ομαλής, αποτελεσματικής και διαφανούς διαδικασίας υποβολής αναφορών· εκφράζει την ικανοποίησή του για τις βελτιώσεις που σημειώθηκαν προς όφελος των αναφερόντων στην πύλη και τονίζει ότι πρέπει να συνεχιστούν οι προσπάθειες για να καταστεί η πύλη πιο προσβάσιμη, μεταξύ άλλων, καθιστώντας την πιο προσβάσιμη για τους χρήστες της νοηματικής γλώσσας, όπως ζητείται στην αναφορά αριθ. 1056/2016, και για τα άτομα με αναπηρία· σημειώνει ότι η διαδικτυακή πύλη αναφορών είναι ένας από τους ιστοτόπους του Κοινοβουλίου με τη μεγαλύτερη επισκεψιμότητα, λειτουργώντας έτσι ως πρώτο σημείο επαφής με το Κοινοβούλιο για πολλούς πολίτες της ΕΕ·</w:t>
      </w:r>
    </w:p>
    <w:p w14:paraId="310D3A5A" w14:textId="620888A7" w:rsidR="00511261" w:rsidRPr="000F62ED" w:rsidRDefault="000F62ED" w:rsidP="000F62ED">
      <w:pPr>
        <w:pStyle w:val="NormalHanging12a"/>
        <w:widowControl/>
        <w:ind w:left="570" w:hanging="570"/>
      </w:pPr>
      <w:r w:rsidRPr="000F62ED">
        <w:t>24.</w:t>
      </w:r>
      <w:r w:rsidRPr="000F62ED">
        <w:tab/>
      </w:r>
      <w:r w:rsidR="00511261" w:rsidRPr="000F62ED">
        <w:t>αναθέτει στην Πρόεδρό του να διαβιβάσει το παρόν ψήφισμα καθώς και την έκθεση της Επιτροπής Αναφορών στην στο Συμβούλιο, στην Επιτροπή, στον Ευρωπαίο Διαμεσολαβητή, στις κυβερνήσεις και τα κοινοβούλια των κρατών μελών, στις επιτροπές αναφορών τους και στους εθνικούς τους διαμεσολαβητές ή παρόμοιους αρμόδιους φορείς.</w:t>
      </w:r>
    </w:p>
    <w:sectPr w:rsidR="00511261" w:rsidRPr="000F62ED" w:rsidSect="007A1A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BB75" w14:textId="77777777" w:rsidR="00BC23B9" w:rsidRPr="007A1AE3" w:rsidRDefault="00BC23B9">
      <w:r w:rsidRPr="007A1AE3">
        <w:separator/>
      </w:r>
    </w:p>
  </w:endnote>
  <w:endnote w:type="continuationSeparator" w:id="0">
    <w:p w14:paraId="294EC2AC" w14:textId="77777777" w:rsidR="00BC23B9" w:rsidRPr="007A1AE3" w:rsidRDefault="00BC23B9">
      <w:r w:rsidRPr="007A1A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23C7" w14:textId="77777777" w:rsidR="00064002" w:rsidRPr="007A1A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0C88" w14:textId="77777777" w:rsidR="00064002" w:rsidRPr="007A1A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70CE" w14:textId="77777777" w:rsidR="00064002" w:rsidRPr="007A1A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619E2" w14:textId="77777777" w:rsidR="00BC23B9" w:rsidRPr="007A1AE3" w:rsidRDefault="00BC23B9">
      <w:r w:rsidRPr="007A1AE3">
        <w:separator/>
      </w:r>
    </w:p>
  </w:footnote>
  <w:footnote w:type="continuationSeparator" w:id="0">
    <w:p w14:paraId="12DFE80D" w14:textId="77777777" w:rsidR="00BC23B9" w:rsidRPr="007A1AE3" w:rsidRDefault="00BC23B9">
      <w:r w:rsidRPr="007A1AE3">
        <w:continuationSeparator/>
      </w:r>
    </w:p>
  </w:footnote>
  <w:footnote w:id="1">
    <w:p w14:paraId="6B21ABD8" w14:textId="20827F5F" w:rsidR="00511261" w:rsidRPr="007A1AE3" w:rsidRDefault="00511261" w:rsidP="007A1AE3">
      <w:pPr>
        <w:pStyle w:val="FootnoteText"/>
        <w:ind w:left="567" w:hanging="567"/>
        <w:rPr>
          <w:sz w:val="24"/>
          <w:lang w:val="el-GR"/>
        </w:rPr>
      </w:pPr>
      <w:r w:rsidRPr="007A1AE3">
        <w:rPr>
          <w:rStyle w:val="FootnoteReference"/>
          <w:sz w:val="24"/>
          <w:lang w:val="el-GR"/>
        </w:rPr>
        <w:footnoteRef/>
      </w:r>
      <w:r w:rsidR="007A1AE3" w:rsidRPr="007A1AE3">
        <w:rPr>
          <w:sz w:val="24"/>
          <w:lang w:val="el-GR"/>
        </w:rPr>
        <w:t xml:space="preserve"> </w:t>
      </w:r>
      <w:r w:rsidR="007A1AE3" w:rsidRPr="007A1AE3">
        <w:rPr>
          <w:sz w:val="24"/>
          <w:lang w:val="el-GR"/>
        </w:rPr>
        <w:tab/>
      </w:r>
      <w:r w:rsidRPr="007A1AE3">
        <w:rPr>
          <w:sz w:val="24"/>
          <w:lang w:val="el-GR"/>
        </w:rPr>
        <w:t xml:space="preserve">ΕΕ L 304 της 20.11.2010, σ. 47, ELI: </w:t>
      </w:r>
      <w:hyperlink r:id="rId1" w:history="1">
        <w:r w:rsidRPr="007A1AE3">
          <w:rPr>
            <w:rStyle w:val="Hyperlink"/>
            <w:sz w:val="24"/>
            <w:lang w:val="el-GR"/>
          </w:rPr>
          <w:t>http://data.europa.eu/eli/agree_interinstit/2010/1120/oj</w:t>
        </w:r>
      </w:hyperlink>
      <w:r w:rsidRPr="007A1AE3">
        <w:rPr>
          <w:sz w:val="24"/>
          <w:lang w:val="el-GR"/>
        </w:rPr>
        <w:t xml:space="preserve">. </w:t>
      </w:r>
    </w:p>
  </w:footnote>
  <w:footnote w:id="2">
    <w:p w14:paraId="05CA69D2" w14:textId="17E129B5" w:rsidR="00511261" w:rsidRPr="007A1AE3" w:rsidRDefault="00511261" w:rsidP="007A1AE3">
      <w:pPr>
        <w:pStyle w:val="FootnoteText"/>
        <w:ind w:left="567" w:hanging="567"/>
        <w:rPr>
          <w:sz w:val="24"/>
          <w:lang w:val="el-GR"/>
        </w:rPr>
      </w:pPr>
      <w:r w:rsidRPr="007A1AE3">
        <w:rPr>
          <w:rStyle w:val="FootnoteReference"/>
          <w:sz w:val="24"/>
          <w:lang w:val="el-GR"/>
        </w:rPr>
        <w:footnoteRef/>
      </w:r>
      <w:r w:rsidR="007A1AE3" w:rsidRPr="007A1AE3">
        <w:rPr>
          <w:sz w:val="24"/>
          <w:lang w:val="el-GR"/>
        </w:rPr>
        <w:t xml:space="preserve"> </w:t>
      </w:r>
      <w:r w:rsidR="007A1AE3" w:rsidRPr="007A1AE3">
        <w:rPr>
          <w:sz w:val="24"/>
          <w:lang w:val="el-GR"/>
        </w:rPr>
        <w:tab/>
      </w:r>
      <w:r w:rsidRPr="007A1AE3">
        <w:rPr>
          <w:sz w:val="24"/>
          <w:lang w:val="el-GR"/>
        </w:rPr>
        <w:t xml:space="preserve">Οδηγία (ΕΕ) 2024/1785 του Ευρωπαϊκού Κοινοβουλίου και του Συμβουλίου, της 24ης Απριλίου 2024, για την τροποποίηση της οδηγίας 2010/75/ΕΕ του Ευρωπαϊκού Κοινοβουλίου και του Συμβουλίου περί βιομηχανικών εκπομπών (ολοκληρωμένη πρόληψη και έλεγχος της ρύπανσης) και της οδηγίας 1999/31/ΕΚ του Συμβουλίου περί υγειονομικής ταφής των αποβλήτων (ΕΕ L, 2024/1785, 15.7.2024, ELI: </w:t>
      </w:r>
      <w:r w:rsidR="00B559F2">
        <w:fldChar w:fldCharType="begin"/>
      </w:r>
      <w:r w:rsidR="00B559F2">
        <w:instrText>HYPERLINK</w:instrText>
      </w:r>
      <w:r w:rsidR="00B559F2" w:rsidRPr="00B559F2">
        <w:rPr>
          <w:lang w:val="el-GR"/>
        </w:rPr>
        <w:instrText xml:space="preserve"> "</w:instrText>
      </w:r>
      <w:r w:rsidR="00B559F2">
        <w:instrText>http</w:instrText>
      </w:r>
      <w:r w:rsidR="00B559F2" w:rsidRPr="00B559F2">
        <w:rPr>
          <w:lang w:val="el-GR"/>
        </w:rPr>
        <w:instrText>://</w:instrText>
      </w:r>
      <w:r w:rsidR="00B559F2">
        <w:instrText>data</w:instrText>
      </w:r>
      <w:r w:rsidR="00B559F2" w:rsidRPr="00B559F2">
        <w:rPr>
          <w:lang w:val="el-GR"/>
        </w:rPr>
        <w:instrText>.</w:instrText>
      </w:r>
      <w:r w:rsidR="00B559F2">
        <w:instrText>europa</w:instrText>
      </w:r>
      <w:r w:rsidR="00B559F2" w:rsidRPr="00B559F2">
        <w:rPr>
          <w:lang w:val="el-GR"/>
        </w:rPr>
        <w:instrText>.</w:instrText>
      </w:r>
      <w:r w:rsidR="00B559F2">
        <w:instrText>eu</w:instrText>
      </w:r>
      <w:r w:rsidR="00B559F2" w:rsidRPr="00B559F2">
        <w:rPr>
          <w:lang w:val="el-GR"/>
        </w:rPr>
        <w:instrText>/</w:instrText>
      </w:r>
      <w:r w:rsidR="00B559F2">
        <w:instrText>eli</w:instrText>
      </w:r>
      <w:r w:rsidR="00B559F2" w:rsidRPr="00B559F2">
        <w:rPr>
          <w:lang w:val="el-GR"/>
        </w:rPr>
        <w:instrText>/</w:instrText>
      </w:r>
      <w:r w:rsidR="00B559F2">
        <w:instrText>dir</w:instrText>
      </w:r>
      <w:r w:rsidR="00B559F2" w:rsidRPr="00B559F2">
        <w:rPr>
          <w:lang w:val="el-GR"/>
        </w:rPr>
        <w:instrText>/2024/1785/</w:instrText>
      </w:r>
      <w:r w:rsidR="00B559F2">
        <w:instrText>oj</w:instrText>
      </w:r>
      <w:r w:rsidR="00B559F2" w:rsidRPr="00B559F2">
        <w:rPr>
          <w:lang w:val="el-GR"/>
        </w:rPr>
        <w:instrText>"</w:instrText>
      </w:r>
      <w:r w:rsidR="00B559F2">
        <w:fldChar w:fldCharType="separate"/>
      </w:r>
      <w:r w:rsidRPr="007A1AE3">
        <w:rPr>
          <w:rStyle w:val="Hyperlink"/>
          <w:sz w:val="24"/>
          <w:lang w:val="el-GR"/>
        </w:rPr>
        <w:t>http://data.europa.eu/eli/dir/2024/1785/oj</w:t>
      </w:r>
      <w:r w:rsidR="00B559F2">
        <w:rPr>
          <w:rStyle w:val="Hyperlink"/>
          <w:sz w:val="24"/>
          <w:lang w:val="el-GR"/>
        </w:rPr>
        <w:fldChar w:fldCharType="end"/>
      </w:r>
      <w:r w:rsidRPr="007A1AE3">
        <w:rPr>
          <w:sz w:val="24"/>
          <w:lang w:val="el-GR"/>
        </w:rPr>
        <w:t xml:space="preserve">). </w:t>
      </w:r>
    </w:p>
  </w:footnote>
  <w:footnote w:id="3">
    <w:p w14:paraId="414A4394" w14:textId="7560506B" w:rsidR="00511261" w:rsidRPr="007A1AE3" w:rsidRDefault="00511261" w:rsidP="007A1AE3">
      <w:pPr>
        <w:pStyle w:val="FootnoteText"/>
        <w:ind w:left="567" w:hanging="567"/>
        <w:rPr>
          <w:sz w:val="24"/>
          <w:lang w:val="el-GR"/>
        </w:rPr>
      </w:pPr>
      <w:r w:rsidRPr="007A1AE3">
        <w:rPr>
          <w:rStyle w:val="FootnoteReference"/>
          <w:sz w:val="24"/>
          <w:lang w:val="el-GR"/>
        </w:rPr>
        <w:footnoteRef/>
      </w:r>
      <w:r w:rsidR="007A1AE3" w:rsidRPr="007A1AE3">
        <w:rPr>
          <w:sz w:val="24"/>
          <w:lang w:val="el-GR"/>
        </w:rPr>
        <w:t xml:space="preserve"> </w:t>
      </w:r>
      <w:r w:rsidR="007A1AE3" w:rsidRPr="007A1AE3">
        <w:rPr>
          <w:sz w:val="24"/>
          <w:lang w:val="el-GR"/>
        </w:rPr>
        <w:tab/>
      </w:r>
      <w:r w:rsidRPr="007A1AE3">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w:t>
      </w:r>
      <w:r w:rsidR="00B559F2">
        <w:fldChar w:fldCharType="begin"/>
      </w:r>
      <w:r w:rsidR="00B559F2">
        <w:instrText>HYPERLINK</w:instrText>
      </w:r>
      <w:r w:rsidR="00B559F2" w:rsidRPr="00B559F2">
        <w:rPr>
          <w:lang w:val="el-GR"/>
        </w:rPr>
        <w:instrText xml:space="preserve"> "</w:instrText>
      </w:r>
      <w:r w:rsidR="00B559F2">
        <w:instrText>http</w:instrText>
      </w:r>
      <w:r w:rsidR="00B559F2" w:rsidRPr="00B559F2">
        <w:rPr>
          <w:lang w:val="el-GR"/>
        </w:rPr>
        <w:instrText>://</w:instrText>
      </w:r>
      <w:r w:rsidR="00B559F2">
        <w:instrText>data</w:instrText>
      </w:r>
      <w:r w:rsidR="00B559F2" w:rsidRPr="00B559F2">
        <w:rPr>
          <w:lang w:val="el-GR"/>
        </w:rPr>
        <w:instrText>.</w:instrText>
      </w:r>
      <w:r w:rsidR="00B559F2">
        <w:instrText>europa</w:instrText>
      </w:r>
      <w:r w:rsidR="00B559F2" w:rsidRPr="00B559F2">
        <w:rPr>
          <w:lang w:val="el-GR"/>
        </w:rPr>
        <w:instrText>.</w:instrText>
      </w:r>
      <w:r w:rsidR="00B559F2">
        <w:instrText>eu</w:instrText>
      </w:r>
      <w:r w:rsidR="00B559F2" w:rsidRPr="00B559F2">
        <w:rPr>
          <w:lang w:val="el-GR"/>
        </w:rPr>
        <w:instrText>/</w:instrText>
      </w:r>
      <w:r w:rsidR="00B559F2">
        <w:instrText>eli</w:instrText>
      </w:r>
      <w:r w:rsidR="00B559F2" w:rsidRPr="00B559F2">
        <w:rPr>
          <w:lang w:val="el-GR"/>
        </w:rPr>
        <w:instrText>/</w:instrText>
      </w:r>
      <w:r w:rsidR="00B559F2">
        <w:instrText>reg</w:instrText>
      </w:r>
      <w:r w:rsidR="00B559F2" w:rsidRPr="00B559F2">
        <w:rPr>
          <w:lang w:val="el-GR"/>
        </w:rPr>
        <w:instrText>/2016/679/</w:instrText>
      </w:r>
      <w:r w:rsidR="00B559F2">
        <w:instrText>oj</w:instrText>
      </w:r>
      <w:r w:rsidR="00B559F2" w:rsidRPr="00B559F2">
        <w:rPr>
          <w:lang w:val="el-GR"/>
        </w:rPr>
        <w:instrText>"</w:instrText>
      </w:r>
      <w:r w:rsidR="00B559F2">
        <w:fldChar w:fldCharType="separate"/>
      </w:r>
      <w:r w:rsidRPr="007A1AE3">
        <w:rPr>
          <w:rStyle w:val="Hyperlink"/>
          <w:sz w:val="24"/>
          <w:lang w:val="el-GR"/>
        </w:rPr>
        <w:t>http://data.europa.eu/eli/reg/2016/679/oj</w:t>
      </w:r>
      <w:r w:rsidR="00B559F2">
        <w:rPr>
          <w:rStyle w:val="Hyperlink"/>
          <w:sz w:val="24"/>
          <w:lang w:val="el-GR"/>
        </w:rPr>
        <w:fldChar w:fldCharType="end"/>
      </w:r>
      <w:r w:rsidRPr="007A1AE3">
        <w:rPr>
          <w:sz w:val="24"/>
          <w:lang w:val="el-GR"/>
        </w:rPr>
        <w:t>).</w:t>
      </w:r>
    </w:p>
  </w:footnote>
  <w:footnote w:id="4">
    <w:p w14:paraId="590F57A3" w14:textId="3861570F" w:rsidR="00511261" w:rsidRPr="007A1AE3" w:rsidRDefault="00511261" w:rsidP="007A1AE3">
      <w:pPr>
        <w:pStyle w:val="FootnoteText"/>
        <w:ind w:left="567" w:hanging="567"/>
        <w:rPr>
          <w:sz w:val="24"/>
          <w:lang w:val="el-GR"/>
        </w:rPr>
      </w:pPr>
      <w:r w:rsidRPr="007A1AE3">
        <w:rPr>
          <w:rStyle w:val="FootnoteReference"/>
          <w:sz w:val="24"/>
          <w:lang w:val="el-GR"/>
        </w:rPr>
        <w:footnoteRef/>
      </w:r>
      <w:r w:rsidR="007A1AE3" w:rsidRPr="007A1AE3">
        <w:rPr>
          <w:sz w:val="24"/>
          <w:lang w:val="el-GR"/>
        </w:rPr>
        <w:t xml:space="preserve"> </w:t>
      </w:r>
      <w:r w:rsidR="007A1AE3" w:rsidRPr="007A1AE3">
        <w:rPr>
          <w:sz w:val="24"/>
          <w:lang w:val="el-GR"/>
        </w:rPr>
        <w:tab/>
      </w:r>
      <w:r w:rsidRPr="007A1AE3">
        <w:rPr>
          <w:sz w:val="24"/>
          <w:lang w:val="el-GR"/>
        </w:rPr>
        <w:t>Οδηγία (EE) 2024/2841 του Ευρωπαϊκού Κοινοβουλίου και του Συμβουλίου, της 23ης Οκτωβρίου 2024, για τη θέσπιση της ευρωπαϊκής κάρτας αναπηρίας και της ευρωπαϊκής κάρτας στάθμευσης για άτομα με αναπηρία (ΕΕ L, 2024/2841, 14.11.2024, ELI: </w:t>
      </w:r>
      <w:r w:rsidR="00B559F2">
        <w:fldChar w:fldCharType="begin"/>
      </w:r>
      <w:r w:rsidR="00B559F2">
        <w:instrText>HYPERLINK</w:instrText>
      </w:r>
      <w:r w:rsidR="00B559F2" w:rsidRPr="00B559F2">
        <w:rPr>
          <w:lang w:val="el-GR"/>
        </w:rPr>
        <w:instrText xml:space="preserve"> "</w:instrText>
      </w:r>
      <w:r w:rsidR="00B559F2">
        <w:instrText>http</w:instrText>
      </w:r>
      <w:r w:rsidR="00B559F2" w:rsidRPr="00B559F2">
        <w:rPr>
          <w:lang w:val="el-GR"/>
        </w:rPr>
        <w:instrText>://</w:instrText>
      </w:r>
      <w:r w:rsidR="00B559F2">
        <w:instrText>data</w:instrText>
      </w:r>
      <w:r w:rsidR="00B559F2" w:rsidRPr="00B559F2">
        <w:rPr>
          <w:lang w:val="el-GR"/>
        </w:rPr>
        <w:instrText>.</w:instrText>
      </w:r>
      <w:r w:rsidR="00B559F2">
        <w:instrText>europa</w:instrText>
      </w:r>
      <w:r w:rsidR="00B559F2" w:rsidRPr="00B559F2">
        <w:rPr>
          <w:lang w:val="el-GR"/>
        </w:rPr>
        <w:instrText>.</w:instrText>
      </w:r>
      <w:r w:rsidR="00B559F2">
        <w:instrText>eu</w:instrText>
      </w:r>
      <w:r w:rsidR="00B559F2" w:rsidRPr="00B559F2">
        <w:rPr>
          <w:lang w:val="el-GR"/>
        </w:rPr>
        <w:instrText>/</w:instrText>
      </w:r>
      <w:r w:rsidR="00B559F2">
        <w:instrText>eli</w:instrText>
      </w:r>
      <w:r w:rsidR="00B559F2" w:rsidRPr="00B559F2">
        <w:rPr>
          <w:lang w:val="el-GR"/>
        </w:rPr>
        <w:instrText>/</w:instrText>
      </w:r>
      <w:r w:rsidR="00B559F2">
        <w:instrText>dir</w:instrText>
      </w:r>
      <w:r w:rsidR="00B559F2" w:rsidRPr="00B559F2">
        <w:rPr>
          <w:lang w:val="el-GR"/>
        </w:rPr>
        <w:instrText>/2024/2841/</w:instrText>
      </w:r>
      <w:r w:rsidR="00B559F2">
        <w:instrText>oj</w:instrText>
      </w:r>
      <w:r w:rsidR="00B559F2" w:rsidRPr="00B559F2">
        <w:rPr>
          <w:lang w:val="el-GR"/>
        </w:rPr>
        <w:instrText>" \</w:instrText>
      </w:r>
      <w:r w:rsidR="00B559F2">
        <w:instrText>t</w:instrText>
      </w:r>
      <w:r w:rsidR="00B559F2" w:rsidRPr="00B559F2">
        <w:rPr>
          <w:lang w:val="el-GR"/>
        </w:rPr>
        <w:instrText xml:space="preserve"> "_</w:instrText>
      </w:r>
      <w:r w:rsidR="00B559F2">
        <w:instrText>blank</w:instrText>
      </w:r>
      <w:r w:rsidR="00B559F2" w:rsidRPr="00B559F2">
        <w:rPr>
          <w:lang w:val="el-GR"/>
        </w:rPr>
        <w:instrText>" \</w:instrText>
      </w:r>
      <w:r w:rsidR="00B559F2">
        <w:instrText>o</w:instrText>
      </w:r>
      <w:r w:rsidR="00B559F2" w:rsidRPr="00B559F2">
        <w:rPr>
          <w:lang w:val="el-GR"/>
        </w:rPr>
        <w:instrText xml:space="preserve"> "Επιτρέπει πρόσβαση στο έγγραφο μέσω του </w:instrText>
      </w:r>
      <w:r w:rsidR="00B559F2">
        <w:instrText>ELI</w:instrText>
      </w:r>
      <w:r w:rsidR="00B559F2" w:rsidRPr="00B559F2">
        <w:rPr>
          <w:lang w:val="el-GR"/>
        </w:rPr>
        <w:instrText xml:space="preserve"> </w:instrText>
      </w:r>
      <w:r w:rsidR="00B559F2">
        <w:instrText>URI</w:instrText>
      </w:r>
      <w:r w:rsidR="00B559F2" w:rsidRPr="00B559F2">
        <w:rPr>
          <w:lang w:val="el-GR"/>
        </w:rPr>
        <w:instrText>."</w:instrText>
      </w:r>
      <w:r w:rsidR="00B559F2">
        <w:fldChar w:fldCharType="separate"/>
      </w:r>
      <w:r w:rsidRPr="007A1AE3">
        <w:rPr>
          <w:rStyle w:val="Hyperlink"/>
          <w:sz w:val="24"/>
          <w:lang w:val="el-GR"/>
        </w:rPr>
        <w:t>http://data.europa.eu/eli/dir/2024/2841/oj</w:t>
      </w:r>
      <w:r w:rsidR="00B559F2">
        <w:rPr>
          <w:rStyle w:val="Hyperlink"/>
          <w:sz w:val="24"/>
          <w:lang w:val="el-GR"/>
        </w:rPr>
        <w:fldChar w:fldCharType="end"/>
      </w:r>
      <w:r w:rsidRPr="007A1AE3">
        <w:rPr>
          <w:sz w:val="24"/>
          <w:lang w:val="el-GR"/>
        </w:rPr>
        <w:t>).</w:t>
      </w:r>
    </w:p>
  </w:footnote>
  <w:footnote w:id="5">
    <w:p w14:paraId="3CA1DE02" w14:textId="38D56257" w:rsidR="00511261" w:rsidRPr="000F62ED" w:rsidRDefault="00511261" w:rsidP="007A1AE3">
      <w:pPr>
        <w:pStyle w:val="FootnoteText"/>
        <w:ind w:left="567" w:hanging="567"/>
        <w:rPr>
          <w:sz w:val="24"/>
          <w:lang w:val="fi-FI"/>
        </w:rPr>
      </w:pPr>
      <w:r w:rsidRPr="007A1AE3">
        <w:rPr>
          <w:rStyle w:val="FootnoteReference"/>
          <w:sz w:val="24"/>
          <w:lang w:val="el-GR"/>
        </w:rPr>
        <w:footnoteRef/>
      </w:r>
      <w:r w:rsidR="007A1AE3" w:rsidRPr="000F62ED">
        <w:rPr>
          <w:sz w:val="24"/>
          <w:lang w:val="fi-FI"/>
        </w:rPr>
        <w:t xml:space="preserve"> </w:t>
      </w:r>
      <w:r w:rsidR="007A1AE3" w:rsidRPr="000F62ED">
        <w:rPr>
          <w:sz w:val="24"/>
          <w:lang w:val="fi-FI"/>
        </w:rPr>
        <w:tab/>
      </w:r>
      <w:r w:rsidRPr="007A1AE3">
        <w:rPr>
          <w:sz w:val="24"/>
          <w:lang w:val="el-GR"/>
        </w:rPr>
        <w:t>ΕΕ</w:t>
      </w:r>
      <w:r w:rsidRPr="000F62ED">
        <w:rPr>
          <w:sz w:val="24"/>
          <w:lang w:val="fi-FI"/>
        </w:rPr>
        <w:t xml:space="preserve"> C, C/2025/1278, 13.3.2025, ELI: </w:t>
      </w:r>
      <w:r w:rsidR="00B559F2">
        <w:fldChar w:fldCharType="begin"/>
      </w:r>
      <w:r w:rsidR="00B559F2" w:rsidRPr="00B559F2">
        <w:rPr>
          <w:lang w:val="fi-FI"/>
        </w:rPr>
        <w:instrText>HYPERLINK "http://data.europa.eu/eli/C/2025/1278/oj"</w:instrText>
      </w:r>
      <w:r w:rsidR="00B559F2">
        <w:fldChar w:fldCharType="separate"/>
      </w:r>
      <w:r w:rsidRPr="000F62ED">
        <w:rPr>
          <w:rStyle w:val="Hyperlink"/>
          <w:sz w:val="24"/>
          <w:lang w:val="fi-FI"/>
        </w:rPr>
        <w:t>http://data.europa.eu/eli/C/2025/1278/oj</w:t>
      </w:r>
      <w:r w:rsidR="00B559F2">
        <w:rPr>
          <w:rStyle w:val="Hyperlink"/>
          <w:sz w:val="24"/>
          <w:lang w:val="fi-FI"/>
        </w:rPr>
        <w:fldChar w:fldCharType="end"/>
      </w:r>
      <w:r w:rsidRPr="000F62E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1743" w14:textId="77777777" w:rsidR="00064002" w:rsidRPr="007A1A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BFAB" w14:textId="77777777" w:rsidR="00064002" w:rsidRPr="007A1A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1D938" w14:textId="77777777" w:rsidR="00064002" w:rsidRPr="007A1A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16D1859"/>
    <w:multiLevelType w:val="hybridMultilevel"/>
    <w:tmpl w:val="61625F84"/>
    <w:lvl w:ilvl="0" w:tplc="FC4A4D7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B3C02AE"/>
    <w:multiLevelType w:val="hybridMultilevel"/>
    <w:tmpl w:val="11485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2762541">
    <w:abstractNumId w:val="9"/>
  </w:num>
  <w:num w:numId="2" w16cid:durableId="1205290566">
    <w:abstractNumId w:val="9"/>
  </w:num>
  <w:num w:numId="3" w16cid:durableId="484128875">
    <w:abstractNumId w:val="7"/>
  </w:num>
  <w:num w:numId="4" w16cid:durableId="670329740">
    <w:abstractNumId w:val="7"/>
  </w:num>
  <w:num w:numId="5" w16cid:durableId="1221941320">
    <w:abstractNumId w:val="6"/>
  </w:num>
  <w:num w:numId="6" w16cid:durableId="1626932620">
    <w:abstractNumId w:val="6"/>
  </w:num>
  <w:num w:numId="7" w16cid:durableId="1759058527">
    <w:abstractNumId w:val="5"/>
  </w:num>
  <w:num w:numId="8" w16cid:durableId="341469935">
    <w:abstractNumId w:val="5"/>
  </w:num>
  <w:num w:numId="9" w16cid:durableId="963654858">
    <w:abstractNumId w:val="4"/>
  </w:num>
  <w:num w:numId="10" w16cid:durableId="21250713">
    <w:abstractNumId w:val="4"/>
  </w:num>
  <w:num w:numId="11" w16cid:durableId="609708463">
    <w:abstractNumId w:val="8"/>
  </w:num>
  <w:num w:numId="12" w16cid:durableId="2058240397">
    <w:abstractNumId w:val="8"/>
  </w:num>
  <w:num w:numId="13" w16cid:durableId="1745179790">
    <w:abstractNumId w:val="3"/>
  </w:num>
  <w:num w:numId="14" w16cid:durableId="873344257">
    <w:abstractNumId w:val="3"/>
  </w:num>
  <w:num w:numId="15" w16cid:durableId="100760031">
    <w:abstractNumId w:val="2"/>
  </w:num>
  <w:num w:numId="16" w16cid:durableId="958218741">
    <w:abstractNumId w:val="2"/>
  </w:num>
  <w:num w:numId="17" w16cid:durableId="379868335">
    <w:abstractNumId w:val="1"/>
  </w:num>
  <w:num w:numId="18" w16cid:durableId="1353651508">
    <w:abstractNumId w:val="1"/>
  </w:num>
  <w:num w:numId="19" w16cid:durableId="1913464380">
    <w:abstractNumId w:val="0"/>
  </w:num>
  <w:num w:numId="20" w16cid:durableId="1560937770">
    <w:abstractNumId w:val="0"/>
  </w:num>
  <w:num w:numId="21" w16cid:durableId="1983266872">
    <w:abstractNumId w:val="9"/>
  </w:num>
  <w:num w:numId="22" w16cid:durableId="1633513767">
    <w:abstractNumId w:val="7"/>
  </w:num>
  <w:num w:numId="23" w16cid:durableId="1525052080">
    <w:abstractNumId w:val="6"/>
  </w:num>
  <w:num w:numId="24" w16cid:durableId="1606768418">
    <w:abstractNumId w:val="5"/>
  </w:num>
  <w:num w:numId="25" w16cid:durableId="1118987841">
    <w:abstractNumId w:val="4"/>
  </w:num>
  <w:num w:numId="26" w16cid:durableId="978462835">
    <w:abstractNumId w:val="8"/>
  </w:num>
  <w:num w:numId="27" w16cid:durableId="1934588401">
    <w:abstractNumId w:val="3"/>
  </w:num>
  <w:num w:numId="28" w16cid:durableId="831338752">
    <w:abstractNumId w:val="2"/>
  </w:num>
  <w:num w:numId="29" w16cid:durableId="1292709761">
    <w:abstractNumId w:val="1"/>
  </w:num>
  <w:num w:numId="30" w16cid:durableId="1063912884">
    <w:abstractNumId w:val="0"/>
  </w:num>
  <w:num w:numId="31" w16cid:durableId="874660782">
    <w:abstractNumId w:val="9"/>
  </w:num>
  <w:num w:numId="32" w16cid:durableId="1629244515">
    <w:abstractNumId w:val="7"/>
  </w:num>
  <w:num w:numId="33" w16cid:durableId="102462359">
    <w:abstractNumId w:val="6"/>
  </w:num>
  <w:num w:numId="34" w16cid:durableId="1781533689">
    <w:abstractNumId w:val="5"/>
  </w:num>
  <w:num w:numId="35" w16cid:durableId="1721517237">
    <w:abstractNumId w:val="4"/>
  </w:num>
  <w:num w:numId="36" w16cid:durableId="2082216018">
    <w:abstractNumId w:val="8"/>
  </w:num>
  <w:num w:numId="37" w16cid:durableId="341975849">
    <w:abstractNumId w:val="3"/>
  </w:num>
  <w:num w:numId="38" w16cid:durableId="2128505445">
    <w:abstractNumId w:val="2"/>
  </w:num>
  <w:num w:numId="39" w16cid:durableId="1629318492">
    <w:abstractNumId w:val="1"/>
  </w:num>
  <w:num w:numId="40" w16cid:durableId="869144034">
    <w:abstractNumId w:val="0"/>
  </w:num>
  <w:num w:numId="41" w16cid:durableId="1923251333">
    <w:abstractNumId w:val="10"/>
  </w:num>
  <w:num w:numId="42" w16cid:durableId="886181482">
    <w:abstractNumId w:val="10"/>
  </w:num>
  <w:num w:numId="43" w16cid:durableId="1489050614">
    <w:abstractNumId w:val="10"/>
  </w:num>
  <w:num w:numId="44" w16cid:durableId="962884060">
    <w:abstractNumId w:val="11"/>
  </w:num>
  <w:num w:numId="45" w16cid:durableId="236600987">
    <w:abstractNumId w:val="13"/>
  </w:num>
  <w:num w:numId="46" w16cid:durableId="327176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EL"/>
    <w:docVar w:name="dvnumam" w:val="0"/>
    <w:docVar w:name="dvpe" w:val="773.363"/>
    <w:docVar w:name="dvrapporteur" w:val="Εισηγητής: "/>
    <w:docVar w:name="dvtitre" w:val="Ψήφισμα του Ευρωπαϊκού Κοινοβουλίου σχετικά με τις διαβουλεύσεις της Επιτροπής Αναφορών κατά το έτος 2024(2025/2114(INI))"/>
  </w:docVars>
  <w:rsids>
    <w:rsidRoot w:val="00BC23B9"/>
    <w:rsid w:val="00002272"/>
    <w:rsid w:val="00064002"/>
    <w:rsid w:val="000677B9"/>
    <w:rsid w:val="000831BA"/>
    <w:rsid w:val="000A42CC"/>
    <w:rsid w:val="000E7DD9"/>
    <w:rsid w:val="000F62ED"/>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1B55"/>
    <w:rsid w:val="00471C19"/>
    <w:rsid w:val="004867E3"/>
    <w:rsid w:val="00494A28"/>
    <w:rsid w:val="004C0004"/>
    <w:rsid w:val="004C5D52"/>
    <w:rsid w:val="0050519A"/>
    <w:rsid w:val="005072A1"/>
    <w:rsid w:val="0051126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AE3"/>
    <w:rsid w:val="007D1690"/>
    <w:rsid w:val="007E22AD"/>
    <w:rsid w:val="00817416"/>
    <w:rsid w:val="00842779"/>
    <w:rsid w:val="00865F67"/>
    <w:rsid w:val="00881A7B"/>
    <w:rsid w:val="008840E5"/>
    <w:rsid w:val="00887B3E"/>
    <w:rsid w:val="008A104E"/>
    <w:rsid w:val="008C2AC6"/>
    <w:rsid w:val="00930C23"/>
    <w:rsid w:val="0093193B"/>
    <w:rsid w:val="009509D8"/>
    <w:rsid w:val="00950B64"/>
    <w:rsid w:val="00981893"/>
    <w:rsid w:val="00A1687D"/>
    <w:rsid w:val="00A43E52"/>
    <w:rsid w:val="00A4678D"/>
    <w:rsid w:val="00A778C7"/>
    <w:rsid w:val="00A77FE1"/>
    <w:rsid w:val="00AB441E"/>
    <w:rsid w:val="00AB6293"/>
    <w:rsid w:val="00AE0928"/>
    <w:rsid w:val="00AF3B82"/>
    <w:rsid w:val="00B12E95"/>
    <w:rsid w:val="00B22876"/>
    <w:rsid w:val="00B558F0"/>
    <w:rsid w:val="00B559F2"/>
    <w:rsid w:val="00BC23B9"/>
    <w:rsid w:val="00BD48FE"/>
    <w:rsid w:val="00BD7BD8"/>
    <w:rsid w:val="00BE6ADC"/>
    <w:rsid w:val="00C05BFE"/>
    <w:rsid w:val="00C23CD4"/>
    <w:rsid w:val="00C61C0C"/>
    <w:rsid w:val="00C924D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6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BB221"/>
  <w15:chartTrackingRefBased/>
  <w15:docId w15:val="{A4EDB9BF-1D9D-44C3-96C9-213EFB12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1261"/>
    <w:rPr>
      <w:b/>
    </w:rPr>
  </w:style>
  <w:style w:type="paragraph" w:customStyle="1" w:styleId="NormalHanging12a">
    <w:name w:val="NormalHanging12a"/>
    <w:basedOn w:val="Normal"/>
    <w:link w:val="NormalHanging12aChar"/>
    <w:rsid w:val="00511261"/>
    <w:pPr>
      <w:spacing w:after="240"/>
      <w:ind w:left="567" w:hanging="567"/>
    </w:pPr>
  </w:style>
  <w:style w:type="paragraph" w:customStyle="1" w:styleId="EPComma">
    <w:name w:val="EPComma"/>
    <w:basedOn w:val="Normal"/>
    <w:uiPriority w:val="99"/>
    <w:rsid w:val="00511261"/>
    <w:pPr>
      <w:spacing w:before="480" w:after="240"/>
    </w:pPr>
  </w:style>
  <w:style w:type="character" w:styleId="Hyperlink">
    <w:name w:val="Hyperlink"/>
    <w:basedOn w:val="DefaultParagraphFont"/>
    <w:rsid w:val="00511261"/>
    <w:rPr>
      <w:color w:val="0563C1" w:themeColor="hyperlink"/>
      <w:u w:val="single"/>
    </w:rPr>
  </w:style>
  <w:style w:type="character" w:customStyle="1" w:styleId="NormalHanging12aChar">
    <w:name w:val="NormalHanging12a Char"/>
    <w:basedOn w:val="DefaultParagraphFont"/>
    <w:link w:val="NormalHanging12a"/>
    <w:rsid w:val="00511261"/>
    <w:rPr>
      <w:sz w:val="24"/>
      <w:lang w:val="el-GR"/>
    </w:rPr>
  </w:style>
  <w:style w:type="paragraph" w:styleId="Revision">
    <w:name w:val="Revision"/>
    <w:hidden/>
    <w:uiPriority w:val="99"/>
    <w:semiHidden/>
    <w:rsid w:val="00C924D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4679</Words>
  <Characters>27716</Characters>
  <Application>Microsoft Office Word</Application>
  <DocSecurity>0</DocSecurity>
  <Lines>602</Lines>
  <Paragraphs>314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LETSA Alexandra</cp:lastModifiedBy>
  <cp:revision>2</cp:revision>
  <cp:lastPrinted>2004-11-19T15:42:00Z</cp:lastPrinted>
  <dcterms:created xsi:type="dcterms:W3CDTF">2025-11-10T14:36:00Z</dcterms:created>
  <dcterms:modified xsi:type="dcterms:W3CDTF">2025-11-10T14:36:00Z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A10-0170/2025</vt:lpwstr>
  </property>
  <property fmtid="{D5CDD505-2E9C-101B-9397-08002B2CF9AE}" pid="4" name="&lt;Type&gt;">
    <vt:lpwstr>RR</vt:lpwstr>
  </property>
</Properties>
</file>