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5CA5" w14:paraId="5F458795" w14:textId="77777777" w:rsidTr="0010095E">
        <w:trPr>
          <w:trHeight w:hRule="exact" w:val="1418"/>
        </w:trPr>
        <w:tc>
          <w:tcPr>
            <w:tcW w:w="6804" w:type="dxa"/>
            <w:shd w:val="clear" w:color="auto" w:fill="auto"/>
            <w:vAlign w:val="center"/>
          </w:tcPr>
          <w:p w14:paraId="785F0128" w14:textId="77777777" w:rsidR="00751A4A" w:rsidRPr="006E5CA5" w:rsidRDefault="004A1FD0" w:rsidP="0010095E">
            <w:pPr>
              <w:pStyle w:val="EPName"/>
            </w:pPr>
            <w:r w:rsidRPr="006E5CA5">
              <w:t>Euroopa Parlament</w:t>
            </w:r>
          </w:p>
          <w:p w14:paraId="6FBC58E2" w14:textId="77777777" w:rsidR="00751A4A" w:rsidRPr="006E5CA5" w:rsidRDefault="005F1B17" w:rsidP="005F1B17">
            <w:pPr>
              <w:pStyle w:val="EPTerm"/>
              <w:rPr>
                <w:rStyle w:val="HideTWBExt"/>
                <w:noProof w:val="0"/>
                <w:vanish w:val="0"/>
                <w:color w:val="auto"/>
              </w:rPr>
            </w:pPr>
            <w:r w:rsidRPr="006E5CA5">
              <w:t>2024</w:t>
            </w:r>
            <w:r w:rsidR="00817416" w:rsidRPr="006E5CA5">
              <w:t>-202</w:t>
            </w:r>
            <w:r w:rsidRPr="006E5CA5">
              <w:t>9</w:t>
            </w:r>
          </w:p>
        </w:tc>
        <w:tc>
          <w:tcPr>
            <w:tcW w:w="2268" w:type="dxa"/>
            <w:shd w:val="clear" w:color="auto" w:fill="auto"/>
          </w:tcPr>
          <w:p w14:paraId="27AAD1F6" w14:textId="77777777" w:rsidR="00751A4A" w:rsidRPr="006E5CA5" w:rsidRDefault="00187494" w:rsidP="0010095E">
            <w:pPr>
              <w:pStyle w:val="EPLogo"/>
            </w:pPr>
            <w:r w:rsidRPr="006E5CA5">
              <w:rPr>
                <w:noProof/>
                <w:lang w:eastAsia="ja-JP"/>
              </w:rPr>
              <w:drawing>
                <wp:inline distT="0" distB="0" distL="0" distR="0" wp14:anchorId="6CAF8FC5" wp14:editId="262B639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6F4855" w14:textId="77777777" w:rsidR="00D058B8" w:rsidRPr="006E5CA5" w:rsidRDefault="00D058B8" w:rsidP="004C5D52">
      <w:pPr>
        <w:pStyle w:val="LineTop"/>
      </w:pPr>
    </w:p>
    <w:p w14:paraId="0D369942" w14:textId="77777777" w:rsidR="00680577" w:rsidRPr="006E5CA5" w:rsidRDefault="004A1FD0" w:rsidP="00680577">
      <w:pPr>
        <w:pStyle w:val="EPBodyTA1"/>
      </w:pPr>
      <w:r w:rsidRPr="006E5CA5">
        <w:t>VASTUVÕETUD TEKSTID</w:t>
      </w:r>
    </w:p>
    <w:p w14:paraId="02A22B2F" w14:textId="77777777" w:rsidR="00D058B8" w:rsidRPr="006E5CA5" w:rsidRDefault="00D058B8" w:rsidP="00D058B8">
      <w:pPr>
        <w:pStyle w:val="LineBottom"/>
      </w:pPr>
    </w:p>
    <w:p w14:paraId="225F5203" w14:textId="7C38715E" w:rsidR="004A1FD0" w:rsidRPr="006E5CA5" w:rsidRDefault="004A1FD0" w:rsidP="004A1FD0">
      <w:pPr>
        <w:pStyle w:val="ATHeading1"/>
      </w:pPr>
      <w:bookmarkStart w:id="0" w:name="TANumber"/>
      <w:r w:rsidRPr="006E5CA5">
        <w:t>P10_TA(2025)0</w:t>
      </w:r>
      <w:r w:rsidR="00813EE3" w:rsidRPr="006E5CA5">
        <w:t>228</w:t>
      </w:r>
      <w:bookmarkEnd w:id="0"/>
    </w:p>
    <w:p w14:paraId="3DDA0FD0" w14:textId="77777777" w:rsidR="004A1FD0" w:rsidRPr="006E5CA5" w:rsidRDefault="004A1FD0" w:rsidP="004A1FD0">
      <w:pPr>
        <w:pStyle w:val="ATHeading2"/>
      </w:pPr>
      <w:bookmarkStart w:id="1" w:name="title"/>
      <w:r w:rsidRPr="006E5CA5">
        <w:t>Petitsioonikomisjoni 2024. aasta arutelud</w:t>
      </w:r>
      <w:bookmarkEnd w:id="1"/>
    </w:p>
    <w:p w14:paraId="719D7D6B" w14:textId="77777777" w:rsidR="004A1FD0" w:rsidRPr="006E5CA5" w:rsidRDefault="004A1FD0" w:rsidP="004A1FD0">
      <w:pPr>
        <w:rPr>
          <w:i/>
          <w:vanish/>
        </w:rPr>
      </w:pPr>
      <w:r w:rsidRPr="006E5CA5">
        <w:rPr>
          <w:i/>
        </w:rPr>
        <w:fldChar w:fldCharType="begin"/>
      </w:r>
      <w:r w:rsidRPr="006E5CA5">
        <w:rPr>
          <w:i/>
        </w:rPr>
        <w:instrText xml:space="preserve"> TC"(</w:instrText>
      </w:r>
      <w:bookmarkStart w:id="2" w:name="DocNumber"/>
      <w:r w:rsidRPr="006E5CA5">
        <w:rPr>
          <w:i/>
        </w:rPr>
        <w:instrText>A10-0170/2025</w:instrText>
      </w:r>
      <w:bookmarkEnd w:id="2"/>
      <w:r w:rsidRPr="006E5CA5">
        <w:rPr>
          <w:i/>
        </w:rPr>
        <w:instrText xml:space="preserve"> - Raportöör: Fredis Beleris)"\l3 \n&gt; \* MERGEFORMAT </w:instrText>
      </w:r>
      <w:r w:rsidRPr="006E5CA5">
        <w:rPr>
          <w:i/>
        </w:rPr>
        <w:fldChar w:fldCharType="end"/>
      </w:r>
    </w:p>
    <w:p w14:paraId="41E1706D" w14:textId="77777777" w:rsidR="004A1FD0" w:rsidRPr="006E5CA5" w:rsidRDefault="004A1FD0" w:rsidP="004A1FD0">
      <w:pPr>
        <w:rPr>
          <w:vanish/>
        </w:rPr>
      </w:pPr>
      <w:bookmarkStart w:id="3" w:name="Commission"/>
      <w:r w:rsidRPr="006E5CA5">
        <w:rPr>
          <w:vanish/>
        </w:rPr>
        <w:t>Petitsioonikomisjon</w:t>
      </w:r>
      <w:bookmarkEnd w:id="3"/>
    </w:p>
    <w:p w14:paraId="00A2D780" w14:textId="77777777" w:rsidR="004A1FD0" w:rsidRPr="006E5CA5" w:rsidRDefault="004A1FD0" w:rsidP="004A1FD0">
      <w:pPr>
        <w:rPr>
          <w:vanish/>
        </w:rPr>
      </w:pPr>
      <w:bookmarkStart w:id="4" w:name="PE"/>
      <w:r w:rsidRPr="006E5CA5">
        <w:rPr>
          <w:vanish/>
        </w:rPr>
        <w:t>PE773.363</w:t>
      </w:r>
      <w:bookmarkEnd w:id="4"/>
    </w:p>
    <w:p w14:paraId="0231EB12" w14:textId="40FDC64B" w:rsidR="004A1FD0" w:rsidRPr="006E5CA5" w:rsidRDefault="004A1FD0" w:rsidP="004A1FD0">
      <w:pPr>
        <w:pStyle w:val="ATHeading3"/>
      </w:pPr>
      <w:bookmarkStart w:id="5" w:name="Sujet"/>
      <w:r w:rsidRPr="006E5CA5">
        <w:t xml:space="preserve">Euroopa Parlamendi </w:t>
      </w:r>
      <w:r w:rsidR="005665E9" w:rsidRPr="006E5CA5">
        <w:t>9</w:t>
      </w:r>
      <w:r w:rsidRPr="006E5CA5">
        <w:t>.</w:t>
      </w:r>
      <w:r w:rsidR="005665E9" w:rsidRPr="006E5CA5">
        <w:t> oktoobri</w:t>
      </w:r>
      <w:r w:rsidRPr="006E5CA5">
        <w:t xml:space="preserve"> 2025.</w:t>
      </w:r>
      <w:r w:rsidR="005665E9" w:rsidRPr="006E5CA5">
        <w:t> </w:t>
      </w:r>
      <w:r w:rsidRPr="006E5CA5">
        <w:t>aasta resolutsioon petitsioonikomisjoni 2024. aasta arutelude kohta</w:t>
      </w:r>
      <w:bookmarkEnd w:id="5"/>
      <w:r w:rsidRPr="006E5CA5">
        <w:t xml:space="preserve"> </w:t>
      </w:r>
      <w:bookmarkStart w:id="6" w:name="References"/>
      <w:r w:rsidRPr="006E5CA5">
        <w:t>(2025/2114(INI))</w:t>
      </w:r>
      <w:bookmarkEnd w:id="6"/>
    </w:p>
    <w:p w14:paraId="32CEF455" w14:textId="77777777" w:rsidR="00C6749A" w:rsidRPr="006E5CA5" w:rsidRDefault="00C6749A" w:rsidP="00C6749A">
      <w:pPr>
        <w:pStyle w:val="EPComma"/>
      </w:pPr>
      <w:r w:rsidRPr="006E5CA5">
        <w:rPr>
          <w:i/>
        </w:rPr>
        <w:t>Euroopa Parlament</w:t>
      </w:r>
      <w:r w:rsidRPr="006E5CA5">
        <w:t>,</w:t>
      </w:r>
    </w:p>
    <w:p w14:paraId="488033C0" w14:textId="77777777" w:rsidR="00C6749A" w:rsidRPr="006E5CA5" w:rsidRDefault="00C6749A" w:rsidP="00C6749A">
      <w:pPr>
        <w:pStyle w:val="NormalHanging12a"/>
      </w:pPr>
      <w:r w:rsidRPr="006E5CA5">
        <w:t>–</w:t>
      </w:r>
      <w:r w:rsidRPr="006E5CA5">
        <w:tab/>
        <w:t>võttes arvesse oma varasemaid resolutsioone petitsioonikomisjoni arutelude kohta,</w:t>
      </w:r>
    </w:p>
    <w:p w14:paraId="794E228A" w14:textId="77777777" w:rsidR="00C6749A" w:rsidRPr="006E5CA5" w:rsidRDefault="00C6749A" w:rsidP="00C6749A">
      <w:pPr>
        <w:pStyle w:val="NormalHanging12a"/>
      </w:pPr>
      <w:r w:rsidRPr="006E5CA5">
        <w:t>–</w:t>
      </w:r>
      <w:r w:rsidRPr="006E5CA5">
        <w:tab/>
        <w:t>võttes arvesse Euroopa Liidu lepingu artikleid 10 ja 11,</w:t>
      </w:r>
    </w:p>
    <w:p w14:paraId="45900783" w14:textId="77777777" w:rsidR="00C6749A" w:rsidRPr="006E5CA5" w:rsidRDefault="00C6749A" w:rsidP="00C6749A">
      <w:pPr>
        <w:pStyle w:val="NormalHanging12a"/>
      </w:pPr>
      <w:r w:rsidRPr="006E5CA5">
        <w:t>–</w:t>
      </w:r>
      <w:r w:rsidRPr="006E5CA5">
        <w:tab/>
        <w:t>võttes arvesse Euroopa Liidu toimimise lepingu (ELi toimimise leping) artikleid 20, 24 ja 227, milles käsitletakse ELi kodanike ja elanike õigust pöörduda petitsiooniga Euroopa Parlamendi poole,</w:t>
      </w:r>
    </w:p>
    <w:p w14:paraId="417CFE56" w14:textId="77777777" w:rsidR="00C6749A" w:rsidRPr="006E5CA5" w:rsidRDefault="00C6749A" w:rsidP="00C6749A">
      <w:pPr>
        <w:pStyle w:val="NormalHanging12a"/>
      </w:pPr>
      <w:r w:rsidRPr="006E5CA5">
        <w:t>–</w:t>
      </w:r>
      <w:r w:rsidRPr="006E5CA5">
        <w:tab/>
        <w:t>võttes arvesse ELi toimimise lepingu artiklit 228, milles käsitletakse Euroopa Ombudsmani rolli ja ülesandeid,</w:t>
      </w:r>
    </w:p>
    <w:p w14:paraId="73360999" w14:textId="3C7BB8FC" w:rsidR="00C6749A" w:rsidRPr="006E5CA5" w:rsidRDefault="00C6749A" w:rsidP="00C6749A">
      <w:pPr>
        <w:pStyle w:val="NormalHanging12a"/>
      </w:pPr>
      <w:r w:rsidRPr="006E5CA5">
        <w:t>–</w:t>
      </w:r>
      <w:r w:rsidRPr="006E5CA5">
        <w:tab/>
        <w:t>võttes arvesse Euroopa Liidu põhiõiguste harta artiklit</w:t>
      </w:r>
      <w:r w:rsidR="005665E9" w:rsidRPr="006E5CA5">
        <w:t> </w:t>
      </w:r>
      <w:r w:rsidRPr="006E5CA5">
        <w:t>44, milles käsitletakse õigust pöörduda petitsiooniga Euroopa Parlamendi poole,</w:t>
      </w:r>
    </w:p>
    <w:p w14:paraId="7B1B230C" w14:textId="77777777" w:rsidR="00C6749A" w:rsidRPr="006E5CA5" w:rsidRDefault="00C6749A" w:rsidP="00C6749A">
      <w:pPr>
        <w:pStyle w:val="NormalHanging12a"/>
      </w:pPr>
      <w:r w:rsidRPr="006E5CA5">
        <w:t>–</w:t>
      </w:r>
      <w:r w:rsidRPr="006E5CA5">
        <w:tab/>
        <w:t>võttes arvesse ELi toimimise lepingu sätteid, mis käsitlevad rikkumismenetlust, eelkõige artikleid 258 ja 260,</w:t>
      </w:r>
    </w:p>
    <w:p w14:paraId="5B1C75EC" w14:textId="77777777" w:rsidR="00C6749A" w:rsidRPr="006E5CA5" w:rsidRDefault="00C6749A" w:rsidP="00C6749A">
      <w:pPr>
        <w:pStyle w:val="NormalHanging12a"/>
      </w:pPr>
      <w:r w:rsidRPr="006E5CA5">
        <w:t>–</w:t>
      </w:r>
      <w:r w:rsidRPr="006E5CA5">
        <w:tab/>
        <w:t>võttes arvesse kodukorra artiklit 55 ja artikli 233 lõiget 7,</w:t>
      </w:r>
    </w:p>
    <w:p w14:paraId="6DE4D498" w14:textId="77777777" w:rsidR="00C6749A" w:rsidRPr="006E5CA5" w:rsidRDefault="00C6749A" w:rsidP="00C6749A">
      <w:pPr>
        <w:pStyle w:val="NormalHanging12a"/>
      </w:pPr>
      <w:r w:rsidRPr="006E5CA5">
        <w:t>–</w:t>
      </w:r>
      <w:r w:rsidRPr="006E5CA5">
        <w:tab/>
        <w:t>võttes arvesse petitsioonikomisjoni raportit (A10-0170/2025),</w:t>
      </w:r>
    </w:p>
    <w:p w14:paraId="7EBCC0B4" w14:textId="54F63E0E" w:rsidR="00C6749A" w:rsidRPr="006E5CA5" w:rsidRDefault="00C6749A" w:rsidP="00C6749A">
      <w:pPr>
        <w:pStyle w:val="NormalHanging12a"/>
      </w:pPr>
      <w:r w:rsidRPr="006E5CA5">
        <w:t>A.</w:t>
      </w:r>
      <w:r w:rsidRPr="006E5CA5">
        <w:tab/>
        <w:t>arvestades, et pärast Euroopa Parlamendi valimisi 6.–9. juunil</w:t>
      </w:r>
      <w:r w:rsidR="005665E9" w:rsidRPr="006E5CA5">
        <w:t> </w:t>
      </w:r>
      <w:r w:rsidRPr="006E5CA5">
        <w:t>2024 ja Euroopa Parlamendi uue koosseisu tegevuse algust 16. juulil 2024 pidas petitsioonikomisjon 23. juulil</w:t>
      </w:r>
      <w:r w:rsidR="005665E9" w:rsidRPr="006E5CA5">
        <w:t> </w:t>
      </w:r>
      <w:r w:rsidRPr="006E5CA5">
        <w:t>2024 oma avakoosoleku;</w:t>
      </w:r>
    </w:p>
    <w:p w14:paraId="2A39B267" w14:textId="77777777" w:rsidR="00C6749A" w:rsidRPr="006E5CA5" w:rsidRDefault="00C6749A" w:rsidP="00C6749A">
      <w:pPr>
        <w:pStyle w:val="NormalHanging12a"/>
      </w:pPr>
      <w:r w:rsidRPr="006E5CA5">
        <w:t>B.</w:t>
      </w:r>
      <w:r w:rsidRPr="006E5CA5">
        <w:tab/>
        <w:t>arvestades, et petitsioonikomisjoni arutelusid käsitleva aastaaruande eesmärk on tutvustada analüüsi 2024. aastal esitatud petitsioonide ja suhete kohta teiste institutsioonidega ning esitada täpne ülevaade 2024. aastal saavutatud eesmärkidest;</w:t>
      </w:r>
    </w:p>
    <w:p w14:paraId="027DDA63" w14:textId="3ADB4625" w:rsidR="00C6749A" w:rsidRPr="006E5CA5" w:rsidRDefault="00C6749A" w:rsidP="00C6749A">
      <w:pPr>
        <w:pStyle w:val="NormalHanging12a"/>
      </w:pPr>
      <w:r w:rsidRPr="006E5CA5">
        <w:t>C.</w:t>
      </w:r>
      <w:r w:rsidRPr="006E5CA5">
        <w:tab/>
        <w:t xml:space="preserve">arvestades, et 2024. aastal sai </w:t>
      </w:r>
      <w:r w:rsidR="00A93C1F" w:rsidRPr="006E5CA5">
        <w:t>Euroopa P</w:t>
      </w:r>
      <w:r w:rsidRPr="006E5CA5">
        <w:t xml:space="preserve">arlament 1 518 petitsiooni, mida on 4,3 % rohkem kui 2023. aastal saadud 1 452 petitsiooni ja 19,8 % rohkem kui 2022. aastal saadud 1 217 petitsiooni; arvestades, et laekunud petitsioonide koguarv on endiselt märgatavalt väiksem kui 2013. ja 2014. aastal saavutatud tipptase, mil </w:t>
      </w:r>
      <w:r w:rsidR="00A93C1F" w:rsidRPr="006E5CA5">
        <w:t xml:space="preserve">Euroopa </w:t>
      </w:r>
      <w:r w:rsidR="00A93C1F" w:rsidRPr="006E5CA5">
        <w:lastRenderedPageBreak/>
        <w:t>P</w:t>
      </w:r>
      <w:r w:rsidRPr="006E5CA5">
        <w:t>arlament sai vastavalt 2 891 ja 2 715 petitsiooni;</w:t>
      </w:r>
    </w:p>
    <w:p w14:paraId="312FA796" w14:textId="77777777" w:rsidR="00C6749A" w:rsidRPr="006E5CA5" w:rsidRDefault="00C6749A" w:rsidP="00C6749A">
      <w:pPr>
        <w:pStyle w:val="NormalHanging12a"/>
      </w:pPr>
      <w:r w:rsidRPr="006E5CA5">
        <w:t>D.</w:t>
      </w:r>
      <w:r w:rsidRPr="006E5CA5">
        <w:tab/>
        <w:t>arvestades, et 2024. aastal avaldas Euroopa Parlamendi petitsioonide veebiportaalis petitsioonidele toetust 15 661 kasutajat, mida oli tunduvalt vähem kui 2023. (26 331) ja 2022. aastal (22 441); arvestades, et ka toetusklikkide arv langes 2024. aastal 17 745-le, võrreldes 29 287-ga 2023. aastal ja 27 927-ga 2022. aastal;</w:t>
      </w:r>
    </w:p>
    <w:p w14:paraId="0C3CF200" w14:textId="091EC965" w:rsidR="00C6749A" w:rsidRPr="006E5CA5" w:rsidRDefault="00C6749A" w:rsidP="00C6749A">
      <w:pPr>
        <w:pStyle w:val="NormalHanging12a"/>
      </w:pPr>
      <w:r w:rsidRPr="006E5CA5">
        <w:t>E.</w:t>
      </w:r>
      <w:r w:rsidRPr="006E5CA5">
        <w:tab/>
        <w:t xml:space="preserve">arvestades, et petitsioonide koguarv on kogu ELi elanikkonnaga võrreldes tagasihoidlik, mis näitab vajadust senisest rohkem pingutada, et suurendada kodanike teadlikkust nende petitsiooniõigusest ja petitsioonide võimalikust kasulikkusest ELi institutsioonide ja liikmesriikide tähelepanu juhtimiseks küsimustele, mis kodanikke otseselt mõjutavad ja puudutavad; arvestades, et petitsioonikomisjon, mis on noorte seas väga populaarne selliste ürituste ajal nagu Euroopa </w:t>
      </w:r>
      <w:proofErr w:type="spellStart"/>
      <w:r w:rsidRPr="006E5CA5">
        <w:t>noorteüritus</w:t>
      </w:r>
      <w:proofErr w:type="spellEnd"/>
      <w:r w:rsidRPr="006E5CA5">
        <w:t xml:space="preserve"> (EYE) Strasbourgis, on </w:t>
      </w:r>
      <w:r w:rsidR="003D381D" w:rsidRPr="006E5CA5">
        <w:t>toimiv</w:t>
      </w:r>
      <w:r w:rsidRPr="006E5CA5">
        <w:t xml:space="preserve"> vahend selle õiguse edendamiseks ja kodanike, eelkõige noorte teadlikkuse suurendamiseks selle tähtsusest; arvestades, et seetõttu on oluline tagada petitsioonikomisjoni aktiivne ja süstemaatiline osalemine igal EYE üritusel, et suurendada komisjoni nähtavust ja kättesaadavust; arvestades, et kui kodanikud kasutavad petitsiooniõigust, ootavad nad ELi institutsioonidelt oma murede lahendamisel lisaväärtust; arvestades, et see petitsiooniõigus peab edendama ka selliseid aluspõhimõtteid nagu Euroopa institutsioonide hea haldus, väljendusvabadus ja demokraatliku väljenduse austamine;</w:t>
      </w:r>
    </w:p>
    <w:p w14:paraId="191C9F94" w14:textId="77777777" w:rsidR="00C6749A" w:rsidRPr="006E5CA5" w:rsidRDefault="00C6749A" w:rsidP="00C6749A">
      <w:pPr>
        <w:pStyle w:val="NormalHanging12a"/>
      </w:pPr>
      <w:r w:rsidRPr="006E5CA5">
        <w:t>F.</w:t>
      </w:r>
      <w:r w:rsidRPr="006E5CA5">
        <w:tab/>
        <w:t>arvestades, et petitsioonide lubatavuse kriteeriumid on sätestatud ELi toimimise lepingu artiklis 227 ja Euroopa Parlamendi kodukorra artikli 232 lõikes 1, mille kohaselt võib petitsioone kas üksikult või koos teistega esitada ELi kodanik või füüsiline või juriidiline isik, kes elab või kelle registrijärgne asukoht on mõnes liikmesriigis, küsimustes, mis kuuluvad ELi tegevusvaldkondadesse ja mis petitsiooni esitajaid otseselt puudutavad, kusjuures viimati nimetatud tingimust tõlgendatakse väga laialt;</w:t>
      </w:r>
    </w:p>
    <w:p w14:paraId="7A229F5E" w14:textId="2071BBC3" w:rsidR="00C6749A" w:rsidRPr="006E5CA5" w:rsidRDefault="00C6749A" w:rsidP="00C6749A">
      <w:pPr>
        <w:pStyle w:val="NormalHanging12a"/>
      </w:pPr>
      <w:r w:rsidRPr="006E5CA5">
        <w:t>G.</w:t>
      </w:r>
      <w:r w:rsidRPr="006E5CA5">
        <w:tab/>
        <w:t>arvestades, et 2024. aastal esitatud 1 518 petitsioonist jäeti 611 lubatavaks tunnistamata ja 31 võeti tagasi; arvestades, et lubatavaks tunnistamata jäetud petitsioonide suur ja kasvav osakaal 2024. aastal (40,25 %) kinnitab, et paljude jaoks ei ole ikka veel arusaadav, mis on ELi vastutusvaldkonnad; arvestades, et lubatavaks tunnistamata jäetud petitsioonide arvu vähendamiseks tuleb jätkuvalt pingutada ja selgitada paremini ELi tegevusvaldkondi;</w:t>
      </w:r>
    </w:p>
    <w:p w14:paraId="1D48D89B" w14:textId="77777777" w:rsidR="00C6749A" w:rsidRPr="006E5CA5" w:rsidRDefault="00C6749A" w:rsidP="00C6749A">
      <w:pPr>
        <w:pStyle w:val="NormalHanging12a"/>
      </w:pPr>
      <w:r w:rsidRPr="006E5CA5">
        <w:t>H.</w:t>
      </w:r>
      <w:r w:rsidRPr="006E5CA5">
        <w:tab/>
        <w:t xml:space="preserve">arvestades, et õigus pöörduda petitsiooniga Euroopa Parlamendi poole on ELi kodanike põhiõigus, mis pakub nii kodanikele kui ka elanikele avatud, demokraatlikku ja läbipaistvat mehhanismi, et pöörduda otse oma valitud esindajate poole; arvestades, et paljudel puuetega inimestel puudub võrdne juurdepääs teabele ja teabevahetusele, sest ligipääsetavad vormingud on piiratud kättesaadavusega ning riikide viipekeeli ei peeta ELi </w:t>
      </w:r>
      <w:proofErr w:type="spellStart"/>
      <w:r w:rsidRPr="006E5CA5">
        <w:t>mitmekeelsuse</w:t>
      </w:r>
      <w:proofErr w:type="spellEnd"/>
      <w:r w:rsidRPr="006E5CA5">
        <w:t xml:space="preserve"> osaks; arvestades, et see oluline vahend annab kodanikele võimaluse osaleda liidu elus aktiivselt ja mõjusalt; arvestades, et petitsioonide kaudu saavad ELi kodanikud anda teada puudujääkidest ELi õiguse rakendamisel ja aidata tuvastada ELi õiguse rikkumisi, austades liikmesriikide suveräänsust ja ELi aluslepingute kohaldamist;</w:t>
      </w:r>
    </w:p>
    <w:p w14:paraId="0EAA64BD" w14:textId="69D64150" w:rsidR="00C6749A" w:rsidRPr="006E5CA5" w:rsidRDefault="00C6749A" w:rsidP="00C6749A">
      <w:pPr>
        <w:pStyle w:val="NormalHanging12a"/>
      </w:pPr>
      <w:r w:rsidRPr="006E5CA5">
        <w:t>I.</w:t>
      </w:r>
      <w:r w:rsidRPr="006E5CA5">
        <w:tab/>
        <w:t xml:space="preserve">arvestades, et </w:t>
      </w:r>
      <w:r w:rsidR="00A93C1F" w:rsidRPr="006E5CA5">
        <w:t>Euroopa P</w:t>
      </w:r>
      <w:r w:rsidRPr="006E5CA5">
        <w:t xml:space="preserve">arlament on juba kaua olnud rahvusvahelisel tasandil petitsioonimenetluse arendamisel esirinnas ning </w:t>
      </w:r>
      <w:r w:rsidR="00A93C1F" w:rsidRPr="006E5CA5">
        <w:t>Euroopa P</w:t>
      </w:r>
      <w:r w:rsidRPr="006E5CA5">
        <w:t xml:space="preserve">arlamendi petitsioonimenetlus on Euroopas kõige avatum ja läbipaistvam, võimaldades petitsiooni esitajatel </w:t>
      </w:r>
      <w:r w:rsidR="00A93C1F" w:rsidRPr="006E5CA5">
        <w:t>Euroopa P</w:t>
      </w:r>
      <w:r w:rsidRPr="006E5CA5">
        <w:t xml:space="preserve">arlamendi tegevuses täiel määral kaasa lüüa; arvestades, et veebipõhine petitsioonide platvorm võiks olla intuitiivsem, et kasutajatel oleks seal </w:t>
      </w:r>
      <w:r w:rsidRPr="006E5CA5">
        <w:lastRenderedPageBreak/>
        <w:t>lihtsam navigeerida; arvestades, et tehisintellektitehnoloogiate integreerimine võiks lihtsustada otsinguid ja parandada petitsioonide kättesaadavust, pakkudes praegusest formaadist täiustatumaid funktsioone;</w:t>
      </w:r>
    </w:p>
    <w:p w14:paraId="39E76381" w14:textId="77777777" w:rsidR="00C6749A" w:rsidRPr="006E5CA5" w:rsidRDefault="00C6749A" w:rsidP="00C6749A">
      <w:pPr>
        <w:pStyle w:val="NormalHanging12a"/>
      </w:pPr>
      <w:r w:rsidRPr="006E5CA5">
        <w:t>J.</w:t>
      </w:r>
      <w:r w:rsidRPr="006E5CA5">
        <w:tab/>
        <w:t>arvestades, et petitsioonikomisjon rõhutab, kui oluline on suurendada petitsioonide menetlemise läbipaistvust, sealhulgas anda petitsiooni esitajatele menetluse olulistes etappides süstemaatiliselt tagasisidet ja kehtestada ELi institutsioonide järelmeetmete selge ajakava;</w:t>
      </w:r>
    </w:p>
    <w:p w14:paraId="7CE11238" w14:textId="77777777" w:rsidR="00C6749A" w:rsidRPr="006E5CA5" w:rsidRDefault="00C6749A" w:rsidP="00C6749A">
      <w:pPr>
        <w:pStyle w:val="NormalHanging12a"/>
      </w:pPr>
      <w:r w:rsidRPr="006E5CA5">
        <w:t>K.</w:t>
      </w:r>
      <w:r w:rsidRPr="006E5CA5">
        <w:tab/>
        <w:t>arvestades, et petitsioonikomisjoni tegevus põhineb petitsiooni esitajate sisendmaterjalil ja nende esitataval teabel; arvestades, et see teave ning Euroopa Komisjoni, liikmesriikide ja muude organite jagatavad eksperditeadmised on petitsioonikomisjoni töö jaoks väga olulised; arvestades, et lubatavaks tunnistatud petitsioonides on sageli väärtuslikku sisendmaterjali ka teiste parlamendikomisjonide töö jaoks; arvestades, et seetõttu võib petitsioonidel olla oma osa ka õigusloomeprotsessis, sest need annavad konkreetset tagasisidet ELi poliitika mõju kohta ja tänu neile saab tekkinud vajadustele poliitika kaudu reageerida;</w:t>
      </w:r>
    </w:p>
    <w:p w14:paraId="6184DDAF" w14:textId="77777777" w:rsidR="00C6749A" w:rsidRPr="006E5CA5" w:rsidRDefault="00C6749A" w:rsidP="00C6749A">
      <w:pPr>
        <w:pStyle w:val="NormalHanging12a"/>
      </w:pPr>
      <w:r w:rsidRPr="006E5CA5">
        <w:t>L.</w:t>
      </w:r>
      <w:r w:rsidRPr="006E5CA5">
        <w:tab/>
        <w:t>arvestades, et petitsiooniõigus suurendab Euroopa Parlamendi valmisolekut reageerida kaebustele ja muredele seoses ELi põhiõigustest kinnipidamise ja liidu õiguse järgimisega liikmesriikides; arvestades, et petitsioonid võiksid olla kasulikuks teabeallikaks ELi õiguse väära kohaldamise või rikkumise juhtude kohta ning need võimaldavad Euroopa Parlamendil ja teistel institutsioonidel hinnata ELi õiguse ülevõtmist ja kohaldamist ning selle mõju ELi kodanike ja elanike õigustele;</w:t>
      </w:r>
    </w:p>
    <w:p w14:paraId="41397FC8" w14:textId="67EB527D" w:rsidR="00C6749A" w:rsidRPr="006E5CA5" w:rsidRDefault="00C6749A" w:rsidP="00C6749A">
      <w:pPr>
        <w:pStyle w:val="NormalHanging12a"/>
      </w:pPr>
      <w:r w:rsidRPr="006E5CA5">
        <w:t>M.</w:t>
      </w:r>
      <w:r w:rsidRPr="006E5CA5">
        <w:tab/>
        <w:t>arvestades, et kõiki petitsioone käsitletakse ja kontrollitakse tähelepanelikult, tõhusalt ja läbipaistvalt; arvestades, et igal petitsiooni esitajal on õigus saada mõistliku aja jooksul ning oma emakeeles või petitsiooni esitamiseks kasutatud keeles oma petitsioonile vastus, milles teatatakse, mida petitsioonikomisjon selle lubatavuse kohta otsustas ja milliseid järelmeetmeid kavatseb petitsioonikomisjon võtta; arvestades, et 19. märtsil</w:t>
      </w:r>
      <w:r w:rsidR="00A93C1F" w:rsidRPr="006E5CA5">
        <w:t> </w:t>
      </w:r>
      <w:r w:rsidRPr="006E5CA5">
        <w:t xml:space="preserve">2024 arutlusel olnud petitsioonis </w:t>
      </w:r>
      <w:r w:rsidR="00C713A1">
        <w:t xml:space="preserve">nr </w:t>
      </w:r>
      <w:r w:rsidRPr="006E5CA5">
        <w:t xml:space="preserve">1056/2016 taotletakse, et </w:t>
      </w:r>
      <w:r w:rsidR="00A93C1F" w:rsidRPr="006E5CA5">
        <w:t>Euroopa P</w:t>
      </w:r>
      <w:r w:rsidRPr="006E5CA5">
        <w:t xml:space="preserve">arlament lubaks esitada petitsioone ELis kasutatavates </w:t>
      </w:r>
      <w:r w:rsidRPr="00C713A1">
        <w:t>riiklikes</w:t>
      </w:r>
      <w:r w:rsidR="00C713A1" w:rsidRPr="00C713A1">
        <w:t xml:space="preserve"> </w:t>
      </w:r>
      <w:r w:rsidRPr="006E5CA5">
        <w:t>viipekeeltes;</w:t>
      </w:r>
    </w:p>
    <w:p w14:paraId="55E7E323" w14:textId="72F53968" w:rsidR="00C6749A" w:rsidRPr="006E5CA5" w:rsidRDefault="00C6749A" w:rsidP="00C6749A">
      <w:pPr>
        <w:pStyle w:val="NormalHanging12a"/>
      </w:pPr>
      <w:r w:rsidRPr="006E5CA5">
        <w:t>N.</w:t>
      </w:r>
      <w:r w:rsidRPr="006E5CA5">
        <w:tab/>
        <w:t>arvestades, et petitsioonikomisjon peab petitsioonide läbivaatamist ja avalikku arutelu oma koosolekutel äärmiselt tähtsaks; arvestades, et petitsiooni esitajatel on õigus oma petitsioone tutvustada ja sageli võtavad nad ka aruteludel sõna, aidates nii petitsioonikomisjoni tööle aktiivselt kaasa; arvestades, et 2024. aastal pidas petitsioonikomisjon lisaks avakoosolekule kaheksa koosolekut, millel arutati 106</w:t>
      </w:r>
      <w:r w:rsidR="00A93C1F" w:rsidRPr="006E5CA5">
        <w:t> </w:t>
      </w:r>
      <w:r w:rsidRPr="006E5CA5">
        <w:t>petitsiooni ning millest võttis osa ja millel osales aktiivselt (sõnavõtuga) 106</w:t>
      </w:r>
      <w:r w:rsidR="00A93C1F" w:rsidRPr="006E5CA5">
        <w:t> </w:t>
      </w:r>
      <w:r w:rsidRPr="006E5CA5">
        <w:t>petitsiooni esitajat;</w:t>
      </w:r>
    </w:p>
    <w:p w14:paraId="3C019A7E" w14:textId="77777777" w:rsidR="00C6749A" w:rsidRPr="006E5CA5" w:rsidRDefault="00C6749A" w:rsidP="00C6749A">
      <w:pPr>
        <w:pStyle w:val="NormalHanging12a"/>
      </w:pPr>
      <w:r w:rsidRPr="006E5CA5">
        <w:t>O.</w:t>
      </w:r>
      <w:r w:rsidRPr="006E5CA5">
        <w:tab/>
        <w:t>arvestades, et 2024. aastal esitatud petitsioonides tõstatatud peamised mureküsimused olid seotud keskkonna, põhiõiguste, õigusriigi (sh õigus heale haldusele, dokumentidele juurdepääsu õigus ning väljendus- ja teabevabadus), siseturu, õigusemõistmise, tarbijate õiguste ja tervishoiuga;</w:t>
      </w:r>
    </w:p>
    <w:p w14:paraId="2490B961" w14:textId="77777777" w:rsidR="00C6749A" w:rsidRPr="006E5CA5" w:rsidRDefault="00C6749A" w:rsidP="00C6749A">
      <w:pPr>
        <w:pStyle w:val="NormalHanging12a"/>
      </w:pPr>
      <w:r w:rsidRPr="006E5CA5">
        <w:t>P.</w:t>
      </w:r>
      <w:r w:rsidRPr="006E5CA5">
        <w:tab/>
        <w:t>arvestades, et petitsioonikomisjon taotleb oma koosoleku päevakorra vastuvõtmisel selliste petitsioonide ja teemade arutamist, millel on märkimisväärne tähtsus ELi tasandil peetavatele aruteludele, ning peab silmas vajadust säilitada teemade tasakaalustatud geograafiline katvus vastavalt saadud petitsioonidele;</w:t>
      </w:r>
    </w:p>
    <w:p w14:paraId="5F247D67" w14:textId="3AC7CFFC" w:rsidR="00C6749A" w:rsidRPr="006E5CA5" w:rsidRDefault="00C6749A" w:rsidP="00C6749A">
      <w:pPr>
        <w:pStyle w:val="NormalHanging12a"/>
      </w:pPr>
      <w:r w:rsidRPr="006E5CA5">
        <w:lastRenderedPageBreak/>
        <w:t>Q.</w:t>
      </w:r>
      <w:r w:rsidRPr="006E5CA5">
        <w:tab/>
        <w:t xml:space="preserve">arvestades, et 2024. aastal Euroopa Parlamendile esitatud petitsioonidest esitati </w:t>
      </w:r>
      <w:r w:rsidR="00A93C1F" w:rsidRPr="006E5CA5">
        <w:t>Euroopa P</w:t>
      </w:r>
      <w:r w:rsidRPr="006E5CA5">
        <w:t xml:space="preserve">arlamendi petitsioonide veebiportaali kaudu 82 %, mis on peaaegu identne 2023. aastaga (82,4 %), mis kinnitab uuesti, et portaal on ülekaalukalt kõige laialdasemalt kasutatav kanal kodanike poolt </w:t>
      </w:r>
      <w:r w:rsidR="00A93C1F" w:rsidRPr="006E5CA5">
        <w:t>Euroopa P</w:t>
      </w:r>
      <w:r w:rsidRPr="006E5CA5">
        <w:t>arlamendile petitsioonide esitamiseks;</w:t>
      </w:r>
    </w:p>
    <w:p w14:paraId="15EBB6FB" w14:textId="04DED37E" w:rsidR="00C6749A" w:rsidRPr="006E5CA5" w:rsidRDefault="00C6749A" w:rsidP="00C6749A">
      <w:pPr>
        <w:pStyle w:val="NormalHanging12a"/>
      </w:pPr>
      <w:r w:rsidRPr="006E5CA5">
        <w:t>R.</w:t>
      </w:r>
      <w:r w:rsidRPr="006E5CA5">
        <w:tab/>
        <w:t>arvestades, et uuendatud petitsioonide veebiportaalis avaldatakse automaatselt teave petitsioonide vastuvõtmise ja staatuse muudatuste kohta, lisateave (nt riik, teemad) ja kokkuvõtted kõigis</w:t>
      </w:r>
      <w:r w:rsidR="00A93C1F" w:rsidRPr="006E5CA5">
        <w:t> </w:t>
      </w:r>
      <w:r w:rsidRPr="006E5CA5">
        <w:t>24 ELi ametlikus keeles; arvestades, et 2024. aastal vormistati ja avaldati kõik petitsioonid jälle õigeaegselt, mõne päeva jooksul pärast nende vastuvõtmist, ning kõikidele petitsioonide veebiportaali kasutamist ja sisu puudutavatele institutsioonisisestele ja -välistele abipäringutele vastati edukalt, õigeaegselt ja ükskõik millises ELi ametlikus keeles;</w:t>
      </w:r>
    </w:p>
    <w:p w14:paraId="0ED77781" w14:textId="77777777" w:rsidR="00C6749A" w:rsidRPr="006E5CA5" w:rsidRDefault="00C6749A" w:rsidP="00C6749A">
      <w:pPr>
        <w:pStyle w:val="NormalHanging12a"/>
      </w:pPr>
      <w:r w:rsidRPr="006E5CA5">
        <w:t>S.</w:t>
      </w:r>
      <w:r w:rsidRPr="006E5CA5">
        <w:tab/>
        <w:t xml:space="preserve">arvestades, et Euroopa Parlamendi valimistest tingitud vaheaja tõttu ei toimunud 2024. aastal uurimise all olevate petitsioonidega seoses ühtegi </w:t>
      </w:r>
      <w:proofErr w:type="spellStart"/>
      <w:r w:rsidRPr="006E5CA5">
        <w:t>teabekogumiskülastust</w:t>
      </w:r>
      <w:proofErr w:type="spellEnd"/>
      <w:r w:rsidRPr="006E5CA5">
        <w:t xml:space="preserve">; arvestades, et petitsioonikomisjon tegi varasemate, 2023. aastal toimunud </w:t>
      </w:r>
      <w:proofErr w:type="spellStart"/>
      <w:r w:rsidRPr="006E5CA5">
        <w:t>teabekogumiskülastuste</w:t>
      </w:r>
      <w:proofErr w:type="spellEnd"/>
      <w:r w:rsidRPr="006E5CA5">
        <w:t xml:space="preserve"> </w:t>
      </w:r>
      <w:proofErr w:type="spellStart"/>
      <w:r w:rsidRPr="006E5CA5">
        <w:t>järelhindamise</w:t>
      </w:r>
      <w:proofErr w:type="spellEnd"/>
      <w:r w:rsidRPr="006E5CA5">
        <w:t xml:space="preserve"> ja võttis nende külastuste kohta vastu kaks aruannet; arvestades, et 2025. aasta esimeseks pooleks kavandati kaks </w:t>
      </w:r>
      <w:proofErr w:type="spellStart"/>
      <w:r w:rsidRPr="006E5CA5">
        <w:t>teabekogumiskülastust</w:t>
      </w:r>
      <w:proofErr w:type="spellEnd"/>
      <w:r w:rsidRPr="006E5CA5">
        <w:t>;</w:t>
      </w:r>
    </w:p>
    <w:p w14:paraId="7B104BCD" w14:textId="6509B035" w:rsidR="00C6749A" w:rsidRPr="006E5CA5" w:rsidRDefault="00C6749A" w:rsidP="00C6749A">
      <w:pPr>
        <w:pStyle w:val="NormalHanging12a"/>
      </w:pPr>
      <w:r w:rsidRPr="006E5CA5">
        <w:t>T.</w:t>
      </w:r>
      <w:r w:rsidRPr="006E5CA5">
        <w:tab/>
        <w:t>arvestades, et 4. novembril</w:t>
      </w:r>
      <w:r w:rsidR="00A93C1F" w:rsidRPr="006E5CA5">
        <w:t> </w:t>
      </w:r>
      <w:r w:rsidRPr="006E5CA5">
        <w:t xml:space="preserve">2024 osales petitsioonikomisjon kaubanduse ja majandusjulgeoleku ning institutsioonidevaheliste suhete ja läbipaistvuse voliniku kandidaadi </w:t>
      </w:r>
      <w:proofErr w:type="spellStart"/>
      <w:r w:rsidRPr="006E5CA5">
        <w:t>Maroš</w:t>
      </w:r>
      <w:proofErr w:type="spellEnd"/>
      <w:r w:rsidRPr="006E5CA5">
        <w:t xml:space="preserve"> </w:t>
      </w:r>
      <w:proofErr w:type="spellStart"/>
      <w:r w:rsidRPr="006E5CA5">
        <w:t>Šefčoviči</w:t>
      </w:r>
      <w:proofErr w:type="spellEnd"/>
      <w:r w:rsidRPr="006E5CA5">
        <w:t xml:space="preserve"> kuulamisel kutsutud komisjonina; arvestades, et vastuseks kirjalikele ja suulistele küsimustele, mille petitsioonikomisjon volinikukandidaadi kuulamise kontekstis esitas, võttis </w:t>
      </w:r>
      <w:proofErr w:type="spellStart"/>
      <w:r w:rsidRPr="006E5CA5">
        <w:t>Maroš</w:t>
      </w:r>
      <w:proofErr w:type="spellEnd"/>
      <w:r w:rsidRPr="006E5CA5">
        <w:t xml:space="preserve"> </w:t>
      </w:r>
      <w:proofErr w:type="spellStart"/>
      <w:r w:rsidRPr="006E5CA5">
        <w:t>Šefčovič</w:t>
      </w:r>
      <w:proofErr w:type="spellEnd"/>
      <w:r w:rsidRPr="006E5CA5">
        <w:t xml:space="preserve"> mitmeid kohustusi seoses petitsioonimenetluse ja Euroopa Komisjoni täitemeetmete läbipaistvusega;</w:t>
      </w:r>
    </w:p>
    <w:p w14:paraId="3B3903AA" w14:textId="36223D08" w:rsidR="00C6749A" w:rsidRPr="006E5CA5" w:rsidRDefault="00C6749A" w:rsidP="00C6749A">
      <w:pPr>
        <w:pStyle w:val="NormalHanging12a"/>
      </w:pPr>
      <w:r w:rsidRPr="006E5CA5">
        <w:t>U.</w:t>
      </w:r>
      <w:r w:rsidRPr="006E5CA5">
        <w:tab/>
        <w:t xml:space="preserve">arvestades, et parlamendi kodukorra kohaselt vastutab petitsioonikomisjon ka suhete eest Euroopa Ombudsmaniga, kelle ülesanne on uurida kaebusi haldusomavoli kohta ELi institutsioonides ja organites; arvestades, et 2024. aastal etendas petitsioonikomisjon olulist rolli Euroopa </w:t>
      </w:r>
      <w:r w:rsidR="00AB42F2" w:rsidRPr="006E5CA5">
        <w:t>O</w:t>
      </w:r>
      <w:r w:rsidRPr="006E5CA5">
        <w:t>mbudsmani valimiste korraldamisel, viies parlamendi kodukorra artikli 237 kohaselt läbi kandidaatide avaliku kuulamise; arvestades, et 17. detsembril</w:t>
      </w:r>
      <w:r w:rsidR="00A93C1F" w:rsidRPr="006E5CA5">
        <w:t> </w:t>
      </w:r>
      <w:r w:rsidRPr="006E5CA5">
        <w:t xml:space="preserve">2024 valiti </w:t>
      </w:r>
      <w:r w:rsidR="00AB42F2" w:rsidRPr="006E5CA5">
        <w:t>Euroopa P</w:t>
      </w:r>
      <w:r w:rsidRPr="006E5CA5">
        <w:t xml:space="preserve">arlamendi 2024.–2029. aasta ametiajaks Euroopa </w:t>
      </w:r>
      <w:r w:rsidR="00AB42F2" w:rsidRPr="006E5CA5">
        <w:t>O</w:t>
      </w:r>
      <w:r w:rsidRPr="006E5CA5">
        <w:t xml:space="preserve">mbudsmaniks Teresa </w:t>
      </w:r>
      <w:proofErr w:type="spellStart"/>
      <w:r w:rsidRPr="006E5CA5">
        <w:t>Anjinho</w:t>
      </w:r>
      <w:proofErr w:type="spellEnd"/>
      <w:r w:rsidRPr="006E5CA5">
        <w:t>;</w:t>
      </w:r>
    </w:p>
    <w:p w14:paraId="154E64E8" w14:textId="5A8C23D6" w:rsidR="00C6749A" w:rsidRPr="006E5CA5" w:rsidRDefault="00C6749A" w:rsidP="00C6749A">
      <w:pPr>
        <w:pStyle w:val="NormalHanging12a"/>
      </w:pPr>
      <w:r w:rsidRPr="006E5CA5">
        <w:t>V.</w:t>
      </w:r>
      <w:r w:rsidRPr="006E5CA5">
        <w:tab/>
        <w:t xml:space="preserve">arvestades, et 2024. aastal jäid petitsioonikomisjoni ja Euroopa Ombudsmani suhted konstruktiivseks, nagu näitas eelmise Euroopa </w:t>
      </w:r>
      <w:r w:rsidR="00AB42F2" w:rsidRPr="006E5CA5">
        <w:t>O</w:t>
      </w:r>
      <w:r w:rsidRPr="006E5CA5">
        <w:t xml:space="preserve">mbudsmani Emily </w:t>
      </w:r>
      <w:proofErr w:type="spellStart"/>
      <w:r w:rsidRPr="006E5CA5">
        <w:t>O’Reilly</w:t>
      </w:r>
      <w:proofErr w:type="spellEnd"/>
      <w:r w:rsidRPr="006E5CA5">
        <w:t xml:space="preserve"> aktiivne osalemine petitsioonikomisjoni koosolekutel; arvestades, et 4. septembri 2024. aasta koosolekul tutvustas ta petitsioonikomisjonile oma 2023. aasta aruannet ja osales petitsioonikomisjoni 2. detsembril</w:t>
      </w:r>
      <w:r w:rsidR="00A93C1F" w:rsidRPr="006E5CA5">
        <w:t> </w:t>
      </w:r>
      <w:r w:rsidRPr="006E5CA5">
        <w:t>2024 korraldatud iga-aastasel puuetega inimeste õiguste seminaril;</w:t>
      </w:r>
    </w:p>
    <w:p w14:paraId="7B81CB14" w14:textId="77777777" w:rsidR="00C6749A" w:rsidRPr="006E5CA5" w:rsidRDefault="00C6749A" w:rsidP="00C6749A">
      <w:pPr>
        <w:pStyle w:val="NormalHanging12a"/>
      </w:pPr>
      <w:r w:rsidRPr="006E5CA5">
        <w:t>W.</w:t>
      </w:r>
      <w:r w:rsidRPr="006E5CA5">
        <w:tab/>
        <w:t>arvestades, et petitsioonikomisjon kuulub Euroopa ombudsmanide võrgustikku, mille liikmed on ka Euroopa Ombudsman ning liikmesriikide, kandidaatriikide ja Euroopa Majanduspiirkonda kuuluvate teiste riikide riiklikud ja piirkondlikud ombudsmanid ning sarnased organid ja mille eesmärk on edendada teabevahetust ELi õiguse ja poliitika kohta ning jagada parimaid tavasid;</w:t>
      </w:r>
    </w:p>
    <w:p w14:paraId="3D58C450" w14:textId="77777777" w:rsidR="00C6749A" w:rsidRPr="006E5CA5" w:rsidRDefault="00C6749A" w:rsidP="00C6749A">
      <w:pPr>
        <w:pStyle w:val="NormalHanging12a"/>
      </w:pPr>
      <w:r w:rsidRPr="006E5CA5">
        <w:t>1.</w:t>
      </w:r>
      <w:r w:rsidRPr="006E5CA5">
        <w:tab/>
        <w:t xml:space="preserve">tuletab meelde petitsioonikomisjoni olulist rolli ELi kodanike ja elanike õiguste kaitsmisel ja edendamisel ning rõhutab, et petitsioonikomisjon peab tagama, et </w:t>
      </w:r>
      <w:r w:rsidRPr="006E5CA5">
        <w:lastRenderedPageBreak/>
        <w:t xml:space="preserve">petitsiooni esitajate mured ja kaebused vaadatakse läbi kiirelt, tulemuslikult, juurdepääsetaval viisil ja asjakohaselt ning et petitsiooni esitajaid teavitatakse nõuetekohaselt sellest, milliseid meetmeid on võetud ja kuidas nende petitsioonide käsitlemine kulgeb; peab siiski kahetsusväärseks, et tegelikkuses see alati nii ei ole; tuletab meelde, et kõiki petitsioone tuleb käsitleda avatud, demokraatliku ja läbipaistva petitsioonimenetlusega, mida petitsioonikomisjon peaks järjepidevalt järgima; soovitab vaadata läbi </w:t>
      </w:r>
      <w:proofErr w:type="spellStart"/>
      <w:r w:rsidRPr="006E5CA5">
        <w:t>sisemenetlused</w:t>
      </w:r>
      <w:proofErr w:type="spellEnd"/>
      <w:r w:rsidRPr="006E5CA5">
        <w:t>, et tagada sarnaste või korduvate petitsioonide koondamine ja tõhusam käsitlemine, tagades samal ajal iga petitsiooni esitaja õiguse olla individuaalselt ära kuulatud;</w:t>
      </w:r>
    </w:p>
    <w:p w14:paraId="11700942" w14:textId="4D47B0F8" w:rsidR="00C6749A" w:rsidRPr="006E5CA5" w:rsidRDefault="00C6749A" w:rsidP="00C6749A">
      <w:pPr>
        <w:pStyle w:val="NormalHanging12a"/>
      </w:pPr>
      <w:r w:rsidRPr="006E5CA5">
        <w:t>2.</w:t>
      </w:r>
      <w:r w:rsidRPr="006E5CA5">
        <w:tab/>
        <w:t xml:space="preserve">kordab, kui tähtis on pidev avalik arutelu ELi tegevusvaldkondade üle, et kodanikel oleks liidu pädevuse ulatuse ja otsustusprotsessi eri tasandite kohta täpne teave, et vähendada selliste petitsioonide arvu, mis jäetakse lubatavaks tunnistamata; kordab oma nõudmist korraldada laiemaid teadlikkuse suurendamise kampaaniaid, eelkõige äärepoolsetes piirkondades, samuti alaesindatud elanikkonnarühmade, sealhulgas noorte, naiste ning maa- ja saarekogukondade seas, kaasates aktiivselt olemasolevad ELi kommunikatsiooniteenistused kogu liidus, et aidata suurendada kodanike teadlikkust petitsiooniõigusest ja ELi vastutuse ulatusest ning petitsioonikomisjoni pädevustest; nõuab, et petitsiooni esitajatega suheldaks selgemalt ja kõnekeeleta ning et avalikkusele, eelkõige </w:t>
      </w:r>
      <w:r w:rsidR="003D381D" w:rsidRPr="006E5CA5">
        <w:t>vähekaitstud</w:t>
      </w:r>
      <w:r w:rsidRPr="006E5CA5">
        <w:t xml:space="preserve"> või esmakordsetele kasutajatele tehtaks paremini selgeks petitsioonikomisjoni roll ja volituste piirid;</w:t>
      </w:r>
    </w:p>
    <w:p w14:paraId="121FD470" w14:textId="0A3B9ACB" w:rsidR="00C6749A" w:rsidRPr="006E5CA5" w:rsidRDefault="00C6749A" w:rsidP="00C6749A">
      <w:pPr>
        <w:pStyle w:val="NormalHanging12a"/>
      </w:pPr>
      <w:r w:rsidRPr="006E5CA5">
        <w:t>3.</w:t>
      </w:r>
      <w:r w:rsidRPr="006E5CA5">
        <w:tab/>
        <w:t>tuletab meelde petitsioonikomisjoni Euroopa mõõdet ja asjaolu, et kõigi 27</w:t>
      </w:r>
      <w:r w:rsidR="00A93C1F" w:rsidRPr="006E5CA5">
        <w:t> </w:t>
      </w:r>
      <w:r w:rsidRPr="006E5CA5">
        <w:t>liikmesriigi kodanikud võivad selle poole pöörduda küsimustes, mis kuuluvad ELi aluslepingute ja ELi õiguse kohaldamisalasse; usub, et petitsioonikomisjonil on eriline vastutus seda Euroopa mõõdet toetada ja näidata kodanikele Euroopa ühtsuse ja integratsiooni lisaväärtust, austades riikide suveräänsust ja eripära;</w:t>
      </w:r>
    </w:p>
    <w:p w14:paraId="6A258DA6" w14:textId="525CE6F8" w:rsidR="00C6749A" w:rsidRPr="006E5CA5" w:rsidRDefault="00C6749A" w:rsidP="00C6749A">
      <w:pPr>
        <w:pStyle w:val="NormalHanging12a"/>
      </w:pPr>
      <w:r w:rsidRPr="006E5CA5">
        <w:t>4.</w:t>
      </w:r>
      <w:r w:rsidRPr="006E5CA5">
        <w:tab/>
        <w:t xml:space="preserve">juhib tähelepanu, et petitsioonid on </w:t>
      </w:r>
      <w:r w:rsidR="00AB42F2" w:rsidRPr="006E5CA5">
        <w:t>Euroopa P</w:t>
      </w:r>
      <w:r w:rsidRPr="006E5CA5">
        <w:t>arlamendile ja teistele ELi institutsioonidele ainulaadne võimalus suhelda ELi kodanikega otse ja pidada nendega korrapärast dialoogi, eelkõige juhul, kui neid mõjutab ELi õigusnormi ebaõige kohaldamine või rikkumine; rõhutab, et ELi institutsioonide ning riiklike, piirkondlike ja kohalike omavalitsuste vahel on vaja teha seoses ELi õiguse rakendamise ja järgimisega seotud päringutega tõhustatud koostööd; usub, et selline koostöö on ülioluline, et tegeleda kodanike mureküsimustega ELi õiguse kohaldamisel ja neid lahendada, ning see aitab tugevdada liidu demokraatlikku legitiimsust ja vastutust; nõuab seetõttu, et liikmesriikide esindajad osaleksid petitsioonikomisjoni koosolekutel sisuliselt ning et petitsioonikomisjoni poolt liikmesriikide ametiasutustele saadetud selgitustaotlustele või teabenõuetele vastataks kiiresti ja põhjalikult, et tagada petitsioonide asjakohased järelmeetmed;</w:t>
      </w:r>
    </w:p>
    <w:p w14:paraId="3DB805A7" w14:textId="77777777" w:rsidR="00C6749A" w:rsidRPr="006E5CA5" w:rsidRDefault="00C6749A" w:rsidP="00C6749A">
      <w:pPr>
        <w:pStyle w:val="NormalHanging12a"/>
      </w:pPr>
      <w:r w:rsidRPr="006E5CA5">
        <w:t>5.</w:t>
      </w:r>
      <w:r w:rsidRPr="006E5CA5">
        <w:tab/>
        <w:t>tuletab meelde, et petitsioonikomisjon sai 2024. aasta alguses märkimisväärse arvu petitsioone, milles väljendati muret tajutavate ohtude pärast õigusriigi toimimisele Hispaanias; võtab teadmiseks 2024. aasta jaanuaris toimunud ühise arutelu mitme petitsiooni üle, milles käsitleti arenguid Hispaanias, eelkõige seoses valitsuse ettepanekuga võtta vastu amnestiaseadus ja selle võimaliku mõjuga Hispaania ja ELi õigusraamistikele;</w:t>
      </w:r>
    </w:p>
    <w:p w14:paraId="57BDA42B" w14:textId="40BC221C" w:rsidR="00C6749A" w:rsidRPr="006E5CA5" w:rsidRDefault="00C6749A" w:rsidP="00C6749A">
      <w:pPr>
        <w:pStyle w:val="NormalHanging12a"/>
      </w:pPr>
      <w:r w:rsidRPr="006E5CA5">
        <w:t>6.</w:t>
      </w:r>
      <w:r w:rsidRPr="006E5CA5">
        <w:tab/>
        <w:t xml:space="preserve">tuletab meelde, et petitsioonid aitavad Euroopa Komisjonil paremini ellu viia aluslepingute täitmise </w:t>
      </w:r>
      <w:proofErr w:type="spellStart"/>
      <w:r w:rsidRPr="006E5CA5">
        <w:t>järelevalvaja</w:t>
      </w:r>
      <w:proofErr w:type="spellEnd"/>
      <w:r w:rsidRPr="006E5CA5">
        <w:t xml:space="preserve"> ülesandeid, andes kodanikele lisavahendi ELi õiguse väidetavatest rikkumistest teatamiseks; rõhutab, et petitsioonide edukaks </w:t>
      </w:r>
      <w:r w:rsidRPr="006E5CA5">
        <w:lastRenderedPageBreak/>
        <w:t>menetlemiseks on hädavajalik petitsioonikomisjoni ja Euroopa Komisjoni konstruktiivne koostöö Euroopa Komisjoni õigeaegsete ja üksikasjalike vastuste kaudu, mis põhinevad petitsioonides tõstatatud küsimuste põhjalikul uurimisel; kordab, et need vastused, mis edastatakse petitsiooni esitajatele, peaksid olema selged, lihtsad ja empaatilised, et neid oleks võimalik paremini mõista;</w:t>
      </w:r>
    </w:p>
    <w:p w14:paraId="214FF0EC" w14:textId="270B12FC" w:rsidR="00C6749A" w:rsidRPr="006E5CA5" w:rsidRDefault="00C6749A" w:rsidP="00C6749A">
      <w:pPr>
        <w:pStyle w:val="NormalHanging12a"/>
      </w:pPr>
      <w:r w:rsidRPr="006E5CA5">
        <w:t>7.</w:t>
      </w:r>
      <w:r w:rsidRPr="006E5CA5">
        <w:tab/>
        <w:t>väljendab heameelt Euroopa Komisjoni uue veebilehe loomise üle rikkumisjuhtumite, direktiivide ülevõtmise ja EU</w:t>
      </w:r>
      <w:r w:rsidR="005665E9" w:rsidRPr="006E5CA5">
        <w:t> </w:t>
      </w:r>
      <w:proofErr w:type="spellStart"/>
      <w:r w:rsidRPr="006E5CA5">
        <w:t>Piloti</w:t>
      </w:r>
      <w:proofErr w:type="spellEnd"/>
      <w:r w:rsidRPr="006E5CA5">
        <w:t xml:space="preserve"> dialoogi kohta; kordab siiski oma üleskutset, et Euroopa Komisjon annaks petitsioonikomisjonile korrapäraselt teavet rikkumismenetluste käigu kohta ning tagaks petitsioonikomisjonile juurdepääsu asjaomasele teabele käsitlemisel olevate petitsioonidega seotud rikkumismenetluste ja EU </w:t>
      </w:r>
      <w:proofErr w:type="spellStart"/>
      <w:r w:rsidRPr="006E5CA5">
        <w:t>Piloti</w:t>
      </w:r>
      <w:proofErr w:type="spellEnd"/>
      <w:r w:rsidRPr="006E5CA5">
        <w:t xml:space="preserve"> menetluste kohta; kordab vajadust parandada rikkumismenetluste läbipaistvust ja teabevahetust petitsiooni esitajatega selliste menetluste hetkeseisu kohta ning rõhutab, et sellest oleks petitsiooniprotsessile kasu; väljendab heameelt Euroopa Komisjoni algatuse üle lisada petitsioonid </w:t>
      </w:r>
      <w:r w:rsidR="003D381D" w:rsidRPr="006E5CA5">
        <w:t>Euroopa K</w:t>
      </w:r>
      <w:r w:rsidRPr="006E5CA5">
        <w:t xml:space="preserve">omisjoni rikkumisotsuste avalikku registrisse, samuti selle üle, et petitsiooniportaali lisatakse link </w:t>
      </w:r>
      <w:r w:rsidR="003D381D" w:rsidRPr="006E5CA5">
        <w:t>Euroopa K</w:t>
      </w:r>
      <w:r w:rsidRPr="006E5CA5">
        <w:t>omisjoni avalikule registrile; väljendab heameelt volinik</w:t>
      </w:r>
      <w:r w:rsidR="005665E9" w:rsidRPr="006E5CA5">
        <w:t xml:space="preserve"> </w:t>
      </w:r>
      <w:proofErr w:type="spellStart"/>
      <w:r w:rsidR="005665E9" w:rsidRPr="006E5CA5">
        <w:t>Maroš</w:t>
      </w:r>
      <w:proofErr w:type="spellEnd"/>
      <w:r w:rsidRPr="006E5CA5">
        <w:t xml:space="preserve"> </w:t>
      </w:r>
      <w:proofErr w:type="spellStart"/>
      <w:r w:rsidRPr="006E5CA5">
        <w:t>Šefčoviči</w:t>
      </w:r>
      <w:proofErr w:type="spellEnd"/>
      <w:r w:rsidRPr="006E5CA5">
        <w:t xml:space="preserve"> võetud kohustuse üle siduda </w:t>
      </w:r>
      <w:r w:rsidR="00AB42F2" w:rsidRPr="006E5CA5">
        <w:t>Euroopa K</w:t>
      </w:r>
      <w:r w:rsidRPr="006E5CA5">
        <w:t xml:space="preserve">omisjoni avalik register ja </w:t>
      </w:r>
      <w:r w:rsidR="00AB42F2" w:rsidRPr="006E5CA5">
        <w:t>Euroopa P</w:t>
      </w:r>
      <w:r w:rsidRPr="006E5CA5">
        <w:t>arlamendi petitsiooniportaal omavahel veelgi rohkem; kordab oma üleskutset, et Euroopa Komisjon lisaks kõik need nõudmised Euroopa Parlamendi ja Euroopa Komisjoni suhete raamkokkuleppesse</w:t>
      </w:r>
      <w:r w:rsidRPr="006E5CA5">
        <w:rPr>
          <w:rStyle w:val="FootnoteReference"/>
        </w:rPr>
        <w:footnoteReference w:id="1"/>
      </w:r>
      <w:r w:rsidRPr="006E5CA5">
        <w:t>;</w:t>
      </w:r>
    </w:p>
    <w:p w14:paraId="12DA4569" w14:textId="131D038A" w:rsidR="00C6749A" w:rsidRPr="006E5CA5" w:rsidRDefault="00C6749A" w:rsidP="00C6749A">
      <w:pPr>
        <w:pStyle w:val="NormalHanging12a"/>
      </w:pPr>
      <w:r w:rsidRPr="006E5CA5">
        <w:t>8.</w:t>
      </w:r>
      <w:r w:rsidRPr="006E5CA5">
        <w:tab/>
        <w:t xml:space="preserve">nõuab petitsioonidele antud </w:t>
      </w:r>
      <w:r w:rsidR="003D381D" w:rsidRPr="006E5CA5">
        <w:t>Euroopa K</w:t>
      </w:r>
      <w:r w:rsidRPr="006E5CA5">
        <w:t>omisjoni vastuste kvaliteedi ja selguse sõltumatut ja korrapärast hindamist, pöörates erilist tähelepanu loetavusele, asjakohasusele ja petitsiooni esitajate olukorra arvestamisele, et tagada kodanikega sisukas ja austav suhtlemine;</w:t>
      </w:r>
    </w:p>
    <w:p w14:paraId="5AA57F0C" w14:textId="77777777" w:rsidR="00C6749A" w:rsidRPr="006E5CA5" w:rsidRDefault="00C6749A" w:rsidP="00C6749A">
      <w:pPr>
        <w:pStyle w:val="NormalHanging12a"/>
      </w:pPr>
      <w:r w:rsidRPr="006E5CA5">
        <w:t>9.</w:t>
      </w:r>
      <w:r w:rsidRPr="006E5CA5">
        <w:tab/>
        <w:t>leiab, et kasulik oleks petitsioonikomisjoni ja liikmesriikide aktiivsem koostöö, et liikuda edasi petitsioonidega, mis eeldavad liikmesriikide ametiasutuste kiiret vastust ja järelmeetmeid;</w:t>
      </w:r>
    </w:p>
    <w:p w14:paraId="1A07C827" w14:textId="5B1D7529" w:rsidR="00C6749A" w:rsidRPr="006E5CA5" w:rsidRDefault="00C6749A" w:rsidP="00C6749A">
      <w:pPr>
        <w:pStyle w:val="NormalHanging12a"/>
      </w:pPr>
      <w:r w:rsidRPr="006E5CA5">
        <w:t>10.</w:t>
      </w:r>
      <w:r w:rsidRPr="006E5CA5">
        <w:tab/>
        <w:t xml:space="preserve">tuletab meelde, et e-petitsioonide andmebaas on oluline </w:t>
      </w:r>
      <w:proofErr w:type="spellStart"/>
      <w:r w:rsidRPr="006E5CA5">
        <w:t>sisevahend</w:t>
      </w:r>
      <w:proofErr w:type="spellEnd"/>
      <w:r w:rsidRPr="006E5CA5">
        <w:t>, mis võimaldab petitsioonikomisjoni liikmetel pääseda juurde kogu vajalikule teabele, et jälgida iga petitsiooni hetkeseisu ja teha petitsioonide käsitlemise kohta teadlikke otsuseid; märgib, et e-petitsioonide andmebaasil on oluline roll ka petitsiooni esitajatega suhtlemisel; rõhutab vajadust veelgi ajakohastada petitsioonikomisjoni digivahendeid ning teeb ettepaneku uurida tehisintellekti vastutustundlikku ja inimese juhitud kasutamist, et petitsioonide käsitlemist veelgi parandada;</w:t>
      </w:r>
    </w:p>
    <w:p w14:paraId="37963D03" w14:textId="59C06463" w:rsidR="00C6749A" w:rsidRPr="006E5CA5" w:rsidRDefault="00C6749A" w:rsidP="00C6749A">
      <w:pPr>
        <w:pStyle w:val="NormalHanging12a"/>
      </w:pPr>
      <w:r w:rsidRPr="006E5CA5">
        <w:t>11.</w:t>
      </w:r>
      <w:r w:rsidRPr="006E5CA5">
        <w:tab/>
        <w:t xml:space="preserve">tuletab meelde, et Euroopa Komisjon on võtnud kohustuse luua </w:t>
      </w:r>
      <w:r w:rsidR="00AB42F2" w:rsidRPr="006E5CA5">
        <w:t>Euroopa K</w:t>
      </w:r>
      <w:r w:rsidRPr="006E5CA5">
        <w:t xml:space="preserve">omisjoni ja </w:t>
      </w:r>
      <w:r w:rsidR="00AB42F2" w:rsidRPr="006E5CA5">
        <w:t>Euroopa P</w:t>
      </w:r>
      <w:r w:rsidRPr="006E5CA5">
        <w:t>arlamendi vahel institutsioonidevaheline IT-vahend, mille eesmärk on jagada teavet ja dokumente petitsioonide suhtes võetud kõigi järelmeetmete kohta, nagu rikkumismenetlused, seadusandlikud ettepanekud või riiklike ametiasutuste vastused, parandades seeläbi petitsioonide käsitlemise läbipaistvust ja tõhusust, mis laiemas kontekstis aitaks suurendada kodanike usaldust ELi institutsioonide ja Euroopa projekti vastu; nõuab, et selline institutsioonidevaheline IT-vahend kiiresti kasutusele võetaks;</w:t>
      </w:r>
    </w:p>
    <w:p w14:paraId="19AF6273" w14:textId="44D80D52" w:rsidR="00C6749A" w:rsidRPr="006E5CA5" w:rsidRDefault="00C6749A" w:rsidP="00C6749A">
      <w:pPr>
        <w:pStyle w:val="NormalHanging12a"/>
      </w:pPr>
      <w:r w:rsidRPr="006E5CA5">
        <w:t>12.</w:t>
      </w:r>
      <w:r w:rsidRPr="006E5CA5">
        <w:tab/>
        <w:t xml:space="preserve">tuletab meelde, et petitsioonide põhjalikuks käsitlemiseks tuleb teha kindlasti koostööd teiste parlamendikomisjonidega; märgib, et 2024. aastal saadeti teistele komisjonidele </w:t>
      </w:r>
      <w:r w:rsidRPr="006E5CA5">
        <w:lastRenderedPageBreak/>
        <w:t>30</w:t>
      </w:r>
      <w:r w:rsidR="00A93C1F" w:rsidRPr="006E5CA5">
        <w:t> </w:t>
      </w:r>
      <w:r w:rsidRPr="006E5CA5">
        <w:t>arvamuse taotlust ja 450</w:t>
      </w:r>
      <w:r w:rsidR="00A93C1F" w:rsidRPr="006E5CA5">
        <w:t> </w:t>
      </w:r>
      <w:r w:rsidRPr="006E5CA5">
        <w:t>teabetaotlust; märgib, et 2024. aasta lõpuks saadi 26</w:t>
      </w:r>
      <w:r w:rsidR="00A93C1F" w:rsidRPr="006E5CA5">
        <w:t> </w:t>
      </w:r>
      <w:r w:rsidRPr="006E5CA5">
        <w:t>arvamust;</w:t>
      </w:r>
      <w:r w:rsidRPr="006E5CA5">
        <w:rPr>
          <w:color w:val="FF0000"/>
        </w:rPr>
        <w:t xml:space="preserve"> </w:t>
      </w:r>
      <w:r w:rsidRPr="006E5CA5">
        <w:t xml:space="preserve">tuletab meelde, et petitsiooni esitajaid teavitatakse otsustest taotleda nende petitsioonide käsitlemiseks arvamusi teistelt parlamendikomisjonidelt; rõhutab, et parlamendikomisjonid peaksid suurendama oma pingutusi, et panustada aktiivselt oma erialateadmistega petitsioonide läbivaatamisse, võimaldades seeläbi </w:t>
      </w:r>
      <w:r w:rsidR="00AB42F2" w:rsidRPr="006E5CA5">
        <w:t>Euroopa P</w:t>
      </w:r>
      <w:r w:rsidRPr="006E5CA5">
        <w:t>arlamendil kiiremini ja põhjalikumalt kodanike muredele vastata;</w:t>
      </w:r>
    </w:p>
    <w:p w14:paraId="78609EC1" w14:textId="49B375DD" w:rsidR="00C6749A" w:rsidRPr="006E5CA5" w:rsidRDefault="00C6749A" w:rsidP="00C6749A">
      <w:pPr>
        <w:pStyle w:val="NormalHanging12a"/>
      </w:pPr>
      <w:r w:rsidRPr="006E5CA5">
        <w:t>13.</w:t>
      </w:r>
      <w:r w:rsidRPr="006E5CA5">
        <w:tab/>
        <w:t>usub, et petitsioonide võrgustik on kasulik vahend, mis hõlbustab petitsioonidega seotud järelmeetmete võtmist parlamentaarses ja õigusloomealases tegevuses; usub, et petitsioonide võrgustiku korrapärased koosolekud on hädavajalikud, et suurendada petitsioonikomisjoni tegevuse nähtavust ja tagada parem arusaam petitsioonikomisjoni tööst ja ülesannetest ning tugevdada koostööd teiste parlamendikomisjonidega;</w:t>
      </w:r>
    </w:p>
    <w:p w14:paraId="2DB74F2C" w14:textId="77777777" w:rsidR="00C6749A" w:rsidRPr="006E5CA5" w:rsidRDefault="00C6749A" w:rsidP="00C6749A">
      <w:pPr>
        <w:pStyle w:val="NormalHanging12a"/>
      </w:pPr>
      <w:r w:rsidRPr="006E5CA5">
        <w:t>14.</w:t>
      </w:r>
      <w:r w:rsidRPr="006E5CA5">
        <w:tab/>
        <w:t>võtab teadmiseks, et 2024. aastal oli petitsiooni esitajate peamiseks murevaldkonnaks endiselt keskkond ja keskkonnaküsimustes esitati rohkem kui 20 % petitsioonidest; märgib, et arvukalt esitati petitsioone, milles mõistetakse hukka ELi keskkonnaalaste õigusaktide rikkumised mitmes liikmesriigis; märgib, et petitsiooni esitajate teatatud ja petitsioonikomisjonis arutatud küsimuste hulka kuuluvad huntide kaitse ELis, pestitsiidide pikaajaline toksiline toime ja ühe terasetehase juhtimisest tulenev tööstusheidete direktiivi</w:t>
      </w:r>
      <w:r w:rsidRPr="006E5CA5">
        <w:rPr>
          <w:rStyle w:val="FootnoteReference"/>
        </w:rPr>
        <w:footnoteReference w:id="2"/>
      </w:r>
      <w:r w:rsidRPr="006E5CA5">
        <w:t xml:space="preserve"> rikkumine; rõhutab, kui tähtis on täita ELi kodanike ootusi seoses keskkonnakaitsega, ning nõuab tungivalt, et Euroopa Komisjon ja liikmesriigid tagaksid selles valdkonnas ELi õigusaktide nõuetekohase rakendamise;</w:t>
      </w:r>
    </w:p>
    <w:p w14:paraId="6C65049A" w14:textId="77777777" w:rsidR="00C6749A" w:rsidRPr="006E5CA5" w:rsidRDefault="00C6749A" w:rsidP="00C6749A">
      <w:pPr>
        <w:pStyle w:val="NormalHanging12a"/>
      </w:pPr>
      <w:r w:rsidRPr="006E5CA5">
        <w:t>15.</w:t>
      </w:r>
      <w:r w:rsidRPr="006E5CA5">
        <w:tab/>
        <w:t xml:space="preserve">võtab teadmiseks, et petitsioonikomisjon tegeles ka muude teemadega, nagu laste õiguste kaitse, sealhulgas internetiturvalisus, ja loomade heaolu parandamine; juhib tähelepanu petitsioonidele, milles rõhutatakse reisijate õiguste rikkumisi; märgib lisaks, et arvukates petitsioonides väljendati muret andmekaitse ja eelkõige isikuandmete kaitse </w:t>
      </w:r>
      <w:proofErr w:type="spellStart"/>
      <w:r w:rsidRPr="006E5CA5">
        <w:t>üldmääruse</w:t>
      </w:r>
      <w:proofErr w:type="spellEnd"/>
      <w:r w:rsidRPr="006E5CA5">
        <w:rPr>
          <w:rStyle w:val="FootnoteReference"/>
        </w:rPr>
        <w:footnoteReference w:id="3"/>
      </w:r>
      <w:r w:rsidRPr="006E5CA5">
        <w:t xml:space="preserve"> täitmise tagamise pärast; toonitab, et hulk petitsioone käsitles eluasemekriisi liikmesriikides; märgib, et petitsioonikomisjon käsitles ka fossiilkütuste ettevõtete kohustusi elukalliduse kriisis ning mureküsimusi seoses raudteeohutusega ja töötajate õiguste kaitsega; märgib, et arutati kultuuri ja rahvuspärandi teemalisi petitsioone; tuletab meelde, et petitsioonikomisjon arutas mitut petitsiooni Venemaa kodanike alalise elamisloa tühistamise kohta; märgib, et petitsioonikomisjon sai arvukalt petitsioone õigusriigi olukorra kohta liikmesriikides, mida komisjonis ka arutati; märgib, et laekus petitsioone sisserändajate ja varjupaigataotlejate vastuvõtutingimuste kohta liikmesriikides ning petitsioone, milles teatati diskrimineerimise juhtumitest; ootab Euroopa Komisjonilt asjakohaseid järelmeetmeid ja ajakohastatud teavet kõigi nende petitsioonide kohta;</w:t>
      </w:r>
    </w:p>
    <w:p w14:paraId="7A6E7BEE" w14:textId="06699A24" w:rsidR="00C6749A" w:rsidRPr="006E5CA5" w:rsidRDefault="00C6749A" w:rsidP="00C6749A">
      <w:pPr>
        <w:pStyle w:val="NormalHanging12a"/>
      </w:pPr>
      <w:r w:rsidRPr="006E5CA5">
        <w:t>16.</w:t>
      </w:r>
      <w:r w:rsidRPr="006E5CA5">
        <w:tab/>
        <w:t xml:space="preserve">rõhutab, et petitsioonikomisjon on andnud olulise panuse puuetega inimeste õiguste kaitsmisse, nagu näitab mitme </w:t>
      </w:r>
      <w:proofErr w:type="spellStart"/>
      <w:r w:rsidRPr="006E5CA5">
        <w:t>selleteemalise</w:t>
      </w:r>
      <w:proofErr w:type="spellEnd"/>
      <w:r w:rsidRPr="006E5CA5">
        <w:t xml:space="preserve"> petitsiooni käsitlemine, sealhulgas </w:t>
      </w:r>
      <w:r w:rsidRPr="006E5CA5">
        <w:lastRenderedPageBreak/>
        <w:t xml:space="preserve">petitsioonide esitamist riikide viipekeeltes käsitleva petitsiooni nr 1056/2016 läbivaatamine; võtab sellega seoses teadmiseks Euroopa Parlamendi teenistuste pingutused ja märgib, et kurtide kodanike jaoks tuleb leida mitte ainult parim tehniline, vaid ka kõige kättesaadavam lahendus, et suhelda nendega nende endi emakeeles, st riikide viipekeeltes; nõuab kodukorra muutmist tihedas koostöös põhiseaduskomisjoniga, et kaotada kohustuslik üksnes kirjalik suhtlus kodanikega, kes on viipekeele kasutajad, kurdid või </w:t>
      </w:r>
      <w:proofErr w:type="spellStart"/>
      <w:r w:rsidRPr="006E5CA5">
        <w:t>vaegkuuljad</w:t>
      </w:r>
      <w:proofErr w:type="spellEnd"/>
      <w:r w:rsidRPr="006E5CA5">
        <w:t>, et nad saaksid taotluse korral kasutada menetluse käigus viipekeelt; märgib, et 2024. aastal olid petitsiooni esitajate jaoks jätkuvalt murettekitavad puuetega õpilaste haridus, puuetega inimestele tervishoiuteenuste osutamisest keeldumine ning avalike ruumide ja teenuste ligipääsetavus; tuletab meelde, et 2. detsembril</w:t>
      </w:r>
      <w:r w:rsidR="005665E9" w:rsidRPr="006E5CA5">
        <w:t> </w:t>
      </w:r>
      <w:r w:rsidRPr="006E5CA5">
        <w:t>2024 korraldas petitsioonikomisjon iga-aastase puuetega inimeste õiguste seminari, millel keskenduti puuetega inimeste õiguste strateegia aastateks 2021–2030 hetkeseisule, ja nõuab tungivalt, et puuetega inimeste õiguste strateegia aastateks 2021–2030 vahekokkuvõttesse integreeritaks kiiresti petitsioonide tulemused koos mõõdetavate eesmärkide ja eelarveliste kulukohustustega;</w:t>
      </w:r>
    </w:p>
    <w:p w14:paraId="7B95608E" w14:textId="77777777" w:rsidR="00C6749A" w:rsidRPr="006E5CA5" w:rsidRDefault="00C6749A" w:rsidP="00C6749A">
      <w:pPr>
        <w:pStyle w:val="NormalHanging12a"/>
      </w:pPr>
      <w:r w:rsidRPr="006E5CA5">
        <w:t>17.</w:t>
      </w:r>
      <w:r w:rsidRPr="006E5CA5">
        <w:tab/>
        <w:t>rõhutab petitsioonikomisjoni erilist kaitserolli ELis ÜRO puuetega inimeste õiguste konventsiooni raames; juhib tähelepanu petitsioonikomisjoni käimasolevale olulisele tööle seoses puuetega seotud küsimusi käsitlevate petitsioonidega; tuletab meelde, et viide petitsioonidele vajaduse kohta kogu ELis kehtiva puudega inimese kaardi järele on lisatud direktiivi (EL) 2024/2841, millega luuakse Euroopa puudega inimese kaart ja Euroopa puudega inimese parkimiskaart</w:t>
      </w:r>
      <w:r w:rsidRPr="006E5CA5">
        <w:rPr>
          <w:rStyle w:val="FootnoteReference"/>
        </w:rPr>
        <w:footnoteReference w:id="4"/>
      </w:r>
      <w:r w:rsidRPr="006E5CA5">
        <w:t>; rõhutab, et petitsioonid võivad õigusloomeprotsessile oluliselt kaasa aidata;</w:t>
      </w:r>
    </w:p>
    <w:p w14:paraId="2CA6149C" w14:textId="5F040860" w:rsidR="00C6749A" w:rsidRPr="006E5CA5" w:rsidRDefault="00C6749A" w:rsidP="00C6749A">
      <w:pPr>
        <w:pStyle w:val="NormalHanging12a"/>
        <w:rPr>
          <w:rFonts w:eastAsia="Calibri"/>
        </w:rPr>
      </w:pPr>
      <w:r w:rsidRPr="006E5CA5">
        <w:t>18.</w:t>
      </w:r>
      <w:r w:rsidRPr="006E5CA5">
        <w:tab/>
        <w:t xml:space="preserve">tuletab meelde, et Euroopa Parlamendi kodukorra kohaselt kuulub petitsioonikomisjoni ülesannete hulka suhtlemine Euroopa Ombudsmaniga; rõhutab petitsioonikomisjoni rolli Euroopa </w:t>
      </w:r>
      <w:r w:rsidR="00AB42F2" w:rsidRPr="006E5CA5">
        <w:t>O</w:t>
      </w:r>
      <w:r w:rsidRPr="006E5CA5">
        <w:t xml:space="preserve">mbudsmani valimisprotsessis, eelkõige 3. detsembril 2024. aastal koos kõigi sobilike kandidaatidega toimunud avaliku kuulamise korraldamisel, mis oli avatud kõigile Euroopa Parlamendi liikmetele, andes neile seega demokraatliku ja läbipaistva võimaluse vahetada kandidaatidega arvamusi ning hinnata nende sõltumatust, kvalifikatsiooni ja professionaalsust, samuti nende nägemust Euroopa Ombudsmani büroost ELi institutsioonilises ülesehituses; väljendab heameelt </w:t>
      </w:r>
      <w:r w:rsidR="00AB42F2" w:rsidRPr="006E5CA5">
        <w:t>Euroopa P</w:t>
      </w:r>
      <w:r w:rsidRPr="006E5CA5">
        <w:t xml:space="preserve">arlamendi konstruktiivse koostöö üle Euroopa Ombudsmaniga, kellega petitsioonikomisjon jagab eesmärki tagada ELi institutsioonide läbipaistvus, professionaalsus ja usaldusväärsus Euroopa kodanike jaoks, ning </w:t>
      </w:r>
      <w:r w:rsidR="00AB42F2" w:rsidRPr="006E5CA5">
        <w:t>Euroopa P</w:t>
      </w:r>
      <w:r w:rsidRPr="006E5CA5">
        <w:t>arlamendi osalemise üle Euroopa ombudsmanide võrgustikus;</w:t>
      </w:r>
    </w:p>
    <w:p w14:paraId="7A71633C" w14:textId="77777777" w:rsidR="00C6749A" w:rsidRPr="006E5CA5" w:rsidRDefault="00C6749A" w:rsidP="00C6749A">
      <w:pPr>
        <w:pStyle w:val="NormalHanging12a"/>
        <w:rPr>
          <w:rFonts w:eastAsia="Calibri"/>
        </w:rPr>
      </w:pPr>
      <w:r w:rsidRPr="006E5CA5">
        <w:t>19.</w:t>
      </w:r>
      <w:r w:rsidRPr="006E5CA5">
        <w:tab/>
        <w:t>julgustab Euroopa Ombudsmani jätkuvalt osalema kogu aasta jooksul korrapäraselt petitsioonikomisjoni töös; on kindlalt veendunud, et liidu institutsioonid, organid ja asutused peavad tagama ombudsmani soovitustele vastavad järjepidevad ja tulemuslikud järelmeetmed; rõhutab, et Euroopa Ombudsmanil on tähtis roll läbipaistvuse, hea halduse ja kodanike õiguste kaitse edendajana; nõuab, et petitsioonikomisjon ja ombudsmani büroo teeksid tihedamat koostööd;</w:t>
      </w:r>
    </w:p>
    <w:p w14:paraId="6AF8E856" w14:textId="50F10757" w:rsidR="00C6749A" w:rsidRPr="006E5CA5" w:rsidRDefault="00C6749A" w:rsidP="00C6749A">
      <w:pPr>
        <w:pStyle w:val="NormalHanging12a"/>
        <w:rPr>
          <w:b/>
          <w:i/>
        </w:rPr>
      </w:pPr>
      <w:r w:rsidRPr="006E5CA5">
        <w:t>20.</w:t>
      </w:r>
      <w:r w:rsidRPr="006E5CA5">
        <w:tab/>
        <w:t xml:space="preserve">märgib, et vaatamata Euroopa Parlamendi valimistest tingitud vaheajale väljendas petitsioonikomisjon oma seisukohta ja esitas soovitusi petitsioonides tõstatatud oluliste </w:t>
      </w:r>
      <w:r w:rsidRPr="006E5CA5">
        <w:lastRenderedPageBreak/>
        <w:t xml:space="preserve">küsimuste kohta, sealhulgas võttis ta pärast </w:t>
      </w:r>
      <w:proofErr w:type="spellStart"/>
      <w:r w:rsidRPr="006E5CA5">
        <w:t>teabekogumiskülastusi</w:t>
      </w:r>
      <w:proofErr w:type="spellEnd"/>
      <w:r w:rsidRPr="006E5CA5">
        <w:t>, mis toimusid 2023. aasta teisel poolel</w:t>
      </w:r>
      <w:r w:rsidR="005665E9" w:rsidRPr="006E5CA5">
        <w:t> </w:t>
      </w:r>
      <w:r w:rsidRPr="006E5CA5">
        <w:t>– nimelt lähetus Iirimaale seoses vilgukivist hoonetega ja lähetus Hispaaniasse seoses keelekümblusega Kataloonias –, vastu kaks lähetuse aruannet; rõhutab, kui tähtis on, et Kataloonia ametiasutused rakendaksid petitsioonikomisjoni 19. märtsi 2024. aasta raportis esitatud soovitusi, mille eesmärk on kaitsta õpilaste ja nende perekondade keeleõigusi;</w:t>
      </w:r>
    </w:p>
    <w:p w14:paraId="69F608AD" w14:textId="38C223D1" w:rsidR="00C6749A" w:rsidRPr="006E5CA5" w:rsidRDefault="00C6749A" w:rsidP="00C6749A">
      <w:pPr>
        <w:pStyle w:val="NormalHanging12a"/>
      </w:pPr>
      <w:r w:rsidRPr="006E5CA5">
        <w:t>21.</w:t>
      </w:r>
      <w:r w:rsidRPr="006E5CA5">
        <w:tab/>
        <w:t xml:space="preserve">võtab teadmiseks, et üha rohkem petitsioone on seotud hariduspoliitikaga, eelkõige õpetajakvalifikatsiooni tunnustamisega liikmesriikides; juhib sellega seoses tähelepanu petitsioonikomisjoni suuliselt vastatavale küsimusele Euroopa Komisjonile õpetajate töötingimuste kohta ELis; väljendab muret seoses Euroopa Komisjoni suulise vastusega, milles kinnitatakse, et õpetajate nappus on tõsine murekoht, mida kajastavad ka hiljutised PISA tulemused, mille kohaselt ei õnnestunud mitte ühelgi liikmesriigil parandada oma tulemusi põhioskuste osas; kutsub sellega seoses </w:t>
      </w:r>
      <w:r w:rsidR="003D381D" w:rsidRPr="006E5CA5">
        <w:t>Euroopa K</w:t>
      </w:r>
      <w:r w:rsidRPr="006E5CA5">
        <w:t>omisjoni ja liikmesriike üles suurendama märkimisväärselt oma jõupingutusi kooliharidussüsteemide parandamiseks, suurendades samal ajal ka õpetajaameti atraktiivsust, sealhulgas rahastamise ja programmide kaudu;</w:t>
      </w:r>
    </w:p>
    <w:p w14:paraId="1EB7C22C" w14:textId="1D722E59" w:rsidR="00C6749A" w:rsidRPr="006E5CA5" w:rsidRDefault="00C6749A" w:rsidP="00C6749A">
      <w:pPr>
        <w:pStyle w:val="NormalHanging12a"/>
      </w:pPr>
      <w:r w:rsidRPr="006E5CA5">
        <w:t>22.</w:t>
      </w:r>
      <w:r w:rsidRPr="006E5CA5">
        <w:tab/>
        <w:t>väljendab heameelt Euroopa Parlamendi 10. aprilli 2024. aasta resolutsiooni (raskete kaubaveokite käitlemise kohta piiripunktides, mis põhineb petitsioonil nr 0146/2023)</w:t>
      </w:r>
      <w:r w:rsidRPr="006E5CA5">
        <w:rPr>
          <w:rStyle w:val="FootnoteReference"/>
        </w:rPr>
        <w:footnoteReference w:id="5"/>
      </w:r>
      <w:r w:rsidRPr="006E5CA5">
        <w:t xml:space="preserve"> vastuvõtmise üle;</w:t>
      </w:r>
    </w:p>
    <w:p w14:paraId="0AA0C5FD" w14:textId="0AE4D3B5" w:rsidR="00C6749A" w:rsidRPr="006E5CA5" w:rsidRDefault="00C6749A" w:rsidP="00C6749A">
      <w:pPr>
        <w:pStyle w:val="NormalHanging12a"/>
      </w:pPr>
      <w:r w:rsidRPr="006E5CA5">
        <w:t>23.</w:t>
      </w:r>
      <w:r w:rsidRPr="006E5CA5">
        <w:tab/>
        <w:t xml:space="preserve">rõhutab, et petitsioonide veebiportaal on tähtis vahend, mis tagab petitsioonide sujuva, tõhusa ja läbipaistva menetlemise; väljendab heameelt portaalis petitsiooni esitajate hüvanguks tehtud paranduste üle ja rõhutab, et tuleb jätkata jõupingutusi portaali juurdepääsetavuse parandamiseks, sealhulgas muuta see juurdepääsetavamaks viipekeele kasutajatele, nagu on taotletud petitsioonis nr 1056/2016, ja puuetega inimestele; märgib, et petitsioonide veebiportaal on üks </w:t>
      </w:r>
      <w:r w:rsidR="00AB42F2" w:rsidRPr="006E5CA5">
        <w:t>Euroopa P</w:t>
      </w:r>
      <w:r w:rsidRPr="006E5CA5">
        <w:t>arlamendi enim külastatud veebisaite ning paljude ELi kodanike jaoks esimene kontaktpunkt Euroopa Parlamendiga;</w:t>
      </w:r>
    </w:p>
    <w:p w14:paraId="1652C135" w14:textId="2AA314A0" w:rsidR="00E365E1" w:rsidRPr="006E5CA5" w:rsidRDefault="00C6749A" w:rsidP="005665E9">
      <w:pPr>
        <w:pStyle w:val="NormalHanging12a"/>
      </w:pPr>
      <w:r w:rsidRPr="006E5CA5">
        <w:t>24.</w:t>
      </w:r>
      <w:r w:rsidRPr="006E5CA5">
        <w:tab/>
        <w:t>teeb presidendile ülesandeks edastada käesolev resolutsioon ja petitsioonikomisjoni raport nõukogule, komisjonile, Euroopa Ombudsmanile, liikmesriikide valitsustele ja parlamentidele ning nende petitsioonikomisjonidele ja riiklikele ombudsmanidele või samaväärsetele pädevatele organitele.</w:t>
      </w:r>
    </w:p>
    <w:sectPr w:rsidR="00E365E1" w:rsidRPr="006E5CA5" w:rsidSect="00D52E2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0E1AA" w14:textId="77777777" w:rsidR="004A1FD0" w:rsidRPr="00D52E28" w:rsidRDefault="004A1FD0">
      <w:r w:rsidRPr="00D52E28">
        <w:separator/>
      </w:r>
    </w:p>
  </w:endnote>
  <w:endnote w:type="continuationSeparator" w:id="0">
    <w:p w14:paraId="0CB3BEE8" w14:textId="77777777" w:rsidR="004A1FD0" w:rsidRPr="00D52E28" w:rsidRDefault="004A1FD0">
      <w:r w:rsidRPr="00D52E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AD90A" w14:textId="77777777" w:rsidR="00064002" w:rsidRPr="00D52E2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85098" w14:textId="77777777" w:rsidR="00064002" w:rsidRPr="00D52E2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018C4" w14:textId="77777777" w:rsidR="00064002" w:rsidRPr="00D52E2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3C17D" w14:textId="77777777" w:rsidR="004A1FD0" w:rsidRPr="00D52E28" w:rsidRDefault="004A1FD0">
      <w:r w:rsidRPr="00D52E28">
        <w:separator/>
      </w:r>
    </w:p>
  </w:footnote>
  <w:footnote w:type="continuationSeparator" w:id="0">
    <w:p w14:paraId="66BB152D" w14:textId="77777777" w:rsidR="004A1FD0" w:rsidRPr="00D52E28" w:rsidRDefault="004A1FD0">
      <w:r w:rsidRPr="00D52E28">
        <w:continuationSeparator/>
      </w:r>
    </w:p>
  </w:footnote>
  <w:footnote w:id="1">
    <w:p w14:paraId="252DE19E" w14:textId="68F2ABF7" w:rsidR="00C6749A" w:rsidRPr="00D52E28" w:rsidRDefault="00C6749A" w:rsidP="00D52E28">
      <w:pPr>
        <w:pStyle w:val="FootnoteText"/>
        <w:ind w:left="567" w:hanging="567"/>
        <w:rPr>
          <w:sz w:val="24"/>
          <w:lang w:val="et-EE"/>
        </w:rPr>
      </w:pPr>
      <w:r w:rsidRPr="00D52E28">
        <w:rPr>
          <w:rStyle w:val="FootnoteReference"/>
          <w:sz w:val="24"/>
          <w:lang w:val="et-EE"/>
        </w:rPr>
        <w:footnoteRef/>
      </w:r>
      <w:r w:rsidR="00D52E28" w:rsidRPr="00D52E28">
        <w:rPr>
          <w:sz w:val="24"/>
          <w:lang w:val="et-EE"/>
        </w:rPr>
        <w:t xml:space="preserve"> </w:t>
      </w:r>
      <w:r w:rsidR="00D52E28" w:rsidRPr="00D52E28">
        <w:rPr>
          <w:sz w:val="24"/>
          <w:lang w:val="et-EE"/>
        </w:rPr>
        <w:tab/>
      </w:r>
      <w:r w:rsidRPr="00D52E28">
        <w:rPr>
          <w:sz w:val="24"/>
          <w:lang w:val="et-EE"/>
        </w:rPr>
        <w:t>ELT</w:t>
      </w:r>
      <w:r w:rsidR="005665E9">
        <w:rPr>
          <w:sz w:val="24"/>
          <w:lang w:val="et-EE"/>
        </w:rPr>
        <w:t> </w:t>
      </w:r>
      <w:r w:rsidRPr="00D52E28">
        <w:rPr>
          <w:sz w:val="24"/>
          <w:lang w:val="et-EE"/>
        </w:rPr>
        <w:t>L</w:t>
      </w:r>
      <w:r w:rsidR="005665E9">
        <w:rPr>
          <w:sz w:val="24"/>
          <w:lang w:val="et-EE"/>
        </w:rPr>
        <w:t> </w:t>
      </w:r>
      <w:r w:rsidRPr="00D52E28">
        <w:rPr>
          <w:sz w:val="24"/>
          <w:lang w:val="et-EE"/>
        </w:rPr>
        <w:t>304, 20.11.2010, lk</w:t>
      </w:r>
      <w:r w:rsidR="005665E9">
        <w:rPr>
          <w:sz w:val="24"/>
          <w:lang w:val="et-EE"/>
        </w:rPr>
        <w:t> </w:t>
      </w:r>
      <w:r w:rsidRPr="00D52E28">
        <w:rPr>
          <w:sz w:val="24"/>
          <w:lang w:val="et-EE"/>
        </w:rPr>
        <w:t>47, ELI:</w:t>
      </w:r>
      <w:r w:rsidR="005665E9">
        <w:rPr>
          <w:sz w:val="24"/>
          <w:lang w:val="et-EE"/>
        </w:rPr>
        <w:t> </w:t>
      </w:r>
      <w:hyperlink r:id="rId1" w:history="1">
        <w:r w:rsidR="005665E9" w:rsidRPr="003F3843">
          <w:rPr>
            <w:rStyle w:val="Hyperlink"/>
            <w:sz w:val="24"/>
            <w:lang w:val="et-EE"/>
          </w:rPr>
          <w:t>http://data.europa.eu/eli/agree_interinstit/2010/1120/oj</w:t>
        </w:r>
      </w:hyperlink>
      <w:r w:rsidRPr="00D52E28">
        <w:rPr>
          <w:sz w:val="24"/>
          <w:lang w:val="et-EE"/>
        </w:rPr>
        <w:t>.</w:t>
      </w:r>
    </w:p>
  </w:footnote>
  <w:footnote w:id="2">
    <w:p w14:paraId="6C353F97" w14:textId="45686660" w:rsidR="00C6749A" w:rsidRPr="00D52E28" w:rsidRDefault="00C6749A" w:rsidP="00D52E28">
      <w:pPr>
        <w:pStyle w:val="FootnoteText"/>
        <w:ind w:left="567" w:hanging="567"/>
        <w:rPr>
          <w:sz w:val="24"/>
          <w:lang w:val="et-EE"/>
        </w:rPr>
      </w:pPr>
      <w:r w:rsidRPr="00D52E28">
        <w:rPr>
          <w:rStyle w:val="FootnoteReference"/>
          <w:sz w:val="24"/>
          <w:lang w:val="et-EE"/>
        </w:rPr>
        <w:footnoteRef/>
      </w:r>
      <w:r w:rsidR="00D52E28" w:rsidRPr="00D52E28">
        <w:rPr>
          <w:sz w:val="24"/>
          <w:lang w:val="et-EE"/>
        </w:rPr>
        <w:t xml:space="preserve"> </w:t>
      </w:r>
      <w:r w:rsidR="00D52E28" w:rsidRPr="00D52E28">
        <w:rPr>
          <w:sz w:val="24"/>
          <w:lang w:val="et-EE"/>
        </w:rPr>
        <w:tab/>
      </w:r>
      <w:r w:rsidRPr="00D52E28">
        <w:rPr>
          <w:sz w:val="24"/>
          <w:lang w:val="et-EE"/>
        </w:rPr>
        <w:t>Euroopa Parlamendi ja nõukogu 24. aprilli 2024. aasta direktiiv (EL)</w:t>
      </w:r>
      <w:r w:rsidR="005665E9">
        <w:rPr>
          <w:sz w:val="24"/>
          <w:lang w:val="et-EE"/>
        </w:rPr>
        <w:t> </w:t>
      </w:r>
      <w:r w:rsidRPr="00D52E28">
        <w:rPr>
          <w:sz w:val="24"/>
          <w:lang w:val="et-EE"/>
        </w:rPr>
        <w:t>2024/1785, millega muudetakse Euroopa Parlamendi ja nõukogu direktiivi 2010/75/EL tööstusheidete kohta (saastuse kompleksne vältimine ja kontroll) ning nõukogu direktiivi 1999/31/EÜ prügilate kohta (ELT L, 2024/1785, 15.7.2024, ELI:</w:t>
      </w:r>
      <w:r w:rsidR="005665E9">
        <w:rPr>
          <w:sz w:val="24"/>
          <w:lang w:val="et-EE"/>
        </w:rPr>
        <w:t> </w:t>
      </w:r>
      <w:hyperlink r:id="rId2" w:history="1">
        <w:r w:rsidR="005665E9" w:rsidRPr="003F3843">
          <w:rPr>
            <w:rStyle w:val="Hyperlink"/>
            <w:sz w:val="24"/>
            <w:lang w:val="et-EE"/>
          </w:rPr>
          <w:t>http://data.europa.eu/eli/dir/2024/1785/oj</w:t>
        </w:r>
      </w:hyperlink>
      <w:r w:rsidRPr="00D52E28">
        <w:rPr>
          <w:sz w:val="24"/>
          <w:lang w:val="et-EE"/>
        </w:rPr>
        <w:t>).</w:t>
      </w:r>
    </w:p>
  </w:footnote>
  <w:footnote w:id="3">
    <w:p w14:paraId="51D571D9" w14:textId="096D12C7" w:rsidR="00C6749A" w:rsidRPr="00D52E28" w:rsidRDefault="00C6749A" w:rsidP="00D52E28">
      <w:pPr>
        <w:pStyle w:val="FootnoteText"/>
        <w:ind w:left="567" w:hanging="567"/>
        <w:rPr>
          <w:sz w:val="24"/>
          <w:lang w:val="et-EE"/>
        </w:rPr>
      </w:pPr>
      <w:r w:rsidRPr="00D52E28">
        <w:rPr>
          <w:rStyle w:val="FootnoteReference"/>
          <w:sz w:val="24"/>
          <w:lang w:val="et-EE"/>
        </w:rPr>
        <w:footnoteRef/>
      </w:r>
      <w:r w:rsidR="00D52E28" w:rsidRPr="00D52E28">
        <w:rPr>
          <w:sz w:val="24"/>
          <w:lang w:val="et-EE"/>
        </w:rPr>
        <w:t xml:space="preserve"> </w:t>
      </w:r>
      <w:r w:rsidR="00D52E28" w:rsidRPr="00D52E28">
        <w:rPr>
          <w:sz w:val="24"/>
          <w:lang w:val="et-EE"/>
        </w:rPr>
        <w:tab/>
      </w:r>
      <w:r w:rsidRPr="00D52E28">
        <w:rPr>
          <w:sz w:val="24"/>
          <w:lang w:val="et-EE"/>
        </w:rPr>
        <w:t>Euroopa Parlamendi ja nõukogu 27. aprilli 2016. </w:t>
      </w:r>
      <w:r w:rsidRPr="00D52E28">
        <w:rPr>
          <w:sz w:val="24"/>
          <w:lang w:val="et-EE"/>
        </w:rPr>
        <w:t>aasta määrus (EL) 2016/679 füüsiliste isikute kaitse kohta isikuandmete töötlemisel ja selliste andmete vaba liikumise ning direktiivi</w:t>
      </w:r>
      <w:r w:rsidR="005665E9">
        <w:rPr>
          <w:sz w:val="24"/>
          <w:lang w:val="et-EE"/>
        </w:rPr>
        <w:t xml:space="preserve"> </w:t>
      </w:r>
      <w:r w:rsidRPr="00D52E28">
        <w:rPr>
          <w:sz w:val="24"/>
          <w:lang w:val="et-EE"/>
        </w:rPr>
        <w:t>95/46/EÜ kehtetuks tunnistamise kohta (isikuandmete kaitse üldmäärus) (ELT L 119, 4.5.2016, lk 1, ELI:</w:t>
      </w:r>
      <w:r w:rsidR="005665E9">
        <w:rPr>
          <w:sz w:val="24"/>
          <w:lang w:val="et-EE"/>
        </w:rPr>
        <w:t> </w:t>
      </w:r>
      <w:hyperlink r:id="rId3" w:history="1">
        <w:r w:rsidR="005665E9" w:rsidRPr="003F3843">
          <w:rPr>
            <w:rStyle w:val="Hyperlink"/>
            <w:sz w:val="24"/>
            <w:lang w:val="et-EE"/>
          </w:rPr>
          <w:t>http://data.europa.eu/eli/reg/2016/679/oj</w:t>
        </w:r>
      </w:hyperlink>
      <w:r w:rsidRPr="00D52E28">
        <w:rPr>
          <w:sz w:val="24"/>
          <w:lang w:val="et-EE"/>
        </w:rPr>
        <w:t>).</w:t>
      </w:r>
    </w:p>
  </w:footnote>
  <w:footnote w:id="4">
    <w:p w14:paraId="047D848D" w14:textId="0D6AFBAF" w:rsidR="00C6749A" w:rsidRPr="00D52E28" w:rsidRDefault="00C6749A" w:rsidP="00D52E28">
      <w:pPr>
        <w:pStyle w:val="FootnoteText"/>
        <w:ind w:left="567" w:hanging="567"/>
        <w:rPr>
          <w:sz w:val="24"/>
          <w:lang w:val="et-EE"/>
        </w:rPr>
      </w:pPr>
      <w:r w:rsidRPr="00D52E28">
        <w:rPr>
          <w:rStyle w:val="FootnoteReference"/>
          <w:sz w:val="24"/>
          <w:lang w:val="et-EE"/>
        </w:rPr>
        <w:footnoteRef/>
      </w:r>
      <w:r w:rsidR="00D52E28" w:rsidRPr="00D52E28">
        <w:rPr>
          <w:sz w:val="24"/>
          <w:lang w:val="et-EE"/>
        </w:rPr>
        <w:t xml:space="preserve"> </w:t>
      </w:r>
      <w:r w:rsidR="00D52E28" w:rsidRPr="00D52E28">
        <w:rPr>
          <w:sz w:val="24"/>
          <w:lang w:val="et-EE"/>
        </w:rPr>
        <w:tab/>
      </w:r>
      <w:r w:rsidRPr="00D52E28">
        <w:rPr>
          <w:sz w:val="24"/>
          <w:lang w:val="et-EE"/>
        </w:rPr>
        <w:t>Euroopa Parlamendi ja nõukogu 23. oktoobri 2024. </w:t>
      </w:r>
      <w:r w:rsidRPr="00D52E28">
        <w:rPr>
          <w:sz w:val="24"/>
          <w:lang w:val="et-EE"/>
        </w:rPr>
        <w:t>aasta direktiiv (EL)</w:t>
      </w:r>
      <w:r w:rsidR="005665E9">
        <w:rPr>
          <w:sz w:val="24"/>
          <w:lang w:val="et-EE"/>
        </w:rPr>
        <w:t> </w:t>
      </w:r>
      <w:r w:rsidRPr="00D52E28">
        <w:rPr>
          <w:sz w:val="24"/>
          <w:lang w:val="et-EE"/>
        </w:rPr>
        <w:t>2024/2841, millega luuakse Euroopa puudega inimese kaart ja Euroopa puudega inimese parkimiskaart (ELT L, 2024/2841, 14.11.2024, ELI: </w:t>
      </w:r>
      <w:hyperlink r:id="rId4" w:tgtFrame="_blank" w:tooltip="Annab juurdepääsu sellele dokumendile tema ELI URI kaudu." w:history="1">
        <w:r w:rsidRPr="00D52E28">
          <w:rPr>
            <w:rStyle w:val="Hyperlink"/>
            <w:sz w:val="24"/>
            <w:lang w:val="et-EE"/>
          </w:rPr>
          <w:t>http://data.europa.eu/eli/dir/2024/2841/oj</w:t>
        </w:r>
      </w:hyperlink>
      <w:r w:rsidRPr="00D52E28">
        <w:rPr>
          <w:sz w:val="24"/>
          <w:lang w:val="et-EE"/>
        </w:rPr>
        <w:t>).</w:t>
      </w:r>
    </w:p>
  </w:footnote>
  <w:footnote w:id="5">
    <w:p w14:paraId="5E52CC38" w14:textId="69DEA523" w:rsidR="00C6749A" w:rsidRPr="00D52E28" w:rsidRDefault="00C6749A" w:rsidP="00D52E28">
      <w:pPr>
        <w:pStyle w:val="FootnoteText"/>
        <w:ind w:left="567" w:hanging="567"/>
        <w:rPr>
          <w:sz w:val="24"/>
          <w:lang w:val="et-EE"/>
        </w:rPr>
      </w:pPr>
      <w:r w:rsidRPr="00D52E28">
        <w:rPr>
          <w:rStyle w:val="FootnoteReference"/>
          <w:sz w:val="24"/>
          <w:lang w:val="et-EE"/>
        </w:rPr>
        <w:footnoteRef/>
      </w:r>
      <w:r w:rsidR="00D52E28" w:rsidRPr="00D52E28">
        <w:rPr>
          <w:sz w:val="24"/>
          <w:lang w:val="et-EE"/>
        </w:rPr>
        <w:t xml:space="preserve"> </w:t>
      </w:r>
      <w:r w:rsidR="00D52E28" w:rsidRPr="00D52E28">
        <w:rPr>
          <w:sz w:val="24"/>
          <w:lang w:val="et-EE"/>
        </w:rPr>
        <w:tab/>
      </w:r>
      <w:r w:rsidRPr="00D52E28">
        <w:rPr>
          <w:sz w:val="24"/>
          <w:lang w:val="et-EE"/>
        </w:rPr>
        <w:t>ELT</w:t>
      </w:r>
      <w:r w:rsidR="005665E9">
        <w:rPr>
          <w:sz w:val="24"/>
          <w:lang w:val="et-EE"/>
        </w:rPr>
        <w:t> </w:t>
      </w:r>
      <w:r w:rsidRPr="00D52E28">
        <w:rPr>
          <w:sz w:val="24"/>
          <w:lang w:val="et-EE"/>
        </w:rPr>
        <w:t>C, C/2025/1278, 13.3.2025, ELI:</w:t>
      </w:r>
      <w:r w:rsidR="005665E9">
        <w:rPr>
          <w:sz w:val="24"/>
          <w:lang w:val="et-EE"/>
        </w:rPr>
        <w:t> </w:t>
      </w:r>
      <w:hyperlink r:id="rId5" w:history="1">
        <w:r w:rsidR="005665E9" w:rsidRPr="003F3843">
          <w:rPr>
            <w:rStyle w:val="Hyperlink"/>
            <w:sz w:val="24"/>
            <w:lang w:val="et-EE"/>
          </w:rPr>
          <w:t>http://data.europa.eu/eli/C/2025/1278/oj</w:t>
        </w:r>
      </w:hyperlink>
      <w:r w:rsidRPr="00D52E28">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42E0D" w14:textId="77777777" w:rsidR="00064002" w:rsidRPr="00D52E2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A0F1F" w14:textId="77777777" w:rsidR="00064002" w:rsidRPr="00D52E2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6D562" w14:textId="77777777" w:rsidR="00064002" w:rsidRPr="00D52E2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85748188">
    <w:abstractNumId w:val="9"/>
  </w:num>
  <w:num w:numId="2" w16cid:durableId="1889758927">
    <w:abstractNumId w:val="9"/>
  </w:num>
  <w:num w:numId="3" w16cid:durableId="1080368628">
    <w:abstractNumId w:val="7"/>
  </w:num>
  <w:num w:numId="4" w16cid:durableId="381296378">
    <w:abstractNumId w:val="7"/>
  </w:num>
  <w:num w:numId="5" w16cid:durableId="574783464">
    <w:abstractNumId w:val="6"/>
  </w:num>
  <w:num w:numId="6" w16cid:durableId="1842548691">
    <w:abstractNumId w:val="6"/>
  </w:num>
  <w:num w:numId="7" w16cid:durableId="958798627">
    <w:abstractNumId w:val="5"/>
  </w:num>
  <w:num w:numId="8" w16cid:durableId="1484615186">
    <w:abstractNumId w:val="5"/>
  </w:num>
  <w:num w:numId="9" w16cid:durableId="738404280">
    <w:abstractNumId w:val="4"/>
  </w:num>
  <w:num w:numId="10" w16cid:durableId="1000694741">
    <w:abstractNumId w:val="4"/>
  </w:num>
  <w:num w:numId="11" w16cid:durableId="1264915518">
    <w:abstractNumId w:val="8"/>
  </w:num>
  <w:num w:numId="12" w16cid:durableId="1045328473">
    <w:abstractNumId w:val="8"/>
  </w:num>
  <w:num w:numId="13" w16cid:durableId="1405183178">
    <w:abstractNumId w:val="3"/>
  </w:num>
  <w:num w:numId="14" w16cid:durableId="193882063">
    <w:abstractNumId w:val="3"/>
  </w:num>
  <w:num w:numId="15" w16cid:durableId="1307004788">
    <w:abstractNumId w:val="2"/>
  </w:num>
  <w:num w:numId="16" w16cid:durableId="2000577060">
    <w:abstractNumId w:val="2"/>
  </w:num>
  <w:num w:numId="17" w16cid:durableId="965355875">
    <w:abstractNumId w:val="1"/>
  </w:num>
  <w:num w:numId="18" w16cid:durableId="1236891090">
    <w:abstractNumId w:val="1"/>
  </w:num>
  <w:num w:numId="19" w16cid:durableId="1630041178">
    <w:abstractNumId w:val="0"/>
  </w:num>
  <w:num w:numId="20" w16cid:durableId="650061730">
    <w:abstractNumId w:val="0"/>
  </w:num>
  <w:num w:numId="21" w16cid:durableId="1366100641">
    <w:abstractNumId w:val="9"/>
  </w:num>
  <w:num w:numId="22" w16cid:durableId="1959754221">
    <w:abstractNumId w:val="7"/>
  </w:num>
  <w:num w:numId="23" w16cid:durableId="1928074635">
    <w:abstractNumId w:val="6"/>
  </w:num>
  <w:num w:numId="24" w16cid:durableId="1823958507">
    <w:abstractNumId w:val="5"/>
  </w:num>
  <w:num w:numId="25" w16cid:durableId="679426260">
    <w:abstractNumId w:val="4"/>
  </w:num>
  <w:num w:numId="26" w16cid:durableId="142238049">
    <w:abstractNumId w:val="8"/>
  </w:num>
  <w:num w:numId="27" w16cid:durableId="1689988685">
    <w:abstractNumId w:val="3"/>
  </w:num>
  <w:num w:numId="28" w16cid:durableId="43527913">
    <w:abstractNumId w:val="2"/>
  </w:num>
  <w:num w:numId="29" w16cid:durableId="278225636">
    <w:abstractNumId w:val="1"/>
  </w:num>
  <w:num w:numId="30" w16cid:durableId="146288612">
    <w:abstractNumId w:val="0"/>
  </w:num>
  <w:num w:numId="31" w16cid:durableId="1521235316">
    <w:abstractNumId w:val="9"/>
  </w:num>
  <w:num w:numId="32" w16cid:durableId="1085230047">
    <w:abstractNumId w:val="7"/>
  </w:num>
  <w:num w:numId="33" w16cid:durableId="2138797482">
    <w:abstractNumId w:val="6"/>
  </w:num>
  <w:num w:numId="34" w16cid:durableId="1597520026">
    <w:abstractNumId w:val="5"/>
  </w:num>
  <w:num w:numId="35" w16cid:durableId="1620868132">
    <w:abstractNumId w:val="4"/>
  </w:num>
  <w:num w:numId="36" w16cid:durableId="2141339841">
    <w:abstractNumId w:val="8"/>
  </w:num>
  <w:num w:numId="37" w16cid:durableId="1124420890">
    <w:abstractNumId w:val="3"/>
  </w:num>
  <w:num w:numId="38" w16cid:durableId="1680540626">
    <w:abstractNumId w:val="2"/>
  </w:num>
  <w:num w:numId="39" w16cid:durableId="781268178">
    <w:abstractNumId w:val="1"/>
  </w:num>
  <w:num w:numId="40" w16cid:durableId="744256671">
    <w:abstractNumId w:val="0"/>
  </w:num>
  <w:num w:numId="41" w16cid:durableId="1066295949">
    <w:abstractNumId w:val="10"/>
  </w:num>
  <w:num w:numId="42" w16cid:durableId="2133011369">
    <w:abstractNumId w:val="10"/>
  </w:num>
  <w:num w:numId="43" w16cid:durableId="1305164771">
    <w:abstractNumId w:val="10"/>
  </w:num>
  <w:num w:numId="44" w16cid:durableId="10063261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0/2025"/>
    <w:docVar w:name="dvlangue" w:val="ET"/>
    <w:docVar w:name="dvnumam" w:val="0"/>
    <w:docVar w:name="dvpe" w:val="773.363"/>
    <w:docVar w:name="dvrapporteur" w:val="Raportöör: "/>
    <w:docVar w:name="dvtitre" w:val="Euroopa Parlamendi .... 2025. aasta resolutsioon petitsioonikomisjoni 2024. aasta arutelude kohta(2025/2114(INI))"/>
  </w:docVars>
  <w:rsids>
    <w:rsidRoot w:val="004A1FD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381D"/>
    <w:rsid w:val="003E15D4"/>
    <w:rsid w:val="00411CCE"/>
    <w:rsid w:val="0041666E"/>
    <w:rsid w:val="00421060"/>
    <w:rsid w:val="00471C19"/>
    <w:rsid w:val="00473154"/>
    <w:rsid w:val="004867E3"/>
    <w:rsid w:val="00494A28"/>
    <w:rsid w:val="004A1FD0"/>
    <w:rsid w:val="004C0004"/>
    <w:rsid w:val="004C5D52"/>
    <w:rsid w:val="0050519A"/>
    <w:rsid w:val="005072A1"/>
    <w:rsid w:val="00514517"/>
    <w:rsid w:val="00545827"/>
    <w:rsid w:val="00560270"/>
    <w:rsid w:val="005665E9"/>
    <w:rsid w:val="005C2568"/>
    <w:rsid w:val="005F1B17"/>
    <w:rsid w:val="006037C0"/>
    <w:rsid w:val="00612FED"/>
    <w:rsid w:val="006631B6"/>
    <w:rsid w:val="00680577"/>
    <w:rsid w:val="006E5CA5"/>
    <w:rsid w:val="006F74FA"/>
    <w:rsid w:val="00731ADD"/>
    <w:rsid w:val="00734777"/>
    <w:rsid w:val="00747932"/>
    <w:rsid w:val="00751A4A"/>
    <w:rsid w:val="00756632"/>
    <w:rsid w:val="00762C74"/>
    <w:rsid w:val="00786EC0"/>
    <w:rsid w:val="007D1690"/>
    <w:rsid w:val="007E22AD"/>
    <w:rsid w:val="00813EE3"/>
    <w:rsid w:val="00817416"/>
    <w:rsid w:val="00842779"/>
    <w:rsid w:val="00865F67"/>
    <w:rsid w:val="00881A7B"/>
    <w:rsid w:val="008840E5"/>
    <w:rsid w:val="00887B3E"/>
    <w:rsid w:val="008C2AC6"/>
    <w:rsid w:val="00930C23"/>
    <w:rsid w:val="0093193B"/>
    <w:rsid w:val="009509D8"/>
    <w:rsid w:val="00950B64"/>
    <w:rsid w:val="00981893"/>
    <w:rsid w:val="00A1687D"/>
    <w:rsid w:val="00A313E9"/>
    <w:rsid w:val="00A43E52"/>
    <w:rsid w:val="00A4678D"/>
    <w:rsid w:val="00A778C7"/>
    <w:rsid w:val="00A93C1F"/>
    <w:rsid w:val="00AB42F2"/>
    <w:rsid w:val="00AB441E"/>
    <w:rsid w:val="00AB6293"/>
    <w:rsid w:val="00AE0928"/>
    <w:rsid w:val="00AF3B82"/>
    <w:rsid w:val="00B12E95"/>
    <w:rsid w:val="00B22876"/>
    <w:rsid w:val="00B558F0"/>
    <w:rsid w:val="00BD48FE"/>
    <w:rsid w:val="00BD7BD8"/>
    <w:rsid w:val="00BE6ADC"/>
    <w:rsid w:val="00C05BFE"/>
    <w:rsid w:val="00C23CD4"/>
    <w:rsid w:val="00C61C0C"/>
    <w:rsid w:val="00C6749A"/>
    <w:rsid w:val="00C713A1"/>
    <w:rsid w:val="00C941CB"/>
    <w:rsid w:val="00CC2357"/>
    <w:rsid w:val="00CF071A"/>
    <w:rsid w:val="00D058B8"/>
    <w:rsid w:val="00D52E2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3D608C"/>
  <w15:chartTrackingRefBased/>
  <w15:docId w15:val="{B8E979F1-E79A-43C6-AFD4-61CEA5BF3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6749A"/>
    <w:pPr>
      <w:spacing w:after="240"/>
      <w:ind w:left="567" w:hanging="567"/>
    </w:pPr>
  </w:style>
  <w:style w:type="paragraph" w:customStyle="1" w:styleId="EPComma">
    <w:name w:val="EPComma"/>
    <w:basedOn w:val="Normal"/>
    <w:uiPriority w:val="99"/>
    <w:rsid w:val="00C6749A"/>
    <w:pPr>
      <w:spacing w:before="480" w:after="240"/>
    </w:pPr>
  </w:style>
  <w:style w:type="character" w:styleId="Hyperlink">
    <w:name w:val="Hyperlink"/>
    <w:basedOn w:val="DefaultParagraphFont"/>
    <w:rsid w:val="00C6749A"/>
    <w:rPr>
      <w:color w:val="0563C1" w:themeColor="hyperlink"/>
      <w:u w:val="single"/>
    </w:rPr>
  </w:style>
  <w:style w:type="character" w:customStyle="1" w:styleId="NormalHanging12aChar">
    <w:name w:val="NormalHanging12a Char"/>
    <w:basedOn w:val="DefaultParagraphFont"/>
    <w:link w:val="NormalHanging12a"/>
    <w:rsid w:val="00C6749A"/>
    <w:rPr>
      <w:sz w:val="24"/>
      <w:lang w:val="et-EE"/>
    </w:rPr>
  </w:style>
  <w:style w:type="character" w:styleId="UnresolvedMention">
    <w:name w:val="Unresolved Mention"/>
    <w:basedOn w:val="DefaultParagraphFont"/>
    <w:uiPriority w:val="99"/>
    <w:semiHidden/>
    <w:unhideWhenUsed/>
    <w:rsid w:val="005665E9"/>
    <w:rPr>
      <w:color w:val="605E5C"/>
      <w:shd w:val="clear" w:color="auto" w:fill="E1DFDD"/>
    </w:rPr>
  </w:style>
  <w:style w:type="character" w:styleId="FollowedHyperlink">
    <w:name w:val="FollowedHyperlink"/>
    <w:basedOn w:val="DefaultParagraphFont"/>
    <w:rsid w:val="005665E9"/>
    <w:rPr>
      <w:color w:val="954F72" w:themeColor="followedHyperlink"/>
      <w:u w:val="single"/>
    </w:rPr>
  </w:style>
  <w:style w:type="paragraph" w:styleId="Revision">
    <w:name w:val="Revision"/>
    <w:hidden/>
    <w:uiPriority w:val="99"/>
    <w:semiHidden/>
    <w:rsid w:val="005665E9"/>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6/679/oj" TargetMode="External"/><Relationship Id="rId2" Type="http://schemas.openxmlformats.org/officeDocument/2006/relationships/hyperlink" Target="http://data.europa.eu/eli/dir/2024/1785/oj" TargetMode="External"/><Relationship Id="rId1" Type="http://schemas.openxmlformats.org/officeDocument/2006/relationships/hyperlink" Target="http://data.europa.eu/eli/agree_interinstit/2010/1120/oj" TargetMode="External"/><Relationship Id="rId5" Type="http://schemas.openxmlformats.org/officeDocument/2006/relationships/hyperlink" Target="http://data.europa.eu/eli/C/2025/1278/oj" TargetMode="External"/><Relationship Id="rId4" Type="http://schemas.openxmlformats.org/officeDocument/2006/relationships/hyperlink" Target="http://data.europa.eu/eli/dir/2024/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3197</Words>
  <Characters>24692</Characters>
  <Application>Microsoft Office Word</Application>
  <DocSecurity>0</DocSecurity>
  <Lines>205</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LEVERTAND Reet</cp:lastModifiedBy>
  <cp:revision>2</cp:revision>
  <cp:lastPrinted>2004-11-19T15:42:00Z</cp:lastPrinted>
  <dcterms:created xsi:type="dcterms:W3CDTF">2025-11-04T15:00:00Z</dcterms:created>
  <dcterms:modified xsi:type="dcterms:W3CDTF">2025-11-04T15:00:00Z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A10-0170/2025</vt:lpwstr>
  </property>
  <property fmtid="{D5CDD505-2E9C-101B-9397-08002B2CF9AE}" pid="4" name="&lt;Type&gt;">
    <vt:lpwstr>RR</vt:lpwstr>
  </property>
</Properties>
</file>