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C371B" w14:paraId="5D5E473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E580F1" w14:textId="77777777" w:rsidR="00751A4A" w:rsidRPr="00BC371B" w:rsidRDefault="00552C5E" w:rsidP="0010095E">
            <w:pPr>
              <w:pStyle w:val="EPName"/>
            </w:pPr>
            <w:r w:rsidRPr="00BC371B">
              <w:t>Europski parlament</w:t>
            </w:r>
          </w:p>
          <w:p w14:paraId="42905CCA" w14:textId="77777777" w:rsidR="00751A4A" w:rsidRPr="00BC371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C371B">
              <w:t>2024</w:t>
            </w:r>
            <w:r w:rsidR="00817416" w:rsidRPr="00BC371B">
              <w:t>-202</w:t>
            </w:r>
            <w:r w:rsidRPr="00BC371B">
              <w:t>9</w:t>
            </w:r>
          </w:p>
        </w:tc>
        <w:tc>
          <w:tcPr>
            <w:tcW w:w="2268" w:type="dxa"/>
            <w:shd w:val="clear" w:color="auto" w:fill="auto"/>
          </w:tcPr>
          <w:p w14:paraId="374496E9" w14:textId="77777777" w:rsidR="00751A4A" w:rsidRPr="00BC371B" w:rsidRDefault="00187494" w:rsidP="0010095E">
            <w:pPr>
              <w:pStyle w:val="EPLogo"/>
            </w:pPr>
            <w:r w:rsidRPr="00BC371B">
              <w:rPr>
                <w:noProof/>
                <w:lang w:eastAsia="ja-JP"/>
              </w:rPr>
              <w:drawing>
                <wp:inline distT="0" distB="0" distL="0" distR="0" wp14:anchorId="330295DE" wp14:editId="053C388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DE7893" w14:textId="77777777" w:rsidR="00D058B8" w:rsidRPr="00BC371B" w:rsidRDefault="00D058B8" w:rsidP="004C5D52">
      <w:pPr>
        <w:pStyle w:val="LineTop"/>
      </w:pPr>
    </w:p>
    <w:p w14:paraId="65C45B58" w14:textId="77777777" w:rsidR="00680577" w:rsidRPr="00BC371B" w:rsidRDefault="00552C5E" w:rsidP="00680577">
      <w:pPr>
        <w:pStyle w:val="EPBodyTA1"/>
      </w:pPr>
      <w:r w:rsidRPr="00BC371B">
        <w:t>USVOJENI TEKSTOVI</w:t>
      </w:r>
    </w:p>
    <w:p w14:paraId="38F124CC" w14:textId="77777777" w:rsidR="00D058B8" w:rsidRPr="00BC371B" w:rsidRDefault="00D058B8" w:rsidP="00D058B8">
      <w:pPr>
        <w:pStyle w:val="LineBottom"/>
      </w:pPr>
    </w:p>
    <w:p w14:paraId="161D7A2F" w14:textId="4F0A64BC" w:rsidR="00552C5E" w:rsidRPr="00BC371B" w:rsidRDefault="00552C5E" w:rsidP="00552C5E">
      <w:pPr>
        <w:pStyle w:val="ATHeading1"/>
      </w:pPr>
      <w:bookmarkStart w:id="0" w:name="TANumber"/>
      <w:r w:rsidRPr="00BC371B">
        <w:t>P10_TA(2025)0</w:t>
      </w:r>
      <w:r w:rsidR="009960AE">
        <w:t>228</w:t>
      </w:r>
      <w:bookmarkEnd w:id="0"/>
    </w:p>
    <w:p w14:paraId="03E508E9" w14:textId="77777777" w:rsidR="00552C5E" w:rsidRPr="00BC371B" w:rsidRDefault="00552C5E" w:rsidP="00552C5E">
      <w:pPr>
        <w:pStyle w:val="ATHeading2"/>
      </w:pPr>
      <w:bookmarkStart w:id="1" w:name="title"/>
      <w:r w:rsidRPr="00BC371B">
        <w:t>Razmatranja Odbora za predstavke tijekom 2024.</w:t>
      </w:r>
      <w:bookmarkEnd w:id="1"/>
    </w:p>
    <w:p w14:paraId="04939017" w14:textId="77777777" w:rsidR="00552C5E" w:rsidRPr="00BC371B" w:rsidRDefault="00552C5E" w:rsidP="00552C5E">
      <w:pPr>
        <w:rPr>
          <w:i/>
          <w:vanish/>
        </w:rPr>
      </w:pPr>
      <w:r w:rsidRPr="00BC371B">
        <w:rPr>
          <w:i/>
        </w:rPr>
        <w:fldChar w:fldCharType="begin"/>
      </w:r>
      <w:r w:rsidRPr="00BC371B">
        <w:rPr>
          <w:i/>
        </w:rPr>
        <w:instrText xml:space="preserve"> TC"(</w:instrText>
      </w:r>
      <w:bookmarkStart w:id="2" w:name="DocNumber"/>
      <w:r w:rsidRPr="00BC371B">
        <w:rPr>
          <w:i/>
        </w:rPr>
        <w:instrText>A10-0170/2025</w:instrText>
      </w:r>
      <w:bookmarkEnd w:id="2"/>
      <w:r w:rsidRPr="00BC371B">
        <w:rPr>
          <w:i/>
        </w:rPr>
        <w:instrText xml:space="preserve"> - Izvjestitelj: Fredis Beleris)"\l3 \n&gt; \* MERGEFORMAT </w:instrText>
      </w:r>
      <w:r w:rsidRPr="00BC371B">
        <w:rPr>
          <w:i/>
        </w:rPr>
        <w:fldChar w:fldCharType="end"/>
      </w:r>
    </w:p>
    <w:p w14:paraId="2C0B73BC" w14:textId="77777777" w:rsidR="00552C5E" w:rsidRPr="00BC371B" w:rsidRDefault="00552C5E" w:rsidP="00552C5E">
      <w:pPr>
        <w:rPr>
          <w:vanish/>
        </w:rPr>
      </w:pPr>
      <w:bookmarkStart w:id="3" w:name="Commission"/>
      <w:r w:rsidRPr="00BC371B">
        <w:rPr>
          <w:vanish/>
        </w:rPr>
        <w:t>Odbor za predstavke</w:t>
      </w:r>
      <w:bookmarkEnd w:id="3"/>
    </w:p>
    <w:p w14:paraId="4E63C1AC" w14:textId="77777777" w:rsidR="00552C5E" w:rsidRPr="00BC371B" w:rsidRDefault="00552C5E" w:rsidP="00552C5E">
      <w:pPr>
        <w:rPr>
          <w:vanish/>
        </w:rPr>
      </w:pPr>
      <w:bookmarkStart w:id="4" w:name="PE"/>
      <w:r w:rsidRPr="00BC371B">
        <w:rPr>
          <w:vanish/>
        </w:rPr>
        <w:t>PE773.363</w:t>
      </w:r>
      <w:bookmarkEnd w:id="4"/>
    </w:p>
    <w:p w14:paraId="6409BD2C" w14:textId="33C6674C" w:rsidR="00552C5E" w:rsidRPr="00BC371B" w:rsidRDefault="00552C5E" w:rsidP="00552C5E">
      <w:pPr>
        <w:pStyle w:val="ATHeading3"/>
      </w:pPr>
      <w:bookmarkStart w:id="5" w:name="Sujet"/>
      <w:r w:rsidRPr="00BC371B">
        <w:t xml:space="preserve">Rezolucija Europskog parlamenta od </w:t>
      </w:r>
      <w:r w:rsidR="00BC371B">
        <w:t>9</w:t>
      </w:r>
      <w:r w:rsidRPr="00BC371B">
        <w:t xml:space="preserve">. </w:t>
      </w:r>
      <w:r w:rsidR="00BC371B">
        <w:t xml:space="preserve">listopada </w:t>
      </w:r>
      <w:r w:rsidRPr="00BC371B">
        <w:t>2025. o ishodu razmatranja Odbora za predstavke tijekom 2024. godine</w:t>
      </w:r>
      <w:bookmarkEnd w:id="5"/>
      <w:r w:rsidRPr="00BC371B">
        <w:t xml:space="preserve"> </w:t>
      </w:r>
      <w:bookmarkStart w:id="6" w:name="References"/>
      <w:r w:rsidRPr="00BC371B">
        <w:t>(2025/2114(INI))</w:t>
      </w:r>
      <w:bookmarkEnd w:id="6"/>
    </w:p>
    <w:p w14:paraId="4E20CF73" w14:textId="77777777" w:rsidR="000502A6" w:rsidRPr="00BC371B" w:rsidRDefault="000502A6" w:rsidP="000502A6">
      <w:pPr>
        <w:pStyle w:val="EPComma"/>
      </w:pPr>
      <w:r w:rsidRPr="00BC371B">
        <w:rPr>
          <w:i/>
        </w:rPr>
        <w:t>Europski parlament</w:t>
      </w:r>
      <w:r w:rsidRPr="00BC371B">
        <w:t>,</w:t>
      </w:r>
    </w:p>
    <w:p w14:paraId="5BC35BB9" w14:textId="77777777" w:rsidR="000502A6" w:rsidRPr="00BC371B" w:rsidRDefault="000502A6" w:rsidP="000502A6">
      <w:pPr>
        <w:pStyle w:val="NormalHanging12a"/>
      </w:pPr>
      <w:r w:rsidRPr="00BC371B">
        <w:t>–</w:t>
      </w:r>
      <w:r w:rsidRPr="00BC371B">
        <w:tab/>
        <w:t>uzimajući u obzir svoje prethodne rezolucije o razmatranjima Odbora za predstavke,</w:t>
      </w:r>
    </w:p>
    <w:p w14:paraId="70A2A617" w14:textId="77777777" w:rsidR="000502A6" w:rsidRPr="00BC371B" w:rsidRDefault="000502A6" w:rsidP="000502A6">
      <w:pPr>
        <w:pStyle w:val="NormalHanging12a"/>
      </w:pPr>
      <w:r w:rsidRPr="00BC371B">
        <w:t>–</w:t>
      </w:r>
      <w:r w:rsidRPr="00BC371B">
        <w:tab/>
        <w:t>uzimajući u obzir članke 10. i 11. Ugovora o Europskoj uniji,</w:t>
      </w:r>
    </w:p>
    <w:p w14:paraId="2ACAB10D" w14:textId="77777777" w:rsidR="000502A6" w:rsidRPr="00BC371B" w:rsidRDefault="000502A6" w:rsidP="000502A6">
      <w:pPr>
        <w:pStyle w:val="NormalHanging12a"/>
      </w:pPr>
      <w:r w:rsidRPr="00BC371B">
        <w:t>–</w:t>
      </w:r>
      <w:r w:rsidRPr="00BC371B">
        <w:tab/>
        <w:t>uzimajući u obzir članke 20., 24. i 227. Ugovora o funkcioniranju Europske unije („UFEU”) o pravu građana i stanovnika EU-a na podnošenje predstavki Europskom parlamentu,</w:t>
      </w:r>
    </w:p>
    <w:p w14:paraId="3CF6FA64" w14:textId="77777777" w:rsidR="000502A6" w:rsidRPr="00BC371B" w:rsidRDefault="000502A6" w:rsidP="000502A6">
      <w:pPr>
        <w:pStyle w:val="NormalHanging12a"/>
      </w:pPr>
      <w:r w:rsidRPr="00BC371B">
        <w:t>–</w:t>
      </w:r>
      <w:r w:rsidRPr="00BC371B">
        <w:tab/>
        <w:t>uzimajući u obzir članak 228. UFEU-a o ulozi i zadaćama Europskog ombudsmana,</w:t>
      </w:r>
    </w:p>
    <w:p w14:paraId="69F0B0C8" w14:textId="77777777" w:rsidR="000502A6" w:rsidRPr="00BC371B" w:rsidRDefault="000502A6" w:rsidP="000502A6">
      <w:pPr>
        <w:pStyle w:val="NormalHanging12a"/>
      </w:pPr>
      <w:r w:rsidRPr="00BC371B">
        <w:t>–</w:t>
      </w:r>
      <w:r w:rsidRPr="00BC371B">
        <w:tab/>
        <w:t>uzimajući u obzir članak 44. Povelje o temeljnim pravima Europske unije o pravu na podnošenje predstavki Europskom parlamentu,</w:t>
      </w:r>
    </w:p>
    <w:p w14:paraId="51BADC6B" w14:textId="77777777" w:rsidR="000502A6" w:rsidRPr="00BC371B" w:rsidRDefault="000502A6" w:rsidP="000502A6">
      <w:pPr>
        <w:pStyle w:val="NormalHanging12a"/>
      </w:pPr>
      <w:r w:rsidRPr="00BC371B">
        <w:t>–</w:t>
      </w:r>
      <w:r w:rsidRPr="00BC371B">
        <w:tab/>
        <w:t>uzimajući o obzir odredbe UFEU-a u vezi s postupkom zbog povrede obveze, posebno njegove članke 258. i 260.,</w:t>
      </w:r>
    </w:p>
    <w:p w14:paraId="08A6E711" w14:textId="77777777" w:rsidR="000502A6" w:rsidRPr="00BC371B" w:rsidRDefault="000502A6" w:rsidP="000502A6">
      <w:pPr>
        <w:pStyle w:val="NormalHanging12a"/>
      </w:pPr>
      <w:r w:rsidRPr="00BC371B">
        <w:t>–</w:t>
      </w:r>
      <w:r w:rsidRPr="00BC371B">
        <w:tab/>
        <w:t>uzimajući u obzir članak 55. i članak 233. stavak 7. Poslovnika,</w:t>
      </w:r>
    </w:p>
    <w:p w14:paraId="05FB23C3" w14:textId="77777777" w:rsidR="000502A6" w:rsidRPr="00BC371B" w:rsidRDefault="000502A6" w:rsidP="000502A6">
      <w:pPr>
        <w:pStyle w:val="NormalHanging12a"/>
      </w:pPr>
      <w:r w:rsidRPr="00BC371B">
        <w:t>–</w:t>
      </w:r>
      <w:r w:rsidRPr="00BC371B">
        <w:tab/>
        <w:t>uzimajući u obzir izvješće Odbora za predstavke (A10</w:t>
      </w:r>
      <w:r w:rsidRPr="00BC371B">
        <w:noBreakHyphen/>
        <w:t>0170/2025),</w:t>
      </w:r>
    </w:p>
    <w:p w14:paraId="0E97A63E" w14:textId="77777777" w:rsidR="000502A6" w:rsidRPr="00BC371B" w:rsidRDefault="000502A6" w:rsidP="000502A6">
      <w:pPr>
        <w:pStyle w:val="NormalHanging12a"/>
      </w:pPr>
      <w:r w:rsidRPr="00BC371B">
        <w:t>A.</w:t>
      </w:r>
      <w:r w:rsidRPr="00BC371B">
        <w:tab/>
        <w:t xml:space="preserve">budući da je, nakon europskih izbora koji su održani od 6. do 9. lipnja 2024. i formiranja novog Parlamenta 16. srpnja 2024., Odbor za predstavke održao konstitutivni sastanak 23. srpnja 2024.; </w:t>
      </w:r>
    </w:p>
    <w:p w14:paraId="6AD1470D" w14:textId="77777777" w:rsidR="000502A6" w:rsidRPr="00BC371B" w:rsidRDefault="000502A6" w:rsidP="000502A6">
      <w:pPr>
        <w:pStyle w:val="NormalHanging12a"/>
      </w:pPr>
      <w:r w:rsidRPr="00BC371B">
        <w:t>B.</w:t>
      </w:r>
      <w:r w:rsidRPr="00BC371B">
        <w:tab/>
        <w:t>budući da je svrha godišnjeg izvješća o vijećanju Odbora za predstavke predstaviti analizu predstavki zaprimljenih tijekom 2024. i odnosa s drugim institucijama te predstaviti stvarnu sliku o ciljevima ostvarenima tijekom 2024.;</w:t>
      </w:r>
    </w:p>
    <w:p w14:paraId="799FB634" w14:textId="77777777" w:rsidR="000502A6" w:rsidRPr="00BC371B" w:rsidRDefault="000502A6" w:rsidP="000502A6">
      <w:pPr>
        <w:pStyle w:val="NormalHanging12a"/>
      </w:pPr>
      <w:r w:rsidRPr="00BC371B">
        <w:t>C.</w:t>
      </w:r>
      <w:r w:rsidRPr="00BC371B">
        <w:tab/>
        <w:t xml:space="preserve">budući da je tijekom 2024. Parlament zaprimio 1 518 predstavki, što je povećanje od 4,3 % u odnosu na 1 452 predstavke zaprimljene tijekom 2023. i povećanje od 19,8 % u </w:t>
      </w:r>
      <w:r w:rsidRPr="00BC371B">
        <w:lastRenderedPageBreak/>
        <w:t>odnosu na 1 217 predstavki zaprimljenih 2022.; budući da je ukupan broj zaprimljenih predstavki i dalje osjetno manji od najvećeg broja dosegnutog 2013. i 2014., kad je Parlament zaprimio 2 891 odnosno 2 715 predstavki;</w:t>
      </w:r>
    </w:p>
    <w:p w14:paraId="7F1DEC16" w14:textId="77777777" w:rsidR="000502A6" w:rsidRPr="00BC371B" w:rsidRDefault="000502A6" w:rsidP="000502A6">
      <w:pPr>
        <w:pStyle w:val="NormalHanging12a"/>
      </w:pPr>
      <w:r w:rsidRPr="00BC371B">
        <w:t>D.</w:t>
      </w:r>
      <w:r w:rsidRPr="00BC371B">
        <w:tab/>
        <w:t>budući da je 2024. godine 15 661 korisnik podržao predstavke na internetskom portalu Parlamenta za predstavke, što je znatno smanjenje u usporedbi s 2023. i 2022. godinom kada je bilo 26 331 i 22 441 korisnika; budući da se broj klikova na gumb za pomoć također smanjio na 17 745 2024., u usporedbi s 29 287 2023. i 27 927 u 2022.;</w:t>
      </w:r>
    </w:p>
    <w:p w14:paraId="39F70A4B" w14:textId="77777777" w:rsidR="000502A6" w:rsidRPr="00BC371B" w:rsidRDefault="000502A6" w:rsidP="000502A6">
      <w:pPr>
        <w:pStyle w:val="NormalHanging12a"/>
      </w:pPr>
      <w:r w:rsidRPr="00BC371B">
        <w:t>E.</w:t>
      </w:r>
      <w:r w:rsidRPr="00BC371B">
        <w:tab/>
        <w:t>budući da je ukupni broj predstavki i dalje skroman u odnosu na ukupno stanovništvo EU-a, što znači da još uvijek treba jačati napore kako bi se povećala svijest građana o njihovom pravu na podnošenje predstavki i mogućoj korisnosti predstavki kao sredstvu privlačenja pozornosti institucija i država članica na pitanja koja se izravno odnose na građane i utječu na njih; budući da je Odbor za predstavke, koji je vrlo popularan među mladima na događanjima kao što je Europski skup mladih u Strasbourgu, učinkovit način promicanja tog prava i podizanja svijesti o njegovoj važnosti među građanima, posebno među mlađim osobama; budući da je stoga ključno osigurati aktivnu i sustavnu prisutnost Odbora za predstavke u svakom izdanju Europskog skupa mladih kako bi se povećala njegova vidljivost i dostupnost; budući da građani pri ostvarivanju svojeg prava na podnošenje predstavki očekuju od institucija EU-a da pruže dodanu vrijednost pronalaženjem rješenja za njihove probleme; budući da se tim pravom na podnošenje predstavki moraju promicati i temeljna načela kao što su dobra uprava europskih institucija, sloboda izražavanja i poštovanje demokratskog izražavanja;</w:t>
      </w:r>
    </w:p>
    <w:p w14:paraId="5552B44A" w14:textId="77777777" w:rsidR="000502A6" w:rsidRPr="00BC371B" w:rsidRDefault="000502A6" w:rsidP="000502A6">
      <w:pPr>
        <w:pStyle w:val="NormalHanging12a"/>
      </w:pPr>
      <w:r w:rsidRPr="00BC371B">
        <w:t>F.</w:t>
      </w:r>
      <w:r w:rsidRPr="00BC371B">
        <w:tab/>
        <w:t>budući da su kriteriji za dopuštenost predstavki utvrđeni člankom 227. UFEU-a i člankom 232. stavkom 1. Poslovnika Europskog parlamenta, kojima se zahtijeva da predstavke mora podnijeti građanin EU-a ili fizička ili pravna osoba s boravištem odnosno registriranim sjedištem u jednoj državi članici, pojedinačno ili zajedno s drugima, o pitanju koje ulazi u područje djelovanja EU-a i koje izravno utječe na podnositelje predstavki, pri čemu potonji uvjet ima vrlo široko tumačenje;</w:t>
      </w:r>
    </w:p>
    <w:p w14:paraId="60DB5AF0" w14:textId="77777777" w:rsidR="000502A6" w:rsidRPr="00BC371B" w:rsidRDefault="000502A6" w:rsidP="000502A6">
      <w:pPr>
        <w:pStyle w:val="NormalHanging12a"/>
      </w:pPr>
      <w:r w:rsidRPr="00BC371B">
        <w:t>G.</w:t>
      </w:r>
      <w:r w:rsidRPr="00BC371B">
        <w:tab/>
        <w:t xml:space="preserve">budući da je od 1518 predstavki podnesenih tijekom 2024. njih 611 proglašeno nedopuštenima, a 31 ih je povučeno; budući da visok i rastuć postotak nedopuštenih predstavki 2024. (40,25 %) potvrđuje da je opseg područja odgovornosti Europske unije i dalje uvelike nejasan; budući da je potrebno uložiti više napora kako bi se smanjio broj nedopuštenih predstavki radi dodatnog pojašnjavanja opsega područja djelovanja EU-a; </w:t>
      </w:r>
    </w:p>
    <w:p w14:paraId="5A3CA425" w14:textId="77777777" w:rsidR="000502A6" w:rsidRPr="00BC371B" w:rsidRDefault="000502A6" w:rsidP="000502A6">
      <w:pPr>
        <w:pStyle w:val="NormalHanging12a"/>
      </w:pPr>
      <w:r w:rsidRPr="00BC371B">
        <w:t>H.</w:t>
      </w:r>
      <w:r w:rsidRPr="00BC371B">
        <w:tab/>
        <w:t>budući da je pravo na podnošenje predstavki Parlamentu temeljno pravo građana EU-a jer građanima i osobama s boravištem u EU-u nudi otvoren, demokratski i transparentan mehanizam za izravno obraćanje izabranim predstavnicima; budući da mnoge osobe s invaliditetom nemaju jednak pristup informacijama i komunikaciji zbog ograničene dostupnosti pristupačnih formata i zbog toga što nacionalni znakovni jezici nisu priznati kao dio višejezičnosti EU-a; budući da taj ključni alat osnažuje građane da aktivno i učinkovito sudjeluju u životu Unije; budući da zahvaljujući predstavkama građani EU-a mogu iznijeti pritužbu o neuspješnoj primjeni prava EU-a i pomoći pri otkrivanju povreda prava EU-a, u skladu sa suverenitetom država članica i primjenom Ugovora EU-a;</w:t>
      </w:r>
    </w:p>
    <w:p w14:paraId="6371FC0D" w14:textId="77777777" w:rsidR="000502A6" w:rsidRPr="00BC371B" w:rsidRDefault="000502A6" w:rsidP="000502A6">
      <w:pPr>
        <w:pStyle w:val="NormalHanging12a"/>
      </w:pPr>
      <w:r w:rsidRPr="00BC371B">
        <w:t>I.</w:t>
      </w:r>
      <w:r w:rsidRPr="00BC371B">
        <w:tab/>
        <w:t xml:space="preserve">budući da je Parlament već dugo ima vodeću ulogu u oblikovanju postupka podnošenja predstavki na međunarodnoj razini te ima najotvoreniji i najtransparentniji postupak podnošenja predstavki u Europi koji podnositeljima predstavki omogućuje da u </w:t>
      </w:r>
      <w:r w:rsidRPr="00BC371B">
        <w:lastRenderedPageBreak/>
        <w:t>potpunosti sudjeluju u njegovim aktivnostima; budući da bi se internetsku platformu za predstavke moglo učiniti intuitivnijom kako bi se korisnici na njoj lakše snalazili; budući da bi se uključivanjem umjetne inteligencije moglo pojednostavniti pretraživanje i poboljšati dostupnost predstavki na način da se ponude funkcije koje su naprednije od trenutačnog formata;</w:t>
      </w:r>
    </w:p>
    <w:p w14:paraId="26DF6C0B" w14:textId="77777777" w:rsidR="000502A6" w:rsidRPr="00BC371B" w:rsidRDefault="000502A6" w:rsidP="000502A6">
      <w:pPr>
        <w:pStyle w:val="NormalHanging12a"/>
      </w:pPr>
      <w:r w:rsidRPr="00BC371B">
        <w:t>J.</w:t>
      </w:r>
      <w:r w:rsidRPr="00BC371B">
        <w:tab/>
        <w:t>budući da Odbor za predstavke naglašava važnost povećane transparentnosti u postupanju s predstavkama, uključujući sustavne povratne informacije podnositeljima predstavki u ključnim fazama postupka i jasan vremenski okvir za daljnje mjere institucija EU-a;</w:t>
      </w:r>
    </w:p>
    <w:p w14:paraId="6440BC5C" w14:textId="77777777" w:rsidR="000502A6" w:rsidRPr="00BC371B" w:rsidRDefault="000502A6" w:rsidP="000502A6">
      <w:pPr>
        <w:pStyle w:val="NormalHanging12a"/>
      </w:pPr>
      <w:r w:rsidRPr="00BC371B">
        <w:t>K.</w:t>
      </w:r>
      <w:r w:rsidRPr="00BC371B">
        <w:tab/>
        <w:t>budući da se rad Odbora za predstavke temelji na doprinosu podnositelja predstavki i informacijama koje oni šalju; budući da su te informacije i stručno znanje koje dostavljaju Komisija, države članice i druga tijela ključni za rad Odbora za predstavke; budući da dopuštene predstavke često daju vrijedan doprinos radu drugih parlamentarnih odbora; budući da predstavke stoga imaju ulogu u zakonodavnom postupku, pružajući konkretne povratne informacije o učinku politika EU-a i omogućujući politike za rješavanje novih potreba;</w:t>
      </w:r>
    </w:p>
    <w:p w14:paraId="2286F183" w14:textId="77777777" w:rsidR="000502A6" w:rsidRPr="00BC371B" w:rsidRDefault="000502A6" w:rsidP="000502A6">
      <w:pPr>
        <w:pStyle w:val="NormalHanging12a"/>
      </w:pPr>
      <w:r w:rsidRPr="00BC371B">
        <w:t>L.</w:t>
      </w:r>
      <w:r w:rsidRPr="00BC371B">
        <w:tab/>
        <w:t>budući da pravo na podnošenje predstavki poboljšava odgovor Europskog parlamenta na pritužbe i zabrinutosti koje se odnose na poštovanje temeljnih prava EU-a i zakonodavstva Unije u državama članicama; budući da bi predstavke mogle biti korisni izvori informacija o slučajevima pogrešne primjene ili povreda prava EU-a koji omogućavaju Parlamentu i drugim institucijama da ocijene prijenos i primjenu prava EU-a te njegov utjecaj na prava građana EU-a i osoba s prebivalištem u EU-u;</w:t>
      </w:r>
    </w:p>
    <w:p w14:paraId="2DEBEB22" w14:textId="77777777" w:rsidR="000502A6" w:rsidRPr="00BC371B" w:rsidRDefault="000502A6" w:rsidP="000502A6">
      <w:pPr>
        <w:pStyle w:val="NormalHanging12a"/>
      </w:pPr>
      <w:r w:rsidRPr="00BC371B">
        <w:t>M.</w:t>
      </w:r>
      <w:r w:rsidRPr="00BC371B">
        <w:tab/>
        <w:t>budući da se svaka predstavka razmatra i ispituje na pažljiv, učinkovit i transparentan način; budući da svi podnositelji predstavki imaju pravo u razumnom roku i na vlastitom jeziku ili na jeziku na kojemu je predstavka napisana, primiti odgovor s obavještenjem o odluci u pogledu dopuštenosti i daljnjih radnji koju donosi Odbor za predstavke; budući da se predstavkom br. 1056/2016 o kojoj se raspravljalo 19. ožujka 2024. od Parlamenta traži da dopusti podnošenje predstavki na nacionalnim znakovnim jezicima koji se upotrebljavaju u EU-u;</w:t>
      </w:r>
    </w:p>
    <w:p w14:paraId="4EA84833" w14:textId="77777777" w:rsidR="000502A6" w:rsidRPr="00BC371B" w:rsidRDefault="000502A6" w:rsidP="000502A6">
      <w:pPr>
        <w:pStyle w:val="NormalHanging12a"/>
      </w:pPr>
      <w:r w:rsidRPr="00BC371B">
        <w:t>N.</w:t>
      </w:r>
      <w:r w:rsidRPr="00BC371B">
        <w:tab/>
        <w:t>budući da Odbor za predstavke na svojim sastancima pridaje presudnu važnost ispitivanju predstavki i javnoj raspravi o njima; budući da podnositelji predstavki imaju pravo izložiti svoje predstavke i često uzimati riječ u raspravi, čime aktivno doprinose radu Odbora; budući da je tijekom 2024. Odbor za predstavke, uz konstitutivni sastanak, održao osam sastanaka na kojima se raspravljalo o 106 predstavki sa 106 nazočnih podnositelja predstavki koji su aktivno sudjelovali uzimanjem riječi;</w:t>
      </w:r>
    </w:p>
    <w:p w14:paraId="28E6A5FE" w14:textId="77777777" w:rsidR="000502A6" w:rsidRPr="00BC371B" w:rsidRDefault="000502A6" w:rsidP="000502A6">
      <w:pPr>
        <w:pStyle w:val="NormalHanging12a"/>
      </w:pPr>
      <w:r w:rsidRPr="00BC371B">
        <w:t>O.</w:t>
      </w:r>
      <w:r w:rsidRPr="00BC371B">
        <w:tab/>
        <w:t>budući da su se glavne teme koje izazivaju zabrinutost navedene u predstavkama podnesenim 2024. odnosile na okoliš, temeljna prava, vladavinu prava (uključujući pravo na dobru upravu, pravo na pristup dokumentima te slobodu izražavanja i informiranja), unutarnje tržište, pravosuđe, prava potrošača i zdravlje;</w:t>
      </w:r>
    </w:p>
    <w:p w14:paraId="337AD678" w14:textId="77777777" w:rsidR="000502A6" w:rsidRPr="00BC371B" w:rsidRDefault="000502A6" w:rsidP="000502A6">
      <w:pPr>
        <w:pStyle w:val="NormalHanging12a"/>
      </w:pPr>
      <w:r w:rsidRPr="00BC371B">
        <w:t>P.</w:t>
      </w:r>
      <w:r w:rsidRPr="00BC371B">
        <w:tab/>
        <w:t>budući da pri usvajanju dnevnog reda sjednice Odbor za predstavke nastoji raspravljati o predstavkama i temama koje su od velikog stupnja važnosti za raspravu na razini EU-a i potrebi da se zadrži uravnotežena geografska pokrivenost tema u skladu sa zaprimljenim predstavkama;</w:t>
      </w:r>
    </w:p>
    <w:p w14:paraId="0A82813B" w14:textId="77777777" w:rsidR="000502A6" w:rsidRPr="00BC371B" w:rsidRDefault="000502A6" w:rsidP="000502A6">
      <w:pPr>
        <w:pStyle w:val="NormalHanging12a"/>
      </w:pPr>
      <w:r w:rsidRPr="00BC371B">
        <w:lastRenderedPageBreak/>
        <w:t>Q.</w:t>
      </w:r>
      <w:r w:rsidRPr="00BC371B">
        <w:tab/>
        <w:t>budući da je 82 % predstavki 2024. podneseno putem internetskog portala Parlamenta za predstavke, što je gotovo istovjetno 82,4 % iz 2023., čime se ponovno potvrđuje da je portal kanal koji se najčešće koristi za podnošenje predstavki Parlamentu;</w:t>
      </w:r>
    </w:p>
    <w:p w14:paraId="4BA45A6C" w14:textId="77777777" w:rsidR="000502A6" w:rsidRPr="00BC371B" w:rsidRDefault="000502A6" w:rsidP="000502A6">
      <w:pPr>
        <w:pStyle w:val="NormalHanging12a"/>
      </w:pPr>
      <w:r w:rsidRPr="00BC371B">
        <w:t>R.</w:t>
      </w:r>
      <w:r w:rsidRPr="00BC371B">
        <w:tab/>
        <w:t>budući da se na redizajniranom internetskom portalu za predstavke automatski objavljuju informacije o usvajanju predstavki i promjenama statusa, dodatne informacije (npr. zemlja, teme) i sažeci na sva 24 službena jezika EU-a; budući da su 2024. sve predstavke ponovno pripremljene i pravodobno objavljene u roku od nekoliko dana od njihovog donošenja, te da je na sve unutarnje i vanjske zahtjeve za potporu u vezi s uporabom i sadržajem portala za predstavke odgovoreno uspješno, pravovremeno i na svim jezicima EU-a;</w:t>
      </w:r>
    </w:p>
    <w:p w14:paraId="7B2DBE97" w14:textId="77777777" w:rsidR="000502A6" w:rsidRPr="00BC371B" w:rsidRDefault="000502A6" w:rsidP="000502A6">
      <w:pPr>
        <w:pStyle w:val="NormalHanging12a"/>
      </w:pPr>
      <w:r w:rsidRPr="00BC371B">
        <w:t>S.</w:t>
      </w:r>
      <w:r w:rsidRPr="00BC371B">
        <w:tab/>
        <w:t>budući da tijekom 2024. nije bilo posjeta radi utvrđivanja činjenica za predstavke za koje je u tijeku istraga zbog razdoblja stanke tijekom europskih izbora; budući da je Odbor proveo naknadnu procjenu i usvojio dva izvješća o prethodnim posjetima radi utvrđivanja činjenica koji su održani 2023.; budući da su u prvoj polovini 2025. predviđena dva posjeta radi utvrđivanja činjenica;</w:t>
      </w:r>
    </w:p>
    <w:p w14:paraId="24F5B37F" w14:textId="77777777" w:rsidR="000502A6" w:rsidRPr="00BC371B" w:rsidRDefault="000502A6" w:rsidP="000502A6">
      <w:pPr>
        <w:pStyle w:val="NormalHanging12a"/>
      </w:pPr>
      <w:r w:rsidRPr="00BC371B">
        <w:t>T.</w:t>
      </w:r>
      <w:r w:rsidRPr="00BC371B">
        <w:tab/>
        <w:t xml:space="preserve">budući da je 4. studenoga 2024. Odbor za predstavke sudjelovao na saslušanju o potvrdi kandidata za povjerenika za trgovinu i gospodarsku sigurnost, međuinstitucijske odnose i transparentnost, Maroša Šefčoviča, kao pozvani odbor; budući da je Maroš Šefčovič, u odgovoru na pitanja za pisani i usmeni odgovor koja mu je postavio Odbor za predstavke u kontekstu saslušanja o potvrdi, preuzeo niz obveza u pogledu postupka podnošenja predstavki i transparentnosti provedbenih mjera Komisije; </w:t>
      </w:r>
    </w:p>
    <w:p w14:paraId="00F3E6BB" w14:textId="77777777" w:rsidR="000502A6" w:rsidRPr="00BC371B" w:rsidRDefault="000502A6" w:rsidP="000502A6">
      <w:pPr>
        <w:pStyle w:val="NormalHanging12a"/>
      </w:pPr>
      <w:r w:rsidRPr="00BC371B">
        <w:t>U.</w:t>
      </w:r>
      <w:r w:rsidRPr="00BC371B">
        <w:tab/>
        <w:t xml:space="preserve">budući da je u skladu s Poslovnikom Parlamenta Odbor za predstavke odgovoran i za odnose s Europskim ombudsmanom koji istražuje pritužbe zbog nepravilnosti u institucijama i tijelima EU-a; budući da je Odbor za predstavke tijekom 2024. imao ključnu ulogu u organizaciji izbora Europskog ombudsmana održavanjem javnog saslušanja kandidata u skladu s člankom 237. Poslovnika Parlamenta; budući da je 17. prosinca 2024. Teresa Anjinho izabrana za europskog ombudsmana u parlamentarnom sazivu od 2024. do 2029.; </w:t>
      </w:r>
    </w:p>
    <w:p w14:paraId="27E75460" w14:textId="77777777" w:rsidR="000502A6" w:rsidRPr="00BC371B" w:rsidRDefault="000502A6" w:rsidP="000502A6">
      <w:pPr>
        <w:pStyle w:val="NormalHanging12a"/>
      </w:pPr>
      <w:r w:rsidRPr="00BC371B">
        <w:t>V.</w:t>
      </w:r>
      <w:r w:rsidRPr="00BC371B">
        <w:tab/>
        <w:t xml:space="preserve">budući da su 2024. odnosi između Odbora za predstavke i Europskog ombudsmana ostali konstruktivni, što je vidljivo iz aktivnog sudjelovanja prethodne europske ombudsmanice Emily O’Reilly na sastancima Odbora; budući da je predstavila godišnje izvješće za 2023. Odboru za predstavke na sjednici održanoj 4. rujna 2024. i da je 2. prosinca 2024. sudjelovala na godišnjoj radionici o pravima osoba s invaliditetom koju je Odbor organizirao; </w:t>
      </w:r>
    </w:p>
    <w:p w14:paraId="709CA271" w14:textId="77777777" w:rsidR="000502A6" w:rsidRPr="00BC371B" w:rsidRDefault="000502A6" w:rsidP="000502A6">
      <w:pPr>
        <w:pStyle w:val="NormalHanging12a"/>
      </w:pPr>
      <w:r w:rsidRPr="00BC371B">
        <w:t>W.</w:t>
      </w:r>
      <w:r w:rsidRPr="00BC371B">
        <w:tab/>
        <w:t>budući da je Odbor za predstavke član Europske mreže pučkih pravobranitelja kojom su obuhvaćeni Europski ombudsman, nacionalni i regionalni pravobranitelji i slična tijela država članica, zemalja kandidatkinja te drugih država Europskog gospodarskog prostora, a čiji je cilj promicanje razmjene informacija o zakonodavstvu i politikama EU-a te razmjena najboljih praksi;</w:t>
      </w:r>
    </w:p>
    <w:p w14:paraId="4410BDE7" w14:textId="77777777" w:rsidR="000502A6" w:rsidRPr="00BC371B" w:rsidRDefault="000502A6" w:rsidP="000502A6">
      <w:pPr>
        <w:pStyle w:val="NormalHanging12a"/>
      </w:pPr>
      <w:r w:rsidRPr="00BC371B">
        <w:t>1.</w:t>
      </w:r>
      <w:r w:rsidRPr="00BC371B">
        <w:tab/>
        <w:t xml:space="preserve">podsjeća na važnu ulogu Odbora za predstavke u zaštiti i promicanju prava građana EU-a i osoba s prebivalištem u EU-u i naglašava da mora osigurati pravovremeno, učinkovito, pristupačno i odgovarajuće ispitivanje zabrinutosti i pritužbi podnositelja predstavki te da podnositelji predstavki budu uredno obaviješteni o poduzetim radnjama i napretku u vezi s njihovim predstavkama; međutim, žali zbog toga što to nije uvijek </w:t>
      </w:r>
      <w:r w:rsidRPr="00BC371B">
        <w:lastRenderedPageBreak/>
        <w:t>slučaj u praksi; podsjeća da se sve predstavke moraju obrađivati u okviru otvorenog, demokratskog i transparentnog postupka podnošenja predstavki te se očekuje da će ga Odbor dosljedno poštovati; preporučuje reviziju internih postupaka kako bi se osiguralo da se slične ili ponovljene predstavke grupiraju i obrađuju učinkovitije, uz istodobnu zaštitu prava svakog podnositelja predstavke na pojedinačno saslušanje;</w:t>
      </w:r>
    </w:p>
    <w:p w14:paraId="515217EA" w14:textId="77777777" w:rsidR="000502A6" w:rsidRPr="00BC371B" w:rsidRDefault="000502A6" w:rsidP="000502A6">
      <w:pPr>
        <w:pStyle w:val="NormalHanging12a"/>
      </w:pPr>
      <w:r w:rsidRPr="00BC371B">
        <w:t>2.</w:t>
      </w:r>
      <w:r w:rsidRPr="00BC371B">
        <w:tab/>
        <w:t>ponovno ističe važnost stalne javne rasprave o područjima djelovanja Europske unije kako bi se zajamčilo da su građani ispravno informirani o opsegu nadležnosti Unije i različitim razinama donošenja odluka kako bi se smanjio broj nedopuštenih predstavki; ponovno poziva na opsežnije informativne kampanje, posebno u udaljenim regijama kao i među nedovoljno zastupljenim skupinama građana, uključujući mlade, žene, ruralne i otočne zajednice, aktivnim uključivanjem postojećih komunikacijskih službi diljem Unije kako bi se podigla razina znanja građana o pravu na podnošenje predstavki te o opsegu odgovornosti EU-a i nadležnostima Odbora za predstavke; poziva na jasniju komunikaciju bez žargona s podnositeljima predstavki i bolje javno objašnjenje uloge Odbora za predstavke i njegovih ograničenja, posebno za ranjive korisnike ili korisnike koji prvi put podnose predstavku;</w:t>
      </w:r>
    </w:p>
    <w:p w14:paraId="556C5368" w14:textId="77777777" w:rsidR="000502A6" w:rsidRPr="00BC371B" w:rsidRDefault="000502A6" w:rsidP="000502A6">
      <w:pPr>
        <w:pStyle w:val="NormalHanging12a"/>
      </w:pPr>
      <w:r w:rsidRPr="00BC371B">
        <w:t>3.</w:t>
      </w:r>
      <w:r w:rsidRPr="00BC371B">
        <w:tab/>
        <w:t>podsjeća na europsku dimenziju Odbora za predstavke, kojem se mogu obratiti građani iz svih 27 država članica u vezi s pitanjima koja spadaju u područje primjene ugovora EU-a i prava EU-a; vjeruje da Odbor, poštujući suverenitet i nacionalne posebnosti, ima posebnu odgovornost da podupire tu europsku dimenziju i da građanima pokaže dodanu vrijednost europskog jedinstva i integracije;</w:t>
      </w:r>
    </w:p>
    <w:p w14:paraId="37C8B019" w14:textId="77777777" w:rsidR="000502A6" w:rsidRPr="00BC371B" w:rsidRDefault="000502A6" w:rsidP="000502A6">
      <w:pPr>
        <w:pStyle w:val="NormalHanging12a"/>
      </w:pPr>
      <w:r w:rsidRPr="00BC371B">
        <w:t>4.</w:t>
      </w:r>
      <w:r w:rsidRPr="00BC371B">
        <w:tab/>
        <w:t>ističe da predstavke Parlamentu i drugim institucijama EU-a predstavljaju jedinstvenu priliku za izravno povezivanje i održavanje redovitog dijaloga s građanima EU-a, posebno u slučajevima kad na njih utječu pogrešna primjena ili povreda prava EU-a; naglašava potrebu za poboljšanom suradnjom između institucija EU-a i nacionalnih, regionalnih i lokalnih tijela kad je riječ o provedbi prava EU-a i usklađenosti s njime; smatra da je takva suradnja ključna za rješavanje zabrinutosti građana zbog primjene prava EU-a i da doprinosi jačanju demokratske legitimnosti i odgovornosti Unije; stoga poziva na smisleno sudjelovanje predstavnika država članica na sastancima Odbora te pravodobno i podrobno odgovaranje na zahtjeve za pojašnjenja ili informacije koje Odbor za predstavke šalje nacionalnim tijelima kako bi se osiguralo pravilno praćenje predstavki;</w:t>
      </w:r>
    </w:p>
    <w:p w14:paraId="29187777" w14:textId="77777777" w:rsidR="000502A6" w:rsidRPr="00BC371B" w:rsidRDefault="000502A6" w:rsidP="000502A6">
      <w:pPr>
        <w:pStyle w:val="NormalHanging12a"/>
      </w:pPr>
      <w:r w:rsidRPr="00BC371B">
        <w:t>5.</w:t>
      </w:r>
      <w:r w:rsidRPr="00BC371B">
        <w:tab/>
        <w:t>podsjeća da je Odbor za predstavke početkom 2024. primio velik broj predstavki u kojima se izražava zabrinutost zbog percipiranih prijetnji vladavini prava u Španjolskoj; prima na znanje zajedničku raspravu održanu u siječnju 2024. o nekoliko predstavki o razvoju događaja u Španjolskoj, u prvom redu u vezi s vladinim prijedlogom zakona o amnestiji i njegovim mogućim posljedicama za španjolski pravni okvir i pravni okvir EU-a;</w:t>
      </w:r>
    </w:p>
    <w:p w14:paraId="2AABD58A" w14:textId="77777777" w:rsidR="000502A6" w:rsidRPr="00BC371B" w:rsidRDefault="000502A6" w:rsidP="000502A6">
      <w:pPr>
        <w:pStyle w:val="NormalHanging12a"/>
      </w:pPr>
      <w:r w:rsidRPr="00BC371B">
        <w:t>6.</w:t>
      </w:r>
      <w:r w:rsidRPr="00BC371B">
        <w:tab/>
        <w:t xml:space="preserve">podsjeća da predstavke znatno doprinose izvršavanju uloge Komisije kao čuvarice Ugovora jer građanima pružaju dodatne alate za prijavljivanje navodnih kršenja prava EU-a; naglašava da je konstruktivna suradnja između Odbora za predstavke i Komisije putem pravodobnih i detaljnih odgovora Komisije, koji se temelje na cjelovitim razmatranjima pitanja iz predstavki, presudna za osiguravanje uspješnog postupanja s predstavkama; ponavlja da bi odgovori koji se prosljeđuju podnositeljima predstavki, trebali biti jasni, jednostavni i empatični kako bi se omogućilo njihovo bolje razumijevanje; </w:t>
      </w:r>
    </w:p>
    <w:p w14:paraId="1D2BE9A6" w14:textId="77777777" w:rsidR="000502A6" w:rsidRPr="00BC371B" w:rsidRDefault="000502A6" w:rsidP="000502A6">
      <w:pPr>
        <w:pStyle w:val="NormalHanging12a"/>
      </w:pPr>
      <w:r w:rsidRPr="00BC371B">
        <w:lastRenderedPageBreak/>
        <w:t>7.</w:t>
      </w:r>
      <w:r w:rsidRPr="00BC371B">
        <w:tab/>
        <w:t>pozdravlja stvaranje nove internetske stranice Komisije o slučajevima povrede prava, prenošenju direktiva i dijalogu u okviru sustava EU Pilot; međutim, ponavlja svoj poziv Komisiji da redovito obavještava Odbor za predstavke o razvoju događaja u postupcima zbog povrede i da osigura da Odbor za predstavke dobije pristup relevantnim informacijama o postupcima zbog povrede i o postupcima u okviru sustava EU Pilot koji se odnose na otvorene predstavke; ponavlja da je potrebno povećati transparentnost postupaka zbog povrede prava, kao i komunikaciju s podnositeljima predstavki o trenutačnom stanju tih postupaka te naglašava da bi to bilo korisno za postupak podnošenja predstavki; pozdravlja inicijativu Komisije da se predstavke uključe u njezin javni registar odluka o povredama, kao i uključivanje poveznice u javni registar Komisije na portalu za predstavke; pozdravlja predanost povjerenika Šefčoviča daljnjem povezivanju javnog registra Komisije i portala Parlamenta za predstavke; ponavlja svoj poziv Komisiji da te zahtjeve uključi u Okvirni sporazum o odnosima između Europskog parlamenta i Europske komisije</w:t>
      </w:r>
      <w:r w:rsidRPr="00BC371B">
        <w:rPr>
          <w:rStyle w:val="FootnoteReference"/>
        </w:rPr>
        <w:footnoteReference w:id="1"/>
      </w:r>
      <w:r w:rsidRPr="00BC371B">
        <w:t>;</w:t>
      </w:r>
    </w:p>
    <w:p w14:paraId="38AF48F7" w14:textId="77777777" w:rsidR="000502A6" w:rsidRPr="00BC371B" w:rsidRDefault="000502A6" w:rsidP="000502A6">
      <w:pPr>
        <w:pStyle w:val="NormalHanging12a"/>
      </w:pPr>
      <w:r w:rsidRPr="00BC371B">
        <w:t>8.</w:t>
      </w:r>
      <w:r w:rsidRPr="00BC371B">
        <w:tab/>
        <w:t>poziva na neovisnu i periodičnu evaluaciju kvalitete i jasnoće odgovora Komisije na predstavke, s posebnim naglaskom na čitljivosti, relevantnosti i osjetljivosti na okolnosti podnositelja predstavki, kako bi se osiguralo da građani ostvare smislenu interakciju punu poštovanja;</w:t>
      </w:r>
    </w:p>
    <w:p w14:paraId="378F0665" w14:textId="77777777" w:rsidR="000502A6" w:rsidRPr="00BC371B" w:rsidRDefault="000502A6" w:rsidP="000502A6">
      <w:pPr>
        <w:pStyle w:val="NormalHanging12a"/>
      </w:pPr>
      <w:r w:rsidRPr="00BC371B">
        <w:t>9.</w:t>
      </w:r>
      <w:r w:rsidRPr="00BC371B">
        <w:tab/>
        <w:t>smatra da bi aktivnija suradnja između država članica i Odbora za predstavke mogla biti korisna kako bi se otklonila blokada predstavki koje zahtijevaju brze odgovore i reakcije nacionalnih vlasti;</w:t>
      </w:r>
    </w:p>
    <w:p w14:paraId="04F5224B" w14:textId="77777777" w:rsidR="000502A6" w:rsidRPr="00BC371B" w:rsidRDefault="000502A6" w:rsidP="000502A6">
      <w:pPr>
        <w:pStyle w:val="NormalHanging12a"/>
      </w:pPr>
      <w:r w:rsidRPr="00BC371B">
        <w:t>10.</w:t>
      </w:r>
      <w:r w:rsidRPr="00BC371B">
        <w:tab/>
        <w:t>podsjeća da je baza podataka e-predstavki ključni unutarnji alat koji članovima Odbora za predstavke omogućuje pristup svim potrebnim informacijama kako bi pratili stanje svake predstavke i kako bi mogli donositi informirane odluke o postupanju s predstavkama; konstatira da baza podataka e-predstavki također ima važnu ulogu u komunikaciji s podnositeljima predstavki; ističe potrebu za daljnjom modernizacijom digitalnih alata Odbora za predstavke i predlaže da se istraži odgovorna upotreba umjetne inteligencije kojom upravljaju ljudi kako bi se dodatno poboljšala obrada predstavki;</w:t>
      </w:r>
    </w:p>
    <w:p w14:paraId="4B31434E" w14:textId="77777777" w:rsidR="000502A6" w:rsidRPr="00BC371B" w:rsidRDefault="000502A6" w:rsidP="000502A6">
      <w:pPr>
        <w:pStyle w:val="NormalHanging12a"/>
      </w:pPr>
      <w:r w:rsidRPr="00BC371B">
        <w:t>11.</w:t>
      </w:r>
      <w:r w:rsidRPr="00BC371B">
        <w:tab/>
        <w:t>podsjeća na predanost Komisije stvaranju međuinstitucijskog informatičkog alata između Komisije i parlamenta s ciljem razmjene informacija i dokumenata o svim daljnjim mjerama poduzetima na temelju predstavki u pogledu, primjerice, postupaka zbog povrede prava, zakonodavnih prijedloga ili odgovora nacionalnih tijela, čime se povećavaju transparentnost i učinkovitost postupanja s predstavkama te poziva na njegovu brzu provedbu, što bi, u širem kontekstu, pridonijelo povećanju povjerenja građana u institucije EU-a i europski projekt; poziva na brzo uvođenje takvog međuinstitucijskog informatičkog alata;</w:t>
      </w:r>
    </w:p>
    <w:p w14:paraId="3BEFD9AF" w14:textId="77777777" w:rsidR="000502A6" w:rsidRPr="00BC371B" w:rsidRDefault="000502A6" w:rsidP="000502A6">
      <w:pPr>
        <w:pStyle w:val="NormalHanging12a"/>
      </w:pPr>
      <w:r w:rsidRPr="00BC371B">
        <w:t>12.</w:t>
      </w:r>
      <w:r w:rsidRPr="00BC371B">
        <w:tab/>
        <w:t>podsjeća da je suradnja s drugim odborima Parlamenta ključna za sveobuhvatnu obradu predstavki; primjećuje da su 2024. drugim odborima poslana 30 zahtjeva za mišljenje i 450 zahtjeva za informacije; konstatira da je do kraja 2024. zaprimljeno 26 mišljenja;</w:t>
      </w:r>
      <w:r w:rsidRPr="00BC371B">
        <w:rPr>
          <w:color w:val="FF0000"/>
        </w:rPr>
        <w:t xml:space="preserve"> </w:t>
      </w:r>
      <w:r w:rsidRPr="00BC371B">
        <w:t xml:space="preserve">podsjeća da su podnositelji predstavki obaviješteni o odlukama da se zatraže mišljenja od drugih odbora za obradu njihovih predstavki; ističe da bi parlamentarni odbori trebali pojačati napore kako bi svojim stručnim znanjem aktivno pridonijeli ispitivanju </w:t>
      </w:r>
      <w:r w:rsidRPr="00BC371B">
        <w:lastRenderedPageBreak/>
        <w:t>predstavki te pritom omogućili Parlamentu da brže i opsežnije odgovori na zabrinutosti građana;</w:t>
      </w:r>
    </w:p>
    <w:p w14:paraId="7B7ED9F3" w14:textId="77777777" w:rsidR="000502A6" w:rsidRPr="00BC371B" w:rsidRDefault="000502A6" w:rsidP="000502A6">
      <w:pPr>
        <w:pStyle w:val="NormalHanging12a"/>
      </w:pPr>
      <w:r w:rsidRPr="00BC371B">
        <w:t>13.</w:t>
      </w:r>
      <w:r w:rsidRPr="00BC371B">
        <w:tab/>
        <w:t xml:space="preserve">smatra da je Mreža za predstavke koristan alat za olakšavanje praćenja predstavki u parlamentarnom i zakonodavnom radu; smatra da su redoviti sastanci Mreže za predstavke ključni kako bi se poboljšala vidljivost aktivnosti Odbora za predstavke i bolje razumijevanje njegova rada i misije, kao i za jačanje suradnje s drugim parlamentarnim odborima; </w:t>
      </w:r>
    </w:p>
    <w:p w14:paraId="4C7C3524" w14:textId="77777777" w:rsidR="000502A6" w:rsidRPr="00BC371B" w:rsidRDefault="000502A6" w:rsidP="000502A6">
      <w:pPr>
        <w:pStyle w:val="NormalHanging12a"/>
      </w:pPr>
      <w:r w:rsidRPr="00BC371B">
        <w:t>14.</w:t>
      </w:r>
      <w:r w:rsidRPr="00BC371B">
        <w:tab/>
        <w:t>prima na znanje da je okoliš 2024. i dalje područje u vezi kojeg su podnositelji podnijeli najviše predstavki, čak više od 20 %; prima na znanje velik broj predstavki u kojima se osuđuje kršenje zakonodavstva EU-a o okolišu u nekoliko država članica; napominje da pitanja o kojima su izvijestili podnositelji predstavki i o kojima se raspravljalo u Odboru uključuju zaštitu vuka u EU-u, dugoročne toksične učinke pesticida i kršenje Direktive o industrijskim emisijama</w:t>
      </w:r>
      <w:r w:rsidRPr="00BC371B">
        <w:rPr>
          <w:rStyle w:val="FootnoteReference"/>
        </w:rPr>
        <w:footnoteReference w:id="2"/>
      </w:r>
      <w:r w:rsidRPr="00BC371B">
        <w:t>, koje proizlazi iz upravljanja čeličanom; naglašava važnost ispunjavanja očekivanja građana EU-a o zaštiti okoliša i poziva Komisiju da zajedno s državama članicama osigura ispravnu provedbu njegovog zakonodavstva u području okoliša;</w:t>
      </w:r>
    </w:p>
    <w:p w14:paraId="540F7547" w14:textId="77777777" w:rsidR="000502A6" w:rsidRPr="00BC371B" w:rsidRDefault="000502A6" w:rsidP="000502A6">
      <w:pPr>
        <w:pStyle w:val="NormalHanging12a"/>
      </w:pPr>
      <w:r w:rsidRPr="00BC371B">
        <w:t>15.</w:t>
      </w:r>
      <w:r w:rsidRPr="00BC371B">
        <w:tab/>
        <w:t>prima na znanje da se Odbor za predstavke bavio drugim pitanjima, kao što su zaštita prava djece, uključujući sigurnost na internetu i poboljšanje dobrobiti životinja; skreće pozornost na predstavke u kojima se ističu kršenja prava putnika; također napominje da je u brojnim predstavkama izražena zabrinutost u pogledu zaštite podataka, a osobito provedbe Opće uredbe o zaštiti podataka</w:t>
      </w:r>
      <w:r w:rsidRPr="00BC371B">
        <w:rPr>
          <w:rStyle w:val="FootnoteReference"/>
        </w:rPr>
        <w:footnoteReference w:id="3"/>
      </w:r>
      <w:r w:rsidRPr="00BC371B">
        <w:t>; skreće pozornost na broj predstavki čija je tema stambena krizom u državama članicama; napominje da se Odbor za predstavke bavio i pitanjem odgovornosti koju poduzeća koja se bave fosilnim gorivima imaju u krizi troškova života kao i dvojbama u pogledu sigurnosti željeznica i zaštite prava radnika; prima na znanje razmatranje predstavki o kulturi i nacionalnoj baštini; podsjeća na to da je Odbor za predstavke raspravljao o nekoliko predstavki o ukidanju dozvola stalnog boravka ruskim državljanima; konstatira da je Odbor za predstavke zaprimio velik broj predstavki o vladavini prava u državama članicama, o kojima se raspravljalo u Odboru; prima na znanje predstavke koje su podnesene o uvjetima prihvata imigranata i tražitelja azila u državama članicama kao i one o slučajevima diskriminacije; očekuje odgovarajuće daljnje postupanje i ažurirane informacije od Komisije o svim tim predstavkama;</w:t>
      </w:r>
    </w:p>
    <w:p w14:paraId="7012FE68" w14:textId="03FF9480" w:rsidR="000502A6" w:rsidRPr="00BC371B" w:rsidRDefault="000502A6" w:rsidP="000502A6">
      <w:pPr>
        <w:pStyle w:val="NormalHanging12a"/>
      </w:pPr>
      <w:r w:rsidRPr="00BC371B">
        <w:t>16.</w:t>
      </w:r>
      <w:r w:rsidRPr="00BC371B">
        <w:tab/>
        <w:t xml:space="preserve">ističe važan doprinos Odbora za predstavke zaštiti prava osoba s invaliditetom, vidljiv iz njegove obrade niza predstavki o toj temi, uključujući razmatranje predstavke br. 1056/2016 o podnošenju predstavki na nacionalnim znakovnim jezicima; u tom kontekstu priznaje trud koji ulažu službe Parlamenta i napominje da se mora pronaći ne samo najbolje tehničko nego i najpristupačnije rješenje za gluhe građane kako bi se s </w:t>
      </w:r>
      <w:r w:rsidRPr="00BC371B">
        <w:lastRenderedPageBreak/>
        <w:t>njima komuniciralo na njihovom materinjem jeziku, na nacionalnim znakovnim jezicima; traži da se u bliskoj suradnji s Odborom za ustavna pitanja izmijeni Poslovnik kako bi se uklonila obvezna isključivo pisana komunikacija s građanima koji su korisnici znakovnog jezika ili gluhe ili nagluhe osobe kako bi se ti građani, na vlastiti zahtjev, mogli koristiti znakovnim jezikom tijekom postupka; napominje da su, osim toga, podnositelji predstavki tijekom 2024. izrazili zabrinutosti u pogledu obrazovanja učenika s invaliditetom, uskraćivanja zdravstvenih usluga osobama s invaliditetom te pristupačnosti javnih prostora i usluga; podsjeća na godišnju radionicu o pravima osoba s invaliditetom Odbora za predstavke održanu 2. prosinca 2024. usmjerenu na trenutačno stanje strategije o pravima osoba s invaliditetom za razdoblje 2021.</w:t>
      </w:r>
      <w:r w:rsidR="009004C5">
        <w:t xml:space="preserve"> </w:t>
      </w:r>
      <w:r w:rsidRPr="00BC371B">
        <w:t>– 2030. te poziva na brzu integraciju nalaza predstavki u reviziju Strategije o pravima osoba s invaliditetom za razdoblje od 2021. do 2030. u sredini programskog razdoblja, s mjerljivim ciljevima i proračunskim obvezama;</w:t>
      </w:r>
    </w:p>
    <w:p w14:paraId="23B6BEEA" w14:textId="77777777" w:rsidR="000502A6" w:rsidRPr="00BC371B" w:rsidRDefault="000502A6" w:rsidP="000502A6">
      <w:pPr>
        <w:pStyle w:val="NormalHanging12a"/>
      </w:pPr>
      <w:r w:rsidRPr="00BC371B">
        <w:t>17.</w:t>
      </w:r>
      <w:r w:rsidRPr="00BC371B">
        <w:tab/>
        <w:t>ističe posebnu ulogu Odbora za predstavke u pogledu zaštite u EU-u u okviru Konvencije Ujedinjenih naroda o pravima osoba s invaliditetom; upućuje na važan tekući rad Odbora u vezi s predstavkama o pitanjima invalidnosti; podsjeća da je upućivanje na predstavke o potrebi uvođenja iskaznice za osobe s invaliditetom na razini EU-a uključeno u Direktivu (EU) 2024/2841 o uspostavi europske iskaznice za osobe s invaliditetom i europske parkirališne karte za osobe s invaliditetom</w:t>
      </w:r>
      <w:r w:rsidRPr="00BC371B">
        <w:rPr>
          <w:rStyle w:val="FootnoteReference"/>
        </w:rPr>
        <w:footnoteReference w:id="4"/>
      </w:r>
      <w:r w:rsidRPr="00BC371B">
        <w:t>; ističe da predstavke mogu znatno doprinijeti zakonodavnom postupku;</w:t>
      </w:r>
    </w:p>
    <w:p w14:paraId="34C6D679" w14:textId="77777777" w:rsidR="000502A6" w:rsidRPr="00BC371B" w:rsidRDefault="000502A6" w:rsidP="000502A6">
      <w:pPr>
        <w:pStyle w:val="NormalHanging12a"/>
        <w:rPr>
          <w:rFonts w:eastAsia="Calibri"/>
        </w:rPr>
      </w:pPr>
      <w:r w:rsidRPr="00BC371B">
        <w:t>18.</w:t>
      </w:r>
      <w:r w:rsidRPr="00BC371B">
        <w:tab/>
        <w:t>podsjeća na činjenicu da odnosi s Europskim ombudsmanom predstavljaju jednu od odgovornosti dodijeljenih Odboru za predstavke Poslovnikom Parlamenta; ističe ulogu Odbora za predstavke u izbornom postupku Europskog ombudsmana, posebno u organizaciji javnog saslušanja sa svim kandidatima koji ispunjavaju uvjete, održanog 3. prosinca 2024., koje je bilo otvoreno svim zastupnicima u Europskom parlamentu, čime im je pružena demokratska i transparentna prilika za razmjenu mišljenja s kandidatima i procjenu njihove neovisnosti, kvalifikacija i profesionalnosti kao i njihove vizije za Ured europskog ombudsmana u institucionalnoj strukturi EU-a; pozdravlja konstruktivnu suradnju Parlamenta s Europskim ombudsmanom, s kojim Odbor za predstavke dijeli ciljeve osiguravanja transparentnosti, profesionalnosti i integriteta institucija EU-a u odnosu na europske građane, kao i njegovo sudjelovanje u Europskoj mreži pučkih pravobranitelja;</w:t>
      </w:r>
    </w:p>
    <w:p w14:paraId="4B1EB407" w14:textId="77777777" w:rsidR="000502A6" w:rsidRPr="00BC371B" w:rsidRDefault="000502A6" w:rsidP="000502A6">
      <w:pPr>
        <w:pStyle w:val="NormalHanging12a"/>
        <w:rPr>
          <w:rFonts w:eastAsia="Calibri"/>
        </w:rPr>
      </w:pPr>
      <w:r w:rsidRPr="00BC371B">
        <w:t>19.</w:t>
      </w:r>
      <w:r w:rsidRPr="00BC371B">
        <w:tab/>
        <w:t>potiče kontinuirane i redovite doprinose Europskog ombudsmana radu Odbora za predstavke tijekom cijele godine; čvrsto je uvjeren da institucije, tijela i agencije Unije moraju osigurati dosljedno i djelotvorno praćenje preporuka Ombudsmana; ističe ključnu ulogu Europskog ombudsmana u promicanju transparentnosti, dobre uprave i zaštite prava građana; poziva na bližu suradnju između Odbora za predstavke i Ureda ombudsmana;</w:t>
      </w:r>
    </w:p>
    <w:p w14:paraId="73ED42BD" w14:textId="77777777" w:rsidR="000502A6" w:rsidRPr="00BC371B" w:rsidRDefault="000502A6" w:rsidP="000502A6">
      <w:pPr>
        <w:pStyle w:val="NormalHanging12a"/>
        <w:rPr>
          <w:b/>
          <w:i/>
        </w:rPr>
      </w:pPr>
      <w:r w:rsidRPr="00BC371B">
        <w:t>20.</w:t>
      </w:r>
      <w:r w:rsidRPr="00BC371B">
        <w:tab/>
        <w:t xml:space="preserve">konstatira da je, unatoč razdoblja stanke tijekom europskih izbora, Odbor za predstavke izrazio svoje stajalište i dao preporuke o važnim pitanjima iznesenima u predstavkama, uključujući usvajanje dvaju izvješća o službenim putovanjima nakon posjeta u svrhu utvrđivanja činjenica održanih u drugoj polovici 2023., odnosno službenog putovanja u </w:t>
      </w:r>
      <w:r w:rsidRPr="00BC371B">
        <w:lastRenderedPageBreak/>
        <w:t>Irsku u vezi sa zgradama od tinjca i službenog putovanja u Španjolsku u vezi s jezičnim imerzijama u Kataloniji; ističe da je važno da katalonske vlasti provedu preporuke koje je Odbor za predstavke iznio u svojem izvješću od 19. ožujka 2024., čiji je cilj zaštita jezičnih prava studenata i njihovih obitelji;</w:t>
      </w:r>
    </w:p>
    <w:p w14:paraId="70263076" w14:textId="77777777" w:rsidR="000502A6" w:rsidRPr="00BC371B" w:rsidRDefault="000502A6" w:rsidP="000502A6">
      <w:pPr>
        <w:pStyle w:val="NormalHanging12a"/>
      </w:pPr>
      <w:r w:rsidRPr="00BC371B">
        <w:t>21.</w:t>
      </w:r>
      <w:r w:rsidRPr="00BC371B">
        <w:tab/>
        <w:t>primjećuje sve veći broj predstavki povezanih s obrazovnom politikom, posebno priznavanjem nastavnih kvalifikacija u državama članicama; u tom pogledu ističe usmeno pitanje Odbora za predstavke upućeno Komisiji o radnim uvjetima nastavnika u EU-u; izražava zabrinutost zbog usmenog odgovora Komisije kojim se potvrđuje da je manjak nastavnika velik izazov, što se odražava i u nedavnim rezultatima PISA-e, pri čemu čak ni jedna država članica nije uspjela poboljšati svoju uspješnost u osnovnim vještinama; u tom pogledu poziva Komisiju i države članice da znatno pojačaju napore za poboljšanje svojih sustava školskog obrazovanja i istodobno povećaju privlačnost nastavničke struke, među ostalim financiranjem i programima;</w:t>
      </w:r>
    </w:p>
    <w:p w14:paraId="041E1CFA" w14:textId="77777777" w:rsidR="000502A6" w:rsidRPr="00BC371B" w:rsidRDefault="000502A6" w:rsidP="000502A6">
      <w:pPr>
        <w:pStyle w:val="NormalHanging12a"/>
      </w:pPr>
      <w:r w:rsidRPr="00BC371B">
        <w:t>22.</w:t>
      </w:r>
      <w:r w:rsidRPr="00BC371B">
        <w:tab/>
        <w:t>pozdravlja donošenje Rezolucije Europskog parlamenta od 10. travnja 2024. o postupanju s teškim teretnim vozilima na graničnim prijelazima na temelju predstavke br. 0146/2023</w:t>
      </w:r>
      <w:r w:rsidRPr="00BC371B">
        <w:rPr>
          <w:rStyle w:val="FootnoteReference"/>
        </w:rPr>
        <w:footnoteReference w:id="5"/>
      </w:r>
      <w:r w:rsidRPr="00BC371B">
        <w:t xml:space="preserve">; </w:t>
      </w:r>
    </w:p>
    <w:p w14:paraId="124A4AE9" w14:textId="77777777" w:rsidR="000502A6" w:rsidRPr="00BC371B" w:rsidRDefault="000502A6" w:rsidP="000502A6">
      <w:pPr>
        <w:pStyle w:val="NormalHanging12a"/>
      </w:pPr>
      <w:r w:rsidRPr="00BC371B">
        <w:t>23.</w:t>
      </w:r>
      <w:r w:rsidRPr="00BC371B">
        <w:tab/>
        <w:t>ističe da je internetski portal za predstavke važan alat za osiguravanje neometanog, učinkovitog i transparentnog postupka podnošenja predstavki; pozdravlja poboljšanja za podnositelje predstavki na portalu i naglašava da se moraju nastaviti ulagati napori da se portal učini pristupačnijim, uključujući povećanje njegove pristupačnosti za korisnike znakovnog jezika kako je zatraženo predstavkom br. 1056/2016 i za osobe s invaliditetom; konstatira da je internetski portal za predstavke bila jedna od najposjećenijih internetskih stranica Parlamenta te je tako mnogim građanima EU-a služio kao prva kontaktna točka s Europskim parlamentom;</w:t>
      </w:r>
    </w:p>
    <w:p w14:paraId="472886F0" w14:textId="77777777" w:rsidR="000502A6" w:rsidRPr="00BC371B" w:rsidRDefault="000502A6" w:rsidP="000502A6">
      <w:pPr>
        <w:pStyle w:val="NormalHanging12a"/>
      </w:pPr>
      <w:r w:rsidRPr="00BC371B">
        <w:t>24.</w:t>
      </w:r>
      <w:r w:rsidRPr="00BC371B">
        <w:tab/>
        <w:t>nalaže svojoj predsjednici da ovu Rezoluciju i izvješće Odbora za predstavke proslijedi Vijeću, Komisiji, Europskom ombudsmanu te vladama i parlamentima država članica, njihovim odborima za predstavke i nacionalnim ombudsmanima ili sličnim nadležnim tijelima.</w:t>
      </w:r>
    </w:p>
    <w:p w14:paraId="4F1725D1" w14:textId="3474D6AE" w:rsidR="00E365E1" w:rsidRPr="00BC371B" w:rsidRDefault="00E365E1" w:rsidP="00BC371B"/>
    <w:sectPr w:rsidR="00E365E1" w:rsidRPr="00BC371B" w:rsidSect="008F78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7BCD5" w14:textId="77777777" w:rsidR="00552C5E" w:rsidRPr="008F7857" w:rsidRDefault="00552C5E">
      <w:r w:rsidRPr="008F7857">
        <w:separator/>
      </w:r>
    </w:p>
  </w:endnote>
  <w:endnote w:type="continuationSeparator" w:id="0">
    <w:p w14:paraId="70CE4F3E" w14:textId="77777777" w:rsidR="00552C5E" w:rsidRPr="008F7857" w:rsidRDefault="00552C5E">
      <w:r w:rsidRPr="008F78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5B2AA" w14:textId="77777777" w:rsidR="00064002" w:rsidRPr="008F785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D92BD" w14:textId="77777777" w:rsidR="00064002" w:rsidRPr="008F785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31C6F" w14:textId="77777777" w:rsidR="00064002" w:rsidRPr="008F785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03730" w14:textId="77777777" w:rsidR="00552C5E" w:rsidRPr="008F7857" w:rsidRDefault="00552C5E">
      <w:r w:rsidRPr="008F7857">
        <w:separator/>
      </w:r>
    </w:p>
  </w:footnote>
  <w:footnote w:type="continuationSeparator" w:id="0">
    <w:p w14:paraId="21C1316F" w14:textId="77777777" w:rsidR="00552C5E" w:rsidRPr="008F7857" w:rsidRDefault="00552C5E">
      <w:r w:rsidRPr="008F7857">
        <w:continuationSeparator/>
      </w:r>
    </w:p>
  </w:footnote>
  <w:footnote w:id="1">
    <w:p w14:paraId="5A7DEF96" w14:textId="1F7BF610" w:rsidR="000502A6" w:rsidRPr="008F7857" w:rsidRDefault="000502A6" w:rsidP="008F7857">
      <w:pPr>
        <w:pStyle w:val="FootnoteText"/>
        <w:ind w:left="567" w:hanging="567"/>
        <w:rPr>
          <w:sz w:val="24"/>
          <w:lang w:val="hr-HR"/>
        </w:rPr>
      </w:pPr>
      <w:r w:rsidRPr="008F7857">
        <w:rPr>
          <w:rStyle w:val="FootnoteReference"/>
          <w:sz w:val="24"/>
          <w:lang w:val="hr-HR"/>
        </w:rPr>
        <w:footnoteRef/>
      </w:r>
      <w:r w:rsidR="008F7857" w:rsidRPr="008F7857">
        <w:rPr>
          <w:sz w:val="24"/>
          <w:lang w:val="hr-HR"/>
        </w:rPr>
        <w:t xml:space="preserve"> </w:t>
      </w:r>
      <w:r w:rsidR="008F7857" w:rsidRPr="008F7857">
        <w:rPr>
          <w:sz w:val="24"/>
          <w:lang w:val="hr-HR"/>
        </w:rPr>
        <w:tab/>
      </w:r>
      <w:r w:rsidRPr="008F7857">
        <w:rPr>
          <w:sz w:val="24"/>
          <w:lang w:val="hr-HR"/>
        </w:rPr>
        <w:t xml:space="preserve">SL L 304, 20.11.2010., str. 47., ELI: </w:t>
      </w:r>
      <w:hyperlink r:id="rId1" w:history="1">
        <w:r w:rsidRPr="008F7857">
          <w:rPr>
            <w:rStyle w:val="Hyperlink"/>
            <w:sz w:val="24"/>
            <w:lang w:val="hr-HR"/>
          </w:rPr>
          <w:t>http://data.europa.eu/eli/agree_interinstit/2010/1120/oj</w:t>
        </w:r>
      </w:hyperlink>
      <w:r w:rsidRPr="008F7857">
        <w:rPr>
          <w:sz w:val="24"/>
          <w:lang w:val="hr-HR"/>
        </w:rPr>
        <w:t xml:space="preserve">. </w:t>
      </w:r>
    </w:p>
  </w:footnote>
  <w:footnote w:id="2">
    <w:p w14:paraId="2C5D2C8F" w14:textId="794C893A" w:rsidR="000502A6" w:rsidRPr="008F7857" w:rsidRDefault="000502A6" w:rsidP="008F7857">
      <w:pPr>
        <w:pStyle w:val="FootnoteText"/>
        <w:ind w:left="567" w:hanging="567"/>
        <w:rPr>
          <w:sz w:val="24"/>
          <w:lang w:val="hr-HR"/>
        </w:rPr>
      </w:pPr>
      <w:r w:rsidRPr="008F7857">
        <w:rPr>
          <w:rStyle w:val="FootnoteReference"/>
          <w:sz w:val="24"/>
          <w:lang w:val="hr-HR"/>
        </w:rPr>
        <w:footnoteRef/>
      </w:r>
      <w:r w:rsidR="008F7857" w:rsidRPr="008F7857">
        <w:rPr>
          <w:sz w:val="24"/>
          <w:lang w:val="hr-HR"/>
        </w:rPr>
        <w:t xml:space="preserve"> </w:t>
      </w:r>
      <w:r w:rsidR="008F7857" w:rsidRPr="008F7857">
        <w:rPr>
          <w:sz w:val="24"/>
          <w:lang w:val="hr-HR"/>
        </w:rPr>
        <w:tab/>
      </w:r>
      <w:r w:rsidRPr="008F7857">
        <w:rPr>
          <w:sz w:val="24"/>
          <w:lang w:val="hr-HR"/>
        </w:rPr>
        <w:t xml:space="preserve">Direktiva (EU) 2024/1785 Europskog parlamenta i Vijeća od 24. travnja 2024. </w:t>
      </w:r>
      <w:r w:rsidRPr="008F7857">
        <w:rPr>
          <w:sz w:val="24"/>
          <w:lang w:val="hr-HR"/>
        </w:rPr>
        <w:t xml:space="preserve">o izmjeni Direktive 2010/75/EU Europskog parlamenta i Vijeća o industrijskim emisijama (integrirano sprečavanje i kontrola onečišćenja) i Direktive Vijeća 1999/31/EZ o odlagalištima otpada (SL L, 2024/1785, 15.7.2024., ELI: </w:t>
      </w:r>
      <w:hyperlink r:id="rId2" w:history="1">
        <w:r w:rsidRPr="008F7857">
          <w:rPr>
            <w:rStyle w:val="Hyperlink"/>
            <w:sz w:val="24"/>
            <w:lang w:val="hr-HR"/>
          </w:rPr>
          <w:t>http://data.europa.eu/eli/dir/2024/1785/oj</w:t>
        </w:r>
      </w:hyperlink>
      <w:r w:rsidRPr="008F7857">
        <w:rPr>
          <w:sz w:val="24"/>
          <w:lang w:val="hr-HR"/>
        </w:rPr>
        <w:t xml:space="preserve">). </w:t>
      </w:r>
    </w:p>
  </w:footnote>
  <w:footnote w:id="3">
    <w:p w14:paraId="0D83388D" w14:textId="1CDA8B71" w:rsidR="000502A6" w:rsidRPr="008F7857" w:rsidRDefault="000502A6" w:rsidP="008F7857">
      <w:pPr>
        <w:pStyle w:val="FootnoteText"/>
        <w:ind w:left="567" w:hanging="567"/>
        <w:rPr>
          <w:sz w:val="24"/>
          <w:lang w:val="hr-HR"/>
        </w:rPr>
      </w:pPr>
      <w:r w:rsidRPr="008F7857">
        <w:rPr>
          <w:rStyle w:val="FootnoteReference"/>
          <w:sz w:val="24"/>
          <w:lang w:val="hr-HR"/>
        </w:rPr>
        <w:footnoteRef/>
      </w:r>
      <w:r w:rsidR="008F7857" w:rsidRPr="008F7857">
        <w:rPr>
          <w:sz w:val="24"/>
          <w:lang w:val="hr-HR"/>
        </w:rPr>
        <w:t xml:space="preserve"> </w:t>
      </w:r>
      <w:r w:rsidR="008F7857" w:rsidRPr="008F7857">
        <w:rPr>
          <w:sz w:val="24"/>
          <w:lang w:val="hr-HR"/>
        </w:rPr>
        <w:tab/>
      </w:r>
      <w:r w:rsidRPr="008F7857">
        <w:rPr>
          <w:sz w:val="24"/>
          <w:lang w:val="hr-HR"/>
        </w:rPr>
        <w:t>Uredba (EU) 2016/679 Europskog parlamenta i Vijeća od 27. travnja 2016. o zaštiti pojedinaca u vezi s obradom osobnih podataka i o slobodnom kretanju takvih podataka te o stavljanju izvan snage Direktive 95/46/EZ (Opća uredba o zaštiti podataka) (SL L 119, 4.5.2016., str. </w:t>
      </w:r>
      <w:r w:rsidRPr="008F7857">
        <w:rPr>
          <w:sz w:val="24"/>
          <w:lang w:val="hr-HR"/>
        </w:rPr>
        <w:t xml:space="preserve">1., ELI: </w:t>
      </w:r>
      <w:hyperlink r:id="rId3" w:history="1">
        <w:r w:rsidRPr="008F7857">
          <w:rPr>
            <w:rStyle w:val="Hyperlink"/>
            <w:sz w:val="24"/>
            <w:lang w:val="hr-HR"/>
          </w:rPr>
          <w:t>http://data.europa.eu/eli/reg/2016/679/oj</w:t>
        </w:r>
      </w:hyperlink>
      <w:r w:rsidRPr="008F7857">
        <w:rPr>
          <w:sz w:val="24"/>
          <w:lang w:val="hr-HR"/>
        </w:rPr>
        <w:t>).</w:t>
      </w:r>
    </w:p>
  </w:footnote>
  <w:footnote w:id="4">
    <w:p w14:paraId="7E1D4173" w14:textId="11EA556A" w:rsidR="000502A6" w:rsidRPr="008F7857" w:rsidRDefault="000502A6" w:rsidP="008F7857">
      <w:pPr>
        <w:pStyle w:val="FootnoteText"/>
        <w:ind w:left="567" w:hanging="567"/>
        <w:rPr>
          <w:sz w:val="24"/>
          <w:lang w:val="hr-HR"/>
        </w:rPr>
      </w:pPr>
      <w:r w:rsidRPr="008F7857">
        <w:rPr>
          <w:rStyle w:val="FootnoteReference"/>
          <w:sz w:val="24"/>
          <w:lang w:val="hr-HR"/>
        </w:rPr>
        <w:footnoteRef/>
      </w:r>
      <w:r w:rsidR="008F7857" w:rsidRPr="008F7857">
        <w:rPr>
          <w:sz w:val="24"/>
          <w:lang w:val="hr-HR"/>
        </w:rPr>
        <w:t xml:space="preserve"> </w:t>
      </w:r>
      <w:r w:rsidR="008F7857" w:rsidRPr="008F7857">
        <w:rPr>
          <w:sz w:val="24"/>
          <w:lang w:val="hr-HR"/>
        </w:rPr>
        <w:tab/>
      </w:r>
      <w:r w:rsidRPr="008F7857">
        <w:rPr>
          <w:sz w:val="24"/>
          <w:lang w:val="hr-HR"/>
        </w:rPr>
        <w:t xml:space="preserve">Direktiva (EU) 2024/2841 Europskog parlamenta i Vijeća od 23. listopada 2024. </w:t>
      </w:r>
      <w:r w:rsidRPr="008F7857">
        <w:rPr>
          <w:sz w:val="24"/>
          <w:lang w:val="hr-HR"/>
        </w:rPr>
        <w:t>o uspostavi europske iskaznice za osobe s invaliditetom i europske parkirališne karte za osobe s invaliditetom (SL L, 2024/2841, 14.11.2024., ELI: </w:t>
      </w:r>
      <w:hyperlink r:id="rId4" w:tgtFrame="_blank" w:tooltip="Omogućuje pristup tom dokumentu preko identifikatora ELI URI." w:history="1">
        <w:r w:rsidRPr="008F7857">
          <w:rPr>
            <w:rStyle w:val="Hyperlink"/>
            <w:sz w:val="24"/>
            <w:lang w:val="hr-HR"/>
          </w:rPr>
          <w:t>http://data.europa.eu/eli/dir/2024/2841/oj</w:t>
        </w:r>
      </w:hyperlink>
      <w:r w:rsidRPr="008F7857">
        <w:rPr>
          <w:sz w:val="24"/>
          <w:lang w:val="hr-HR"/>
        </w:rPr>
        <w:t>).</w:t>
      </w:r>
    </w:p>
  </w:footnote>
  <w:footnote w:id="5">
    <w:p w14:paraId="4364DCE0" w14:textId="30258B13" w:rsidR="000502A6" w:rsidRPr="008F7857" w:rsidRDefault="000502A6" w:rsidP="008F7857">
      <w:pPr>
        <w:pStyle w:val="FootnoteText"/>
        <w:ind w:left="567" w:hanging="567"/>
        <w:rPr>
          <w:sz w:val="24"/>
          <w:lang w:val="hr-HR"/>
        </w:rPr>
      </w:pPr>
      <w:r w:rsidRPr="008F7857">
        <w:rPr>
          <w:rStyle w:val="FootnoteReference"/>
          <w:sz w:val="24"/>
          <w:lang w:val="hr-HR"/>
        </w:rPr>
        <w:footnoteRef/>
      </w:r>
      <w:r w:rsidR="008F7857" w:rsidRPr="008F7857">
        <w:rPr>
          <w:sz w:val="24"/>
          <w:lang w:val="hr-HR"/>
        </w:rPr>
        <w:t xml:space="preserve"> </w:t>
      </w:r>
      <w:r w:rsidR="008F7857" w:rsidRPr="008F7857">
        <w:rPr>
          <w:sz w:val="24"/>
          <w:lang w:val="hr-HR"/>
        </w:rPr>
        <w:tab/>
      </w:r>
      <w:r w:rsidRPr="008F7857">
        <w:rPr>
          <w:sz w:val="24"/>
          <w:lang w:val="hr-HR"/>
        </w:rPr>
        <w:t xml:space="preserve">SL C, C/2025/1278, 13.3.2025., ELI: </w:t>
      </w:r>
      <w:hyperlink r:id="rId5" w:history="1">
        <w:r w:rsidRPr="008F7857">
          <w:rPr>
            <w:rStyle w:val="Hyperlink"/>
            <w:sz w:val="24"/>
            <w:lang w:val="hr-HR"/>
          </w:rPr>
          <w:t>http://data.europa.eu/eli/C/2025/1278/oj</w:t>
        </w:r>
      </w:hyperlink>
      <w:r w:rsidRPr="008F7857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A2C6D" w14:textId="77777777" w:rsidR="00064002" w:rsidRPr="008F785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E0DBD" w14:textId="77777777" w:rsidR="00064002" w:rsidRPr="008F785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E8F85" w14:textId="77777777" w:rsidR="00064002" w:rsidRPr="008F785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36438392">
    <w:abstractNumId w:val="9"/>
  </w:num>
  <w:num w:numId="2" w16cid:durableId="38165866">
    <w:abstractNumId w:val="9"/>
  </w:num>
  <w:num w:numId="3" w16cid:durableId="1311784728">
    <w:abstractNumId w:val="7"/>
  </w:num>
  <w:num w:numId="4" w16cid:durableId="2122677405">
    <w:abstractNumId w:val="7"/>
  </w:num>
  <w:num w:numId="5" w16cid:durableId="194080043">
    <w:abstractNumId w:val="6"/>
  </w:num>
  <w:num w:numId="6" w16cid:durableId="382946036">
    <w:abstractNumId w:val="6"/>
  </w:num>
  <w:num w:numId="7" w16cid:durableId="1535272064">
    <w:abstractNumId w:val="5"/>
  </w:num>
  <w:num w:numId="8" w16cid:durableId="686952966">
    <w:abstractNumId w:val="5"/>
  </w:num>
  <w:num w:numId="9" w16cid:durableId="472218042">
    <w:abstractNumId w:val="4"/>
  </w:num>
  <w:num w:numId="10" w16cid:durableId="1724937115">
    <w:abstractNumId w:val="4"/>
  </w:num>
  <w:num w:numId="11" w16cid:durableId="866868565">
    <w:abstractNumId w:val="8"/>
  </w:num>
  <w:num w:numId="12" w16cid:durableId="2032757966">
    <w:abstractNumId w:val="8"/>
  </w:num>
  <w:num w:numId="13" w16cid:durableId="628318296">
    <w:abstractNumId w:val="3"/>
  </w:num>
  <w:num w:numId="14" w16cid:durableId="309142096">
    <w:abstractNumId w:val="3"/>
  </w:num>
  <w:num w:numId="15" w16cid:durableId="571163266">
    <w:abstractNumId w:val="2"/>
  </w:num>
  <w:num w:numId="16" w16cid:durableId="1509716727">
    <w:abstractNumId w:val="2"/>
  </w:num>
  <w:num w:numId="17" w16cid:durableId="504520940">
    <w:abstractNumId w:val="1"/>
  </w:num>
  <w:num w:numId="18" w16cid:durableId="1900091748">
    <w:abstractNumId w:val="1"/>
  </w:num>
  <w:num w:numId="19" w16cid:durableId="132135427">
    <w:abstractNumId w:val="0"/>
  </w:num>
  <w:num w:numId="20" w16cid:durableId="452485147">
    <w:abstractNumId w:val="0"/>
  </w:num>
  <w:num w:numId="21" w16cid:durableId="1645427641">
    <w:abstractNumId w:val="9"/>
  </w:num>
  <w:num w:numId="22" w16cid:durableId="1762487442">
    <w:abstractNumId w:val="7"/>
  </w:num>
  <w:num w:numId="23" w16cid:durableId="451168886">
    <w:abstractNumId w:val="6"/>
  </w:num>
  <w:num w:numId="24" w16cid:durableId="559901351">
    <w:abstractNumId w:val="5"/>
  </w:num>
  <w:num w:numId="25" w16cid:durableId="88619653">
    <w:abstractNumId w:val="4"/>
  </w:num>
  <w:num w:numId="26" w16cid:durableId="1924560148">
    <w:abstractNumId w:val="8"/>
  </w:num>
  <w:num w:numId="27" w16cid:durableId="690883619">
    <w:abstractNumId w:val="3"/>
  </w:num>
  <w:num w:numId="28" w16cid:durableId="1190725895">
    <w:abstractNumId w:val="2"/>
  </w:num>
  <w:num w:numId="29" w16cid:durableId="1342581240">
    <w:abstractNumId w:val="1"/>
  </w:num>
  <w:num w:numId="30" w16cid:durableId="2028477920">
    <w:abstractNumId w:val="0"/>
  </w:num>
  <w:num w:numId="31" w16cid:durableId="953944824">
    <w:abstractNumId w:val="9"/>
  </w:num>
  <w:num w:numId="32" w16cid:durableId="855728542">
    <w:abstractNumId w:val="7"/>
  </w:num>
  <w:num w:numId="33" w16cid:durableId="203643281">
    <w:abstractNumId w:val="6"/>
  </w:num>
  <w:num w:numId="34" w16cid:durableId="1469130044">
    <w:abstractNumId w:val="5"/>
  </w:num>
  <w:num w:numId="35" w16cid:durableId="1904876686">
    <w:abstractNumId w:val="4"/>
  </w:num>
  <w:num w:numId="36" w16cid:durableId="333530388">
    <w:abstractNumId w:val="8"/>
  </w:num>
  <w:num w:numId="37" w16cid:durableId="68115902">
    <w:abstractNumId w:val="3"/>
  </w:num>
  <w:num w:numId="38" w16cid:durableId="1300919221">
    <w:abstractNumId w:val="2"/>
  </w:num>
  <w:num w:numId="39" w16cid:durableId="453794571">
    <w:abstractNumId w:val="1"/>
  </w:num>
  <w:num w:numId="40" w16cid:durableId="1021779304">
    <w:abstractNumId w:val="0"/>
  </w:num>
  <w:num w:numId="41" w16cid:durableId="1331637316">
    <w:abstractNumId w:val="10"/>
  </w:num>
  <w:num w:numId="42" w16cid:durableId="1748764650">
    <w:abstractNumId w:val="10"/>
  </w:num>
  <w:num w:numId="43" w16cid:durableId="1818523512">
    <w:abstractNumId w:val="10"/>
  </w:num>
  <w:num w:numId="44" w16cid:durableId="15390774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0/2025"/>
    <w:docVar w:name="dvlangue" w:val="HR"/>
    <w:docVar w:name="dvnumam" w:val="0"/>
    <w:docVar w:name="dvpe" w:val="773.363"/>
    <w:docVar w:name="dvrapporteur" w:val="Izvjestitelj: "/>
    <w:docVar w:name="dvtitre" w:val="Rezolucija Europskog parlamenta od .... 2025. o ishodu razmatranja Odbora za predstavke tijekom 2024. godine(2025/2114(INI))"/>
  </w:docVars>
  <w:rsids>
    <w:rsidRoot w:val="00552C5E"/>
    <w:rsid w:val="00002272"/>
    <w:rsid w:val="000502A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2C5E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7F7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7857"/>
    <w:rsid w:val="009004C5"/>
    <w:rsid w:val="00930C23"/>
    <w:rsid w:val="0093193B"/>
    <w:rsid w:val="009509D8"/>
    <w:rsid w:val="00950B64"/>
    <w:rsid w:val="00981893"/>
    <w:rsid w:val="009960AE"/>
    <w:rsid w:val="00A1687D"/>
    <w:rsid w:val="00A43E52"/>
    <w:rsid w:val="00A4678D"/>
    <w:rsid w:val="00A778C7"/>
    <w:rsid w:val="00AB441E"/>
    <w:rsid w:val="00AB6293"/>
    <w:rsid w:val="00AE0928"/>
    <w:rsid w:val="00AF2348"/>
    <w:rsid w:val="00AF3B82"/>
    <w:rsid w:val="00B12E95"/>
    <w:rsid w:val="00B22876"/>
    <w:rsid w:val="00B558F0"/>
    <w:rsid w:val="00BC371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440C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E27720"/>
  <w15:chartTrackingRefBased/>
  <w15:docId w15:val="{72796E73-7031-4437-855A-F5998760F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502A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Hanging12a">
    <w:name w:val="NormalHanging12a"/>
    <w:basedOn w:val="Normal"/>
    <w:link w:val="NormalHanging12aChar"/>
    <w:rsid w:val="000502A6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0502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502A6"/>
    <w:rPr>
      <w:sz w:val="24"/>
      <w:lang w:val="hr-HR"/>
    </w:rPr>
  </w:style>
  <w:style w:type="paragraph" w:customStyle="1" w:styleId="EPFooter">
    <w:name w:val="EPFooter"/>
    <w:basedOn w:val="Normal"/>
    <w:rsid w:val="000502A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uiPriority w:val="99"/>
    <w:rsid w:val="000502A6"/>
    <w:pPr>
      <w:spacing w:before="480" w:after="240"/>
    </w:pPr>
  </w:style>
  <w:style w:type="character" w:styleId="Hyperlink">
    <w:name w:val="Hyperlink"/>
    <w:basedOn w:val="DefaultParagraphFont"/>
    <w:rsid w:val="000502A6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0502A6"/>
    <w:rPr>
      <w:sz w:val="24"/>
      <w:lang w:val="hr-HR"/>
    </w:rPr>
  </w:style>
  <w:style w:type="paragraph" w:styleId="Footer">
    <w:name w:val="footer"/>
    <w:basedOn w:val="Normal"/>
    <w:link w:val="FooterChar"/>
    <w:rsid w:val="00BC37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C371B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16/679/oj" TargetMode="External"/><Relationship Id="rId2" Type="http://schemas.openxmlformats.org/officeDocument/2006/relationships/hyperlink" Target="http://data.europa.eu/eli/dir/2024/1785/oj" TargetMode="External"/><Relationship Id="rId1" Type="http://schemas.openxmlformats.org/officeDocument/2006/relationships/hyperlink" Target="http://data.europa.eu/eli/agree_interinstit/2010/1120/oj" TargetMode="External"/><Relationship Id="rId5" Type="http://schemas.openxmlformats.org/officeDocument/2006/relationships/hyperlink" Target="http://data.europa.eu/eli/C/2025/1278/oj" TargetMode="External"/><Relationship Id="rId4" Type="http://schemas.openxmlformats.org/officeDocument/2006/relationships/hyperlink" Target="http://data.europa.eu/eli/dir/2024/28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3890</Words>
  <Characters>23457</Characters>
  <Application>Microsoft Office Word</Application>
  <DocSecurity>0</DocSecurity>
  <Lines>868</Lines>
  <Paragraphs>506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DADIĆ Ivana</cp:lastModifiedBy>
  <cp:revision>3</cp:revision>
  <cp:lastPrinted>2004-11-19T15:42:00Z</cp:lastPrinted>
  <dcterms:created xsi:type="dcterms:W3CDTF">2025-10-09T10:59:00Z</dcterms:created>
  <dcterms:modified xsi:type="dcterms:W3CDTF">2025-11-10T10:02:00Z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A10-0170/2025</vt:lpwstr>
  </property>
  <property fmtid="{D5CDD505-2E9C-101B-9397-08002B2CF9AE}" pid="4" name="&lt;Type&gt;">
    <vt:lpwstr>RR</vt:lpwstr>
  </property>
</Properties>
</file>