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6B4" w14:paraId="2835D1D7" w14:textId="77777777" w:rsidTr="0010095E">
        <w:trPr>
          <w:trHeight w:hRule="exact" w:val="1418"/>
        </w:trPr>
        <w:tc>
          <w:tcPr>
            <w:tcW w:w="6804" w:type="dxa"/>
            <w:shd w:val="clear" w:color="auto" w:fill="auto"/>
            <w:vAlign w:val="center"/>
          </w:tcPr>
          <w:p w14:paraId="3F853C6D" w14:textId="77777777" w:rsidR="00751A4A" w:rsidRPr="005236B4" w:rsidRDefault="00A16862" w:rsidP="0010095E">
            <w:pPr>
              <w:pStyle w:val="EPName"/>
            </w:pPr>
            <w:r w:rsidRPr="005236B4">
              <w:t>Európai Parlament</w:t>
            </w:r>
          </w:p>
          <w:p w14:paraId="756BFFA1" w14:textId="77777777" w:rsidR="00751A4A" w:rsidRPr="005236B4" w:rsidRDefault="005F1B17" w:rsidP="005F1B17">
            <w:pPr>
              <w:pStyle w:val="EPTerm"/>
              <w:rPr>
                <w:rStyle w:val="HideTWBExt"/>
                <w:noProof w:val="0"/>
                <w:vanish w:val="0"/>
                <w:color w:val="auto"/>
              </w:rPr>
            </w:pPr>
            <w:r w:rsidRPr="005236B4">
              <w:t>2024</w:t>
            </w:r>
            <w:r w:rsidR="00817416" w:rsidRPr="005236B4">
              <w:t>-202</w:t>
            </w:r>
            <w:r w:rsidRPr="005236B4">
              <w:t>9</w:t>
            </w:r>
          </w:p>
        </w:tc>
        <w:tc>
          <w:tcPr>
            <w:tcW w:w="2268" w:type="dxa"/>
            <w:shd w:val="clear" w:color="auto" w:fill="auto"/>
          </w:tcPr>
          <w:p w14:paraId="4B3AC21E" w14:textId="77777777" w:rsidR="00751A4A" w:rsidRPr="005236B4" w:rsidRDefault="00187494" w:rsidP="0010095E">
            <w:pPr>
              <w:pStyle w:val="EPLogo"/>
            </w:pPr>
            <w:r w:rsidRPr="005236B4">
              <w:rPr>
                <w:noProof/>
                <w:lang w:eastAsia="ja-JP"/>
              </w:rPr>
              <w:drawing>
                <wp:inline distT="0" distB="0" distL="0" distR="0" wp14:anchorId="48C4181A" wp14:editId="25DD6D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BFEFE3" w14:textId="77777777" w:rsidR="00D058B8" w:rsidRPr="005236B4" w:rsidRDefault="00D058B8" w:rsidP="004C5D52">
      <w:pPr>
        <w:pStyle w:val="LineTop"/>
      </w:pPr>
    </w:p>
    <w:p w14:paraId="65629594" w14:textId="77777777" w:rsidR="00680577" w:rsidRPr="005236B4" w:rsidRDefault="00A16862" w:rsidP="00680577">
      <w:pPr>
        <w:pStyle w:val="EPBodyTA1"/>
      </w:pPr>
      <w:r w:rsidRPr="005236B4">
        <w:t>ELFOGADOTT SZÖVEGEK</w:t>
      </w:r>
    </w:p>
    <w:p w14:paraId="12113EDD" w14:textId="77777777" w:rsidR="00D058B8" w:rsidRPr="005236B4" w:rsidRDefault="00D058B8" w:rsidP="00D058B8">
      <w:pPr>
        <w:pStyle w:val="LineBottom"/>
      </w:pPr>
    </w:p>
    <w:p w14:paraId="3AA54D92" w14:textId="7778D7AD" w:rsidR="00A16862" w:rsidRPr="005236B4" w:rsidRDefault="00A16862" w:rsidP="00A16862">
      <w:pPr>
        <w:pStyle w:val="ATHeading1"/>
      </w:pPr>
      <w:bookmarkStart w:id="0" w:name="TANumber"/>
      <w:r w:rsidRPr="005236B4">
        <w:t>P10_TA(2025)</w:t>
      </w:r>
      <w:bookmarkEnd w:id="0"/>
      <w:r w:rsidR="000A192E" w:rsidRPr="005236B4">
        <w:t>0</w:t>
      </w:r>
      <w:r w:rsidR="000A192E">
        <w:t>228</w:t>
      </w:r>
    </w:p>
    <w:p w14:paraId="729DB719" w14:textId="5DC27C1E" w:rsidR="00A16862" w:rsidRPr="005236B4" w:rsidRDefault="0093582C" w:rsidP="00A16862">
      <w:pPr>
        <w:pStyle w:val="ATHeading2"/>
      </w:pPr>
      <w:bookmarkStart w:id="1" w:name="title"/>
      <w:r w:rsidRPr="005236B4">
        <w:t>A Petíciós Bizottság 2024. évi tanácskozásai</w:t>
      </w:r>
      <w:bookmarkEnd w:id="1"/>
    </w:p>
    <w:p w14:paraId="27862ADA" w14:textId="77777777" w:rsidR="00A16862" w:rsidRPr="005236B4" w:rsidRDefault="00A16862" w:rsidP="00A16862">
      <w:pPr>
        <w:rPr>
          <w:i/>
          <w:vanish/>
        </w:rPr>
      </w:pPr>
      <w:r w:rsidRPr="005236B4">
        <w:rPr>
          <w:i/>
        </w:rPr>
        <w:fldChar w:fldCharType="begin"/>
      </w:r>
      <w:r w:rsidRPr="005236B4">
        <w:rPr>
          <w:i/>
        </w:rPr>
        <w:instrText xml:space="preserve"> TC"(</w:instrText>
      </w:r>
      <w:bookmarkStart w:id="2" w:name="DocNumber"/>
      <w:r w:rsidRPr="005236B4">
        <w:rPr>
          <w:i/>
        </w:rPr>
        <w:instrText>A10-0170/2025</w:instrText>
      </w:r>
      <w:bookmarkEnd w:id="2"/>
      <w:r w:rsidRPr="005236B4">
        <w:rPr>
          <w:i/>
        </w:rPr>
        <w:instrText xml:space="preserve"> - Előadó: Fredis Beleris)"\l3 \n&gt; \* MERGEFORMAT </w:instrText>
      </w:r>
      <w:r w:rsidRPr="005236B4">
        <w:rPr>
          <w:i/>
        </w:rPr>
        <w:fldChar w:fldCharType="end"/>
      </w:r>
    </w:p>
    <w:p w14:paraId="6126AEE8" w14:textId="77777777" w:rsidR="00A16862" w:rsidRPr="005236B4" w:rsidRDefault="00A16862" w:rsidP="00A16862">
      <w:pPr>
        <w:rPr>
          <w:vanish/>
        </w:rPr>
      </w:pPr>
      <w:bookmarkStart w:id="3" w:name="Commission"/>
      <w:r w:rsidRPr="005236B4">
        <w:rPr>
          <w:vanish/>
        </w:rPr>
        <w:t>Petíciós Bizottság</w:t>
      </w:r>
      <w:bookmarkEnd w:id="3"/>
    </w:p>
    <w:p w14:paraId="2410DF96" w14:textId="77777777" w:rsidR="00A16862" w:rsidRPr="005236B4" w:rsidRDefault="00A16862" w:rsidP="00A16862">
      <w:pPr>
        <w:rPr>
          <w:vanish/>
        </w:rPr>
      </w:pPr>
      <w:bookmarkStart w:id="4" w:name="PE"/>
      <w:r w:rsidRPr="005236B4">
        <w:rPr>
          <w:vanish/>
        </w:rPr>
        <w:t>PE773.363</w:t>
      </w:r>
      <w:bookmarkEnd w:id="4"/>
    </w:p>
    <w:p w14:paraId="365E4726" w14:textId="62DF5CFC" w:rsidR="00A16862" w:rsidRPr="005236B4" w:rsidRDefault="00A16862" w:rsidP="00A16862">
      <w:pPr>
        <w:pStyle w:val="ATHeading3"/>
      </w:pPr>
      <w:bookmarkStart w:id="5" w:name="Sujet"/>
      <w:r w:rsidRPr="005236B4">
        <w:t xml:space="preserve">Az Európai Parlament 2025. </w:t>
      </w:r>
      <w:r w:rsidR="0093582C" w:rsidRPr="005236B4">
        <w:t>október 9</w:t>
      </w:r>
      <w:r w:rsidRPr="005236B4">
        <w:t>-i állásfoglalása a Petíciós Bizottság 2024. évi tanácskozásairól</w:t>
      </w:r>
      <w:bookmarkEnd w:id="5"/>
      <w:r w:rsidRPr="005236B4">
        <w:t xml:space="preserve"> </w:t>
      </w:r>
      <w:bookmarkStart w:id="6" w:name="References"/>
      <w:r w:rsidRPr="005236B4">
        <w:t>(2025/2114(INI))</w:t>
      </w:r>
      <w:bookmarkEnd w:id="6"/>
    </w:p>
    <w:p w14:paraId="17A3438A" w14:textId="77777777" w:rsidR="00777622" w:rsidRPr="005236B4" w:rsidRDefault="00777622" w:rsidP="00777622">
      <w:pPr>
        <w:pStyle w:val="EPComma"/>
      </w:pPr>
      <w:r w:rsidRPr="005236B4">
        <w:rPr>
          <w:i/>
        </w:rPr>
        <w:t>Az Európai Parlament</w:t>
      </w:r>
      <w:r w:rsidRPr="005236B4">
        <w:t>,</w:t>
      </w:r>
    </w:p>
    <w:p w14:paraId="6D62CB57" w14:textId="77777777" w:rsidR="00777622" w:rsidRPr="005236B4" w:rsidRDefault="00777622" w:rsidP="0093582C">
      <w:pPr>
        <w:pStyle w:val="NormalHanging12a"/>
        <w:widowControl/>
      </w:pPr>
      <w:r w:rsidRPr="005236B4">
        <w:t>–</w:t>
      </w:r>
      <w:r w:rsidRPr="005236B4">
        <w:tab/>
        <w:t>tekintettel a Petíciós Bizottság tanácskozásairól szóló korábbi állásfoglalásaira,</w:t>
      </w:r>
    </w:p>
    <w:p w14:paraId="021FB585" w14:textId="77777777" w:rsidR="00777622" w:rsidRPr="005236B4" w:rsidRDefault="00777622" w:rsidP="0093582C">
      <w:pPr>
        <w:pStyle w:val="NormalHanging12a"/>
        <w:widowControl/>
      </w:pPr>
      <w:r w:rsidRPr="005236B4">
        <w:t>–</w:t>
      </w:r>
      <w:r w:rsidRPr="005236B4">
        <w:tab/>
        <w:t>tekintettel az Európai Unióról szóló szerződés 10. és 11. cikkére,</w:t>
      </w:r>
    </w:p>
    <w:p w14:paraId="15835036" w14:textId="77777777" w:rsidR="00777622" w:rsidRPr="005236B4" w:rsidRDefault="00777622" w:rsidP="0093582C">
      <w:pPr>
        <w:pStyle w:val="NormalHanging12a"/>
        <w:widowControl/>
      </w:pPr>
      <w:r w:rsidRPr="005236B4">
        <w:t>–</w:t>
      </w:r>
      <w:r w:rsidRPr="005236B4">
        <w:tab/>
        <w:t>tekintettel az Európai Unió működéséről szóló szerződés (EUMSZ) 20., 24. és 227. cikkére, amely szerint az uniós polgárok és lakosok petíciót nyújthatnak be az Európai Parlamenthez,</w:t>
      </w:r>
    </w:p>
    <w:p w14:paraId="69A8F77E" w14:textId="77777777" w:rsidR="00777622" w:rsidRPr="005236B4" w:rsidRDefault="00777622" w:rsidP="0093582C">
      <w:pPr>
        <w:pStyle w:val="NormalHanging12a"/>
        <w:widowControl/>
      </w:pPr>
      <w:r w:rsidRPr="005236B4">
        <w:t>–</w:t>
      </w:r>
      <w:r w:rsidRPr="005236B4">
        <w:tab/>
        <w:t>tekintettel az EUMSZ 228. cikkére az európai ombudsman szerepéről és feladatairól,</w:t>
      </w:r>
    </w:p>
    <w:p w14:paraId="122B7F62" w14:textId="77777777" w:rsidR="00777622" w:rsidRPr="005236B4" w:rsidRDefault="00777622" w:rsidP="0093582C">
      <w:pPr>
        <w:pStyle w:val="NormalHanging12a"/>
        <w:widowControl/>
      </w:pPr>
      <w:r w:rsidRPr="005236B4">
        <w:t>–</w:t>
      </w:r>
      <w:r w:rsidRPr="005236B4">
        <w:tab/>
        <w:t>tekintettel az Európai Unió Alapjogi Chartájának az Európai Parlamenthez benyújtható petícióhoz való jogról szóló 44. cikkére,</w:t>
      </w:r>
    </w:p>
    <w:p w14:paraId="29C28794" w14:textId="77777777" w:rsidR="00777622" w:rsidRPr="005236B4" w:rsidRDefault="00777622" w:rsidP="0093582C">
      <w:pPr>
        <w:pStyle w:val="NormalHanging12a"/>
        <w:widowControl/>
      </w:pPr>
      <w:r w:rsidRPr="005236B4">
        <w:t>–</w:t>
      </w:r>
      <w:r w:rsidRPr="005236B4">
        <w:tab/>
        <w:t>tekintettel az EUMSZ kötelezettségszegési eljárásra vonatkozó rendelkezéseire és különösen 258. és 260. cikkére,</w:t>
      </w:r>
    </w:p>
    <w:p w14:paraId="26D7FC5A" w14:textId="77777777" w:rsidR="00777622" w:rsidRPr="005236B4" w:rsidRDefault="00777622" w:rsidP="0093582C">
      <w:pPr>
        <w:pStyle w:val="NormalHanging12a"/>
        <w:widowControl/>
      </w:pPr>
      <w:r w:rsidRPr="005236B4">
        <w:t>–</w:t>
      </w:r>
      <w:r w:rsidRPr="005236B4">
        <w:tab/>
        <w:t>tekintettel eljárási szabályzata 55. cikkére és 233. cikkének (7) bekezdésére,</w:t>
      </w:r>
    </w:p>
    <w:p w14:paraId="46F8DC64" w14:textId="77777777" w:rsidR="00777622" w:rsidRPr="005236B4" w:rsidRDefault="00777622" w:rsidP="0093582C">
      <w:pPr>
        <w:pStyle w:val="NormalHanging12a"/>
        <w:widowControl/>
      </w:pPr>
      <w:r w:rsidRPr="005236B4">
        <w:t>–</w:t>
      </w:r>
      <w:r w:rsidRPr="005236B4">
        <w:tab/>
        <w:t>tekintettel a Petíciós Bizottság jelentésére (A10-0170/2025),</w:t>
      </w:r>
    </w:p>
    <w:p w14:paraId="542BBE0C" w14:textId="77777777" w:rsidR="00777622" w:rsidRPr="005236B4" w:rsidRDefault="00777622" w:rsidP="0093582C">
      <w:pPr>
        <w:pStyle w:val="NormalHanging12a"/>
        <w:widowControl/>
      </w:pPr>
      <w:r w:rsidRPr="005236B4">
        <w:t>A.</w:t>
      </w:r>
      <w:r w:rsidRPr="005236B4">
        <w:tab/>
        <w:t xml:space="preserve">mivel a 2024. június 6–9-i európai választásokat és az új Parlament 2024. július 16-i megalakulását követően a Petíciós Bizottság 2024. július 23-án tartotta alakuló ülését; </w:t>
      </w:r>
    </w:p>
    <w:p w14:paraId="2D26A468" w14:textId="77777777" w:rsidR="00777622" w:rsidRPr="005236B4" w:rsidRDefault="00777622" w:rsidP="0093582C">
      <w:pPr>
        <w:pStyle w:val="NormalHanging12a"/>
        <w:widowControl/>
      </w:pPr>
      <w:r w:rsidRPr="005236B4">
        <w:t>B.</w:t>
      </w:r>
      <w:r w:rsidRPr="005236B4">
        <w:tab/>
        <w:t xml:space="preserve">mivel a Petíciós Bizottság tanácskozásairól szóló éves jelentés célja, hogy elemzést nyújtson a 2024-ben beérkezett petíciókról és a többi intézménnyel fenntartott kapcsolatokról, </w:t>
      </w:r>
      <w:proofErr w:type="gramStart"/>
      <w:r w:rsidRPr="005236B4">
        <w:t>valamint</w:t>
      </w:r>
      <w:proofErr w:type="gramEnd"/>
      <w:r w:rsidRPr="005236B4">
        <w:t xml:space="preserve"> hogy pontos képet adjon a 2024 során elért célkitűzésekről;</w:t>
      </w:r>
    </w:p>
    <w:p w14:paraId="3E7DFFA6" w14:textId="01612506" w:rsidR="00777622" w:rsidRPr="005236B4" w:rsidRDefault="00777622" w:rsidP="0093582C">
      <w:pPr>
        <w:pStyle w:val="NormalHanging12a"/>
        <w:widowControl/>
      </w:pPr>
      <w:r w:rsidRPr="005236B4">
        <w:t>C.</w:t>
      </w:r>
      <w:r w:rsidRPr="005236B4">
        <w:tab/>
        <w:t>mivel 2024-ben a Parlamenthez 1</w:t>
      </w:r>
      <w:r w:rsidR="0093582C" w:rsidRPr="005236B4">
        <w:t> </w:t>
      </w:r>
      <w:r w:rsidRPr="005236B4">
        <w:t>518 petíció érkezett, ami a 2023-ban benyújtott 1</w:t>
      </w:r>
      <w:r w:rsidR="0093582C" w:rsidRPr="005236B4">
        <w:t> </w:t>
      </w:r>
      <w:r w:rsidRPr="005236B4">
        <w:t>452 petícióhoz képest 4,3%-os, a 2022-ben benyújtott 1</w:t>
      </w:r>
      <w:r w:rsidR="0093582C" w:rsidRPr="005236B4">
        <w:t> </w:t>
      </w:r>
      <w:r w:rsidRPr="005236B4">
        <w:t xml:space="preserve">217 petícióhoz képest pedig 19,8%-os növekedést jelent; mivel a beérkezett petíciók teljes száma továbbra is érzékelhetően </w:t>
      </w:r>
      <w:r w:rsidRPr="005236B4">
        <w:lastRenderedPageBreak/>
        <w:t>alacsonyabb, mint a 2013-ban és 2014-ben elért csúcsértékek, amikor 891, illetve 715 petíció érkezett a Parlamenthez;</w:t>
      </w:r>
    </w:p>
    <w:p w14:paraId="02C5634B" w14:textId="77777777" w:rsidR="00777622" w:rsidRPr="005236B4" w:rsidRDefault="00777622" w:rsidP="0093582C">
      <w:pPr>
        <w:pStyle w:val="NormalHanging12a"/>
        <w:widowControl/>
      </w:pPr>
      <w:r w:rsidRPr="005236B4">
        <w:t>D.</w:t>
      </w:r>
      <w:r w:rsidRPr="005236B4">
        <w:tab/>
        <w:t>mivel 2024-ben 15 661 felhasználó támogatott a Parlament petíciós portálján benyújtott petíciókat, ami jelentős csökkenést jelent a 2023. évi 26 331 és a 2022. évi 22 441 felhasználóhoz képest; mivel a támogatást jelző kattintások száma 2024-ben szintén 17 745-re csökkent, szemben a 2023. évi 29 287-tel és a 2022. évi 27 927-tel;</w:t>
      </w:r>
    </w:p>
    <w:p w14:paraId="697EDB82" w14:textId="77777777" w:rsidR="00777622" w:rsidRPr="005236B4" w:rsidRDefault="00777622" w:rsidP="0093582C">
      <w:pPr>
        <w:pStyle w:val="NormalHanging12a"/>
        <w:widowControl/>
      </w:pPr>
      <w:r w:rsidRPr="005236B4">
        <w:t>E.</w:t>
      </w:r>
      <w:r w:rsidRPr="005236B4">
        <w:tab/>
        <w:t>mivel a petíciók száma összességében továbbra is szerény az EU teljes lakosságához képest, ami rámutat arra, hogy még fokozni kell az erőfeszítéseket annak érdekében, hogy a polgárok jobban tisztában legyenek petíciós jogukkal, valamint a petíciók lehetséges hasznával olyan eszközökként, amelyekkel felhívhatják az intézmények és a tagállamok figyelmét a polgárokat közvetlenül érintő ügyekre; mivel a Petíciós Bizottság, amely nagyon népszerű a fiatalok körében az olyan rendezvényeken, mint a strasbourgi Európai Ifjúsági Rendezvény (EYE), hatékony eszköz e jog népszerűsítésére és annak tudatosítására a polgárok, különösen a fiatalok körében; mivel ezért alapvető fontosságú a Petíciós Bizottság aktív és rendszeres jelenlétének biztosítása az EYE minden rendezvényén annak érdekében, hogy növeljék láthatóságát és hozzáférhetőségét; mivel a petíciós jog gyakorlása során a polgárok azt várják az uniós intézményektől, hogy problémáik megoldása révén biztosítsanak hozzáadott értéket; mivel a petíciós jognak olyan alapelveket is elő kell mozdítania, mint az európai intézmények megfelelő ügyintézése, a véleménynyilvánítás szabadsága és a demokratikus véleménynyilvánítás tiszteletben tartása;</w:t>
      </w:r>
    </w:p>
    <w:p w14:paraId="42B7EAF6" w14:textId="77777777" w:rsidR="00777622" w:rsidRPr="005236B4" w:rsidRDefault="00777622" w:rsidP="0093582C">
      <w:pPr>
        <w:pStyle w:val="NormalHanging12a"/>
        <w:widowControl/>
      </w:pPr>
      <w:r w:rsidRPr="005236B4">
        <w:t>F.</w:t>
      </w:r>
      <w:r w:rsidRPr="005236B4">
        <w:tab/>
        <w:t>mivel a petíciók elfogadhatóságának kritériumait az EUMSZ 227. cikke és a Parlament eljárási szabályzata 232. cikkének (1) bekezdése határozza meg, amelyek előírják, hogy a petíciókat uniós polgárnak vagy olyan természetes vagy jogi személynek kell benyújtania – akár egyénileg, akár másokkal közösen –, aki vagy amely valamely tagállamban lakóhellyel, illetve létesítő okirat szerinti székhellyel rendelkezik, és a petíció tárgya az EU tevékenységi körébe tartozik, valamint közvetlenül érinti a petíció benyújtóját; ez utóbbi feltétel értelmezése pedig rendkívül tág;</w:t>
      </w:r>
    </w:p>
    <w:p w14:paraId="24BDBCF4" w14:textId="1F8BC290" w:rsidR="00777622" w:rsidRPr="005236B4" w:rsidRDefault="00777622" w:rsidP="0093582C">
      <w:pPr>
        <w:pStyle w:val="NormalHanging12a"/>
        <w:widowControl/>
      </w:pPr>
      <w:r w:rsidRPr="005236B4">
        <w:t>G.</w:t>
      </w:r>
      <w:r w:rsidRPr="005236B4">
        <w:tab/>
        <w:t>mivel a 2024-ben benyújtott 1</w:t>
      </w:r>
      <w:r w:rsidR="0093582C" w:rsidRPr="005236B4">
        <w:t> </w:t>
      </w:r>
      <w:r w:rsidRPr="005236B4">
        <w:t xml:space="preserve">518 petícióból 611-et elfogadhatatlannak nyilvánítottak, 31-et pedig visszavontak; mivel a 2024-ben benyújtott elfogadhatatlan petíciók magas és növekvő aránya (40,25%) megerősíti, hogy még mindig széles körben hiányoznak az ismeretek az EU tevékenységi körével kapcsolatban; mivel az elfogadhatatlan petíciók számának csökkentése érdekében további erőfeszítésekre van szükség az EU tevékenységi területeinek egyértelműbbé tétele érdekében; </w:t>
      </w:r>
    </w:p>
    <w:p w14:paraId="1E06B176" w14:textId="77777777" w:rsidR="00777622" w:rsidRPr="005236B4" w:rsidRDefault="00777622" w:rsidP="0093582C">
      <w:pPr>
        <w:pStyle w:val="NormalHanging12a"/>
        <w:widowControl/>
      </w:pPr>
      <w:r w:rsidRPr="005236B4">
        <w:t>H.</w:t>
      </w:r>
      <w:r w:rsidRPr="005236B4">
        <w:tab/>
        <w:t>mivel a petíciós jog az uniós polgárok alapvető joga, amely nyílt, demokratikus és átlátható mechanizmust biztosít a polgároknak és a lakosoknak egyaránt arra, hogy közvetlenül megszólítsák választott képviselőiket; mivel sok fogyatékossággal élő személy az akadálymentes formátumok korlátozott elérhetősége miatt nem fér hozzá egyenlő mértékben az információkhoz és a kommunikációhoz, és mivel a nemzeti jelnyelveket nem ismerik el az EU többnyelvűségi politikájának részeként; mivel ez az alapvető fontosságú eszköz lehetővé teszi a polgárok számára, hogy aktívan és ténylegesen részt vegyenek az Unió életében; mivel a petíciók révén az uniós polgárok panaszt tehetnek, ha az uniós jogszabályok alkalmazásának elmulasztását tapasztalják, és segíthetnek felderíteni az uniós jog megsértését, a tagállamok szuverenitásával és az uniós szerződések alkalmazásával összhangban;</w:t>
      </w:r>
    </w:p>
    <w:p w14:paraId="01D2C706" w14:textId="77777777" w:rsidR="00777622" w:rsidRPr="005236B4" w:rsidRDefault="00777622" w:rsidP="0093582C">
      <w:pPr>
        <w:pStyle w:val="NormalHanging12a"/>
        <w:widowControl/>
      </w:pPr>
      <w:r w:rsidRPr="005236B4">
        <w:lastRenderedPageBreak/>
        <w:t>I.</w:t>
      </w:r>
      <w:r w:rsidRPr="005236B4">
        <w:tab/>
        <w:t>mivel a Parlament már régóta az élen jár a petíciós eljárás nemzetközi fejlesztésében, és Európa legnyíltabb és legátláthatóbb petíciós eljárásával rendelkezik, amely lehetővé teszi a petíciók benyújtóinak teljes részvételét az Európai Unió tevékenységeiben; mivel az online petíciós platformot intuitívabbá lehetne tenni annak érdekében, hogy a felhasználók számára könnyebb legyen a navigáció; mivel a mesterséges intelligencia alkalmazása egyszerűsíthetné a keresést, és javíthatná a petíciók hozzáférhetőségét azáltal, hogy a jelenlegi formátumnál fejlettebb funkciókat kínál;</w:t>
      </w:r>
    </w:p>
    <w:p w14:paraId="0E29EBC7" w14:textId="77777777" w:rsidR="00777622" w:rsidRPr="005236B4" w:rsidRDefault="00777622" w:rsidP="0093582C">
      <w:pPr>
        <w:pStyle w:val="NormalHanging12a"/>
        <w:widowControl/>
      </w:pPr>
      <w:r w:rsidRPr="005236B4">
        <w:t>J.</w:t>
      </w:r>
      <w:r w:rsidRPr="005236B4">
        <w:tab/>
        <w:t>mivel a Petíciós Bizottság hangsúlyozza a fokozott átláthatóság fontosságát a petíciók kezelése során, beleértve a petíciók benyújtóinak adott rendszeres visszajelzését az eljárás kulcsfontosságú szakaszaiban, valamint az uniós intézmények nyomonkövetési intézkedéseinek egyértelmű ütemtervét;</w:t>
      </w:r>
    </w:p>
    <w:p w14:paraId="7946E66B" w14:textId="77777777" w:rsidR="00777622" w:rsidRPr="005236B4" w:rsidRDefault="00777622" w:rsidP="0093582C">
      <w:pPr>
        <w:pStyle w:val="NormalHanging12a"/>
        <w:widowControl/>
      </w:pPr>
      <w:r w:rsidRPr="005236B4">
        <w:t>K.</w:t>
      </w:r>
      <w:r w:rsidRPr="005236B4">
        <w:tab/>
        <w:t>mivel a Petíciós Bizottság tevékenységei a petíciók benyújtóitól kapott anyagokon és információkon alapulnak; mivel ezek az információk, továbbá az Európai Bizottság, a tagállamok és más szervek szakértelme alapvető fontosságúak a Petíciós Bizottság munkája szempontjából; mivel az elfogadható petíciók gyakran értékes hozadékkal szolgálnak a többi parlamenti bizottság munkájához; mivel a petíciók ezért a jogalkotási folyamatban is szerepet játszhatnak, konkrét visszajelzést adva az uniós szakpolitikák hatásáról és lehetővé téve, hogy a szakpolitikák kezeljék a felmerülő igényeket;</w:t>
      </w:r>
    </w:p>
    <w:p w14:paraId="30027F66" w14:textId="77777777" w:rsidR="00777622" w:rsidRPr="005236B4" w:rsidRDefault="00777622" w:rsidP="0093582C">
      <w:pPr>
        <w:pStyle w:val="NormalHanging12a"/>
        <w:widowControl/>
      </w:pPr>
      <w:r w:rsidRPr="005236B4">
        <w:t>L.</w:t>
      </w:r>
      <w:r w:rsidRPr="005236B4">
        <w:tab/>
        <w:t>mivel a petíciós jog fokozza a Parlament válaszadási képességét az uniós alapvető jogok tiszteletben tartásával és az uniós jognak való megfeleléssel kapcsolatos panaszokra és aggályokra a tagállamokban; mivel a petíciók értékes információforrást jelenthetnek abból a szempontból, hogy feltárják az uniós jog helytelen alkalmazását vagy megsértését, és lehetővé teszik a Parlament és más intézmények számára az uniós jog átültetésének és alkalmazásának, valamint az uniós polgárok és lakosok jogaira gyakorolt hatásának értékelését;</w:t>
      </w:r>
    </w:p>
    <w:p w14:paraId="6ADE2E84" w14:textId="77777777" w:rsidR="00777622" w:rsidRPr="005236B4" w:rsidRDefault="00777622" w:rsidP="0093582C">
      <w:pPr>
        <w:pStyle w:val="NormalHanging12a"/>
        <w:widowControl/>
      </w:pPr>
      <w:r w:rsidRPr="005236B4">
        <w:t>M.</w:t>
      </w:r>
      <w:r w:rsidRPr="005236B4">
        <w:tab/>
        <w:t>mivel minden petíció vizsgálata alapos, hatékony és átlátható módon történik; mivel minden petíció benyújtójának joga van ahhoz, hogy észszerű határidőn belül, anyanyelvén vagy a petíció nyelvén tájékoztató választ kapjon a Petíciós Bizottságnak a petíció elfogadhatóságáról hozott határozatáról és az azt követő lépésekről; mivel a 2024. március 19-én megvitatott 1056/2016. számú petíció arra kéri a Parlamentet, hogy engedélyezze a petíciók benyújtását az EU-ban használt nemzeti jelnyelveken;</w:t>
      </w:r>
    </w:p>
    <w:p w14:paraId="68AB5C36" w14:textId="77777777" w:rsidR="00777622" w:rsidRPr="005236B4" w:rsidRDefault="00777622" w:rsidP="0093582C">
      <w:pPr>
        <w:pStyle w:val="NormalHanging12a"/>
        <w:widowControl/>
      </w:pPr>
      <w:r w:rsidRPr="005236B4">
        <w:t>N.</w:t>
      </w:r>
      <w:r w:rsidRPr="005236B4">
        <w:tab/>
        <w:t>mivel a Petíciós Bizottság rendkívül fontosnak tartja a petíciók vizsgálatát és nyilvános megvitatását az ülésein; mivel a petíciók benyújtóinak joguk van petíciójuk ismertetéséhez és a vita során történő felszólaláshoz, ezáltal aktívan hozzájárulva a Petíciós Bizottság munkájához; mivel 2024-ben a Petíciós Bizottság az alakuló ülésén kívül nyolc bizottsági ülést tartott, amelyeken 106 petíciót vitattak meg 106 jelen lévő petícióbenyújtóval, akik felszólalóként aktívan részt is vettek az üléseken;</w:t>
      </w:r>
    </w:p>
    <w:p w14:paraId="10FD70F1" w14:textId="77777777" w:rsidR="00777622" w:rsidRPr="005236B4" w:rsidRDefault="00777622" w:rsidP="0093582C">
      <w:pPr>
        <w:pStyle w:val="NormalHanging12a"/>
        <w:widowControl/>
      </w:pPr>
      <w:r w:rsidRPr="005236B4">
        <w:t>O.</w:t>
      </w:r>
      <w:r w:rsidRPr="005236B4">
        <w:tab/>
        <w:t>mivel a 2024-ben benyújtott petíciókban felvetett fő aggályok a környezetvédelmet, az alapvető jogokat, a jogállamiságot (többek között a megfelelő ügyintézéshez való jogot, a dokumentumokhoz való hozzáférés jogát, a véleménynyilvánítás és a tájékozódás szabadságát), a belső piacot, az igazságügyet, a fogyasztói jogokat és az egészségügyet érintették;</w:t>
      </w:r>
    </w:p>
    <w:p w14:paraId="65E2818D" w14:textId="77777777" w:rsidR="00777622" w:rsidRPr="005236B4" w:rsidRDefault="00777622" w:rsidP="0093582C">
      <w:pPr>
        <w:pStyle w:val="NormalHanging12a"/>
        <w:widowControl/>
      </w:pPr>
      <w:r w:rsidRPr="005236B4">
        <w:t>P.</w:t>
      </w:r>
      <w:r w:rsidRPr="005236B4">
        <w:tab/>
        <w:t xml:space="preserve">mivel a Petíciós Bizottság ülései napirendjének elfogadásakor az uniós szintű megvitatás szempontjából nagyfokú relevanciával bíró petíciók és témák megvitatására </w:t>
      </w:r>
      <w:r w:rsidRPr="005236B4">
        <w:lastRenderedPageBreak/>
        <w:t>törekszik, valamint figyelembe veszi, hogy fenn kell tartani a beérkezett petícióknak megfelelő kiegyensúlyozott földrajzi lefedettséget;</w:t>
      </w:r>
    </w:p>
    <w:p w14:paraId="3D90DA4F" w14:textId="77777777" w:rsidR="00777622" w:rsidRPr="005236B4" w:rsidRDefault="00777622" w:rsidP="0093582C">
      <w:pPr>
        <w:pStyle w:val="NormalHanging12a"/>
        <w:widowControl/>
      </w:pPr>
      <w:r w:rsidRPr="005236B4">
        <w:t>Q.</w:t>
      </w:r>
      <w:r w:rsidRPr="005236B4">
        <w:tab/>
        <w:t>mivel a Parlamenthez 2024-ben benyújtott petíciók 82%-át a Parlament petíciós portálján keresztül nyújtották be, ami közel azonos a 2023. évi 82,4%-kal, megerősítve, hogy a portál messze a legszélesebb körben használt csatorna a polgárok számára a petíciók Parlamenthez történő benyújtására;</w:t>
      </w:r>
    </w:p>
    <w:p w14:paraId="7913EB9A" w14:textId="77777777" w:rsidR="00777622" w:rsidRPr="005236B4" w:rsidRDefault="00777622" w:rsidP="0093582C">
      <w:pPr>
        <w:pStyle w:val="NormalHanging12a"/>
        <w:widowControl/>
      </w:pPr>
      <w:r w:rsidRPr="005236B4">
        <w:t>R.</w:t>
      </w:r>
      <w:r w:rsidRPr="005236B4">
        <w:tab/>
        <w:t>mivel az átdolgozott petíciós portál automatikusan közzéteszi a petíciók elfogadására és az állapotváltozásokra vonatkozó információkat, a további információkat (pl. ország, témák) és az összefoglalókat az EU mind a 24 hivatalos nyelvén; mivel 2024-ben ismét minden petíciót időben, az elfogadását követő néhány napon belül elkészítettek és közzétettek, és a petíciós portál használatával és tartalmával kapcsolatos minden belső és külső támogatási megkeresést sikeresen, időben és az EU valamely hivatalos nyelvén megválaszoltak;</w:t>
      </w:r>
    </w:p>
    <w:p w14:paraId="0C426A29" w14:textId="77777777" w:rsidR="00777622" w:rsidRPr="005236B4" w:rsidRDefault="00777622" w:rsidP="0093582C">
      <w:pPr>
        <w:pStyle w:val="NormalHanging12a"/>
        <w:widowControl/>
      </w:pPr>
      <w:r w:rsidRPr="005236B4">
        <w:t>S.</w:t>
      </w:r>
      <w:r w:rsidRPr="005236B4">
        <w:tab/>
        <w:t>mivel 2024-ben az európai választások miatti szünetelési időszak miatt nem került sor tényfeltáró látogatásokra azon petíciók esetében, amelyekkel kapcsolatban vizsgálat volt folyamatban; mivel a bizottság elvégezte a nyomonkövetési értékelést, és két jelentést fogadott el a 2023-ban tett korábbi tényfeltáró látogatásokról; mivel 2025 első felére két tényfeltáró látogatást ütemeztek be;</w:t>
      </w:r>
    </w:p>
    <w:p w14:paraId="6AEF5A11" w14:textId="77777777" w:rsidR="00777622" w:rsidRPr="005236B4" w:rsidRDefault="00777622" w:rsidP="0093582C">
      <w:pPr>
        <w:pStyle w:val="NormalHanging12a"/>
        <w:widowControl/>
      </w:pPr>
      <w:r w:rsidRPr="005236B4">
        <w:t>T.</w:t>
      </w:r>
      <w:r w:rsidRPr="005236B4">
        <w:tab/>
        <w:t xml:space="preserve">mivel 2024. november 4-én a Petíciós Bizottság meghívott bizottságként részt vett Maroš Šefčovič, a kereskedelemért és a gazdasági biztonságért, valamint az intézményközi kapcsolatokért és az átláthatóságért felelős biztosjelölt megerősítő meghallgatásán; mivel a Petíciós Bizottság által a megerősítő meghallgatás keretében hozzá intézett írásbeli és szóbeli kérdésekre válaszul Maroš Šefčovič számos kötelezettségvállalást tett a petíciós eljárással és a Bizottság végrehajtási intézkedéseinek átláthatóságával kapcsolatban; </w:t>
      </w:r>
    </w:p>
    <w:p w14:paraId="7B5F40B3" w14:textId="77777777" w:rsidR="00777622" w:rsidRPr="005236B4" w:rsidRDefault="00777622" w:rsidP="0093582C">
      <w:pPr>
        <w:pStyle w:val="NormalHanging12a"/>
        <w:widowControl/>
      </w:pPr>
      <w:r w:rsidRPr="005236B4">
        <w:t>U.</w:t>
      </w:r>
      <w:r w:rsidRPr="005236B4">
        <w:tab/>
        <w:t xml:space="preserve">mivel a Parlament eljárási szabályzata értelmében a Petíciós Bizottság felel az európai ombudsmannal való kapcsolattartásért, aki kivizsgálja az Európai Unió intézményeinél és szerveinél elkövetett adminisztratív visszásságokkal kapcsolatban benyújtott panaszokat; mivel 2024-ben a Petíciós Bizottság kulcsszerepet játszott az európai ombudsman megválasztásának megszervezésében azáltal, hogy a Parlament eljárási szabályzatának 237. cikke értelmében nyilvános meghallgatást tartott a jelöltekről; mivel 2024. december 17-én Teresa Anjinhot választották európai ombudsmannak a 2024–2029-es parlamenti ciklusra; </w:t>
      </w:r>
    </w:p>
    <w:p w14:paraId="1041FD0E" w14:textId="77777777" w:rsidR="00777622" w:rsidRPr="005236B4" w:rsidRDefault="00777622" w:rsidP="0093582C">
      <w:pPr>
        <w:pStyle w:val="NormalHanging12a"/>
        <w:widowControl/>
      </w:pPr>
      <w:r w:rsidRPr="005236B4">
        <w:t>V.</w:t>
      </w:r>
      <w:r w:rsidRPr="005236B4">
        <w:tab/>
        <w:t xml:space="preserve">mivel 2024-ben a Petíciós Bizottság és az európai ombudsman továbbra is konstruktív kapcsolatot tartott fenn egymással, amint azt a korábbi európai ombudsman, Emily O’Reilly bizottság ülésein való aktív részvétele is mutatja; mivel az ombudsman a Petíciós Bizottság 2024. szeptember 4-i ülésén ismertette 2023. évi éves jelentését, 2024. december 2-án pedig részt vett a bizottság fogyatékossággal élő személyek jogairól szóló éves munkaértekezletén; </w:t>
      </w:r>
    </w:p>
    <w:p w14:paraId="4E95B676" w14:textId="77777777" w:rsidR="00777622" w:rsidRPr="005236B4" w:rsidRDefault="00777622" w:rsidP="0093582C">
      <w:pPr>
        <w:pStyle w:val="NormalHanging12a"/>
        <w:widowControl/>
      </w:pPr>
      <w:r w:rsidRPr="005236B4">
        <w:t>W.</w:t>
      </w:r>
      <w:r w:rsidRPr="005236B4">
        <w:tab/>
        <w:t>mivel a Petíciós Bizottság tagja az Ombudsmanok Európai Hálózatának, amelynek az európai ombudsman, illetve a tagállamok, a tagjelölt országok és az Európai Gazdasági Térség más országainak nemzeti és regionális ombudsmanjai, valamint hasonló szervei is tagjai, és amely az európai uniós jogra és szakpolitikákra vonatkozó információk cseréjének előmozdítására és a bevált gyakorlatok megosztására törekszik;</w:t>
      </w:r>
    </w:p>
    <w:p w14:paraId="6085A56E" w14:textId="77777777" w:rsidR="00777622" w:rsidRPr="005236B4" w:rsidRDefault="00777622" w:rsidP="0093582C">
      <w:pPr>
        <w:pStyle w:val="NormalHanging12a"/>
        <w:widowControl/>
      </w:pPr>
      <w:r w:rsidRPr="005236B4">
        <w:lastRenderedPageBreak/>
        <w:t>1.</w:t>
      </w:r>
      <w:r w:rsidRPr="005236B4">
        <w:tab/>
        <w:t>emlékeztet arra, hogy a Petíciós Bizottság fontos szerepet játszik az uniós polgárok és lakosok jogainak védelmében és előmozdításában, és hangsúlyozza, hogy biztosítania kell, hogy a petíciók benyújtóinak aggályait és panaszait időben, hatékonyan és megfelelő módon kivizsgálják, és hogy a petíciók benyújtóit megfelelően tájékoztatják a petícióik nyomán hozott intézkedésekről és az elért előrelépésekről; sajnálja azonban, hogy a gyakorlatban ez nem mindig van így; emlékeztet arra, hogy minden petíciót nyílt, demokratikus és átlátható petíciós eljárás keretében kell feldolgozni, amelyet a bizottságnak következetesen be kell tartania; javasolja a belső eljárások felülvizsgálatát annak biztosítása érdekében, hogy a hasonló vagy ismétlődő petíciókat hatékonyabban csoportosítsák és kezeljék, ugyanakkor védjék az egyes petíciók benyújtóinak egyéni meghallgatáshoz való jogát;</w:t>
      </w:r>
    </w:p>
    <w:p w14:paraId="022861A1" w14:textId="77777777" w:rsidR="00777622" w:rsidRPr="005236B4" w:rsidRDefault="00777622" w:rsidP="0093582C">
      <w:pPr>
        <w:pStyle w:val="NormalHanging12a"/>
        <w:widowControl/>
      </w:pPr>
      <w:r w:rsidRPr="005236B4">
        <w:t>2.</w:t>
      </w:r>
      <w:r w:rsidRPr="005236B4">
        <w:tab/>
        <w:t>újfent hangsúlyozza az Unió tevékenységi köreiről szóló folyamatos nyilvános vita fontosságát, amelynek célja a polgárok megfelelő tájékoztatása az Unió hatásköreinek terjedelméről és a döntéshozatal különböző szintjeiről az elfogadhatatlan petíciók számának csökkentése érdekében; megismétli a meglévő uniós kommunikációs szolgálatok aktív bevonásával folytatott szélesebb körű, az egész Unióra kiterjedő figyelemfelkeltő kampányokra irányuló felhívását – különösen a távoli régiókban, valamint a polgárok alulreprezentált csoportjai, többek között a fiatalok, a nők, a vidéki és a szigeti közösségek körében – annak elősegítése érdekében, hogy a polgárok jobban tisztában legyenek petíciós jogukkal, valamint az Unió felelősségi köreivel és a Petíciós Bizottság hatásköreivel; felszólít a petíciók benyújtói számára érthetőbb, zsargonmentes kommunikációra, valamint a Petíciós Bizottság szerepének és korlátainak jobb nyilvános elmagyarázására, különösen a kiszolgáltatott helyzetben lévő vagy első alkalommal eljáró felhasználók esetében;</w:t>
      </w:r>
    </w:p>
    <w:p w14:paraId="623609D8" w14:textId="77777777" w:rsidR="00777622" w:rsidRPr="005236B4" w:rsidRDefault="00777622" w:rsidP="0093582C">
      <w:pPr>
        <w:pStyle w:val="NormalHanging12a"/>
        <w:widowControl/>
      </w:pPr>
      <w:r w:rsidRPr="005236B4">
        <w:t>3.</w:t>
      </w:r>
      <w:r w:rsidRPr="005236B4">
        <w:tab/>
        <w:t>emlékeztet arra, hogy a Petíciós Bizottság európai dimenzióval rendelkezik, amelyhez mind a 27 tagállam polgárai fordulhatnak az uniós szerződések és az uniós jog hatálya alá tartozó kérdésekben; úgy véli, hogy a Petíciós Bizottságnak – tiszteletben tartva a szuverenitást és a nemzeti sajátosságokat – különös felelőssége, hogy ezt az európai dimenziót fenntartsa, valamint bemutassa az európai egység és integráció hozzáadott értékét a polgárok számára;</w:t>
      </w:r>
    </w:p>
    <w:p w14:paraId="4E2491B1" w14:textId="77777777" w:rsidR="00777622" w:rsidRPr="005236B4" w:rsidRDefault="00777622" w:rsidP="0093582C">
      <w:pPr>
        <w:pStyle w:val="NormalHanging12a"/>
        <w:widowControl/>
      </w:pPr>
      <w:r w:rsidRPr="005236B4">
        <w:t>4.</w:t>
      </w:r>
      <w:r w:rsidRPr="005236B4">
        <w:tab/>
        <w:t>rámutat arra, hogy a petíciók egyedülálló lehetőséget jelentenek a Parlament és a többi uniós intézmény számára arra, hogy közvetlen kapcsolatba lépjenek az uniós polgárokkal, és rendszeres párbeszédet tartsanak fenn velük, különösen azokban az esetekben, amikor az uniós jog helytelen alkalmazása vagy megsértése érinti őket; hangsúlyozza, hogy megerősített együttműködésre van szükség az uniós intézmények és a nemzeti, regionális és helyi hatóságok között az uniós jog végrehajtásával és betartásával kapcsolatos vizsgálatok terén; úgy véli, hogy ez az együttműködés elengedhetetlen a polgárok uniós jog alkalmazásával kapcsolatos aggályainak kezeléséhez és megoldásához, és hozzájárul az Unió demokratikus legitimitásának és elszámoltathatóságának megerősítéséhez; kéri ezért, hogy a tagállamok képviselői érdemben vegyenek részt a bizottsági üléseken, és kellő időben és részletesen válaszoljanak a Petíciós Bizottság által a nemzeti hatóságokhoz intézett, pontosításra vagy tájékoztatásra irányuló kérelmekre, biztosítva a petíciók megfelelő nyomon követesét;</w:t>
      </w:r>
    </w:p>
    <w:p w14:paraId="6BF60532" w14:textId="77777777" w:rsidR="00777622" w:rsidRPr="005236B4" w:rsidRDefault="00777622" w:rsidP="0093582C">
      <w:pPr>
        <w:pStyle w:val="NormalHanging12a"/>
        <w:widowControl/>
      </w:pPr>
      <w:r w:rsidRPr="005236B4">
        <w:t>5.</w:t>
      </w:r>
      <w:r w:rsidRPr="005236B4">
        <w:tab/>
        <w:t xml:space="preserve">emlékeztet, hogy a Petíciós Bizottsághoz 2024 elején jelentős számú petíció érkezett, amelyek a spanyolországi jogállamiságot fenyegető veszélyek miatti aggodalomnak adnak hangot; tudomásul veszi a 2024 januárjában tartott közös vitát több olyan </w:t>
      </w:r>
      <w:r w:rsidRPr="005236B4">
        <w:lastRenderedPageBreak/>
        <w:t>petícióról, amelyek a spanyolországi fejleményekkel foglalkoznak, különösen a kormány amnesztiatörvényre irányuló javaslatával és annak a spanyol és az uniós jogi keretre gyakorolt lehetséges hatásaival kapcsolatban;</w:t>
      </w:r>
    </w:p>
    <w:p w14:paraId="58323D75" w14:textId="77777777" w:rsidR="00777622" w:rsidRPr="005236B4" w:rsidRDefault="00777622" w:rsidP="0093582C">
      <w:pPr>
        <w:pStyle w:val="NormalHanging12a"/>
        <w:widowControl/>
      </w:pPr>
      <w:r w:rsidRPr="005236B4">
        <w:t>6.</w:t>
      </w:r>
      <w:r w:rsidRPr="005236B4">
        <w:tab/>
        <w:t xml:space="preserve">emlékeztet arra, hogy a petíciók jelentős mértékben hozzájárulnak az Európai Bizottság Szerződések őreként betöltött szerepének gyakorlásához azáltal, hogy további eszközt nyújtanak a polgárok számára arra, hogy bejelentsék az uniós jog állítólagos megsértéseit; hangsúlyozza, hogy a Petíciós Bizottság és az Európai Bizottság közötti konstruktív együttműködés – az Európai Bizottság által a petíciókban felvetett kérdések mélyreható vizsgálatai alapján időben megadott részletes válaszokon keresztül – elengedhetetlen a petíciók sikeres kezelésének biztosításához: megismétli, hogy a petíciók benyújtóinak továbbított válaszoknak a jobb ismeretek átadása érdekében egyértelműnek, egyszerűnek és empatikusnak kell lenniük; </w:t>
      </w:r>
    </w:p>
    <w:p w14:paraId="1A6C99BB" w14:textId="77777777" w:rsidR="00777622" w:rsidRPr="005236B4" w:rsidRDefault="00777622" w:rsidP="0093582C">
      <w:pPr>
        <w:pStyle w:val="NormalHanging12a"/>
        <w:widowControl/>
      </w:pPr>
      <w:r w:rsidRPr="005236B4">
        <w:t>7.</w:t>
      </w:r>
      <w:r w:rsidRPr="005236B4">
        <w:tab/>
        <w:t>üdvözli a kötelezettségszegési ügyekről, az irányelvek átültetéséről és az EU Pilot párbeszédről szóló új bizottsági weboldal létrehozását; megismétli azonban a Bizottsághoz intézett felhívását, hogy rendszeresen tájékoztassa a Petíciós Bizottságot a kötelezettségszegési eljárások fejleményeiről, valamint biztosítsa, hogy a Petíciós Bizottság hozzáférjen a lezáratlan petíciókhoz kapcsolódó kötelezettségszegési eljárásokra és EU Pilot eljárásokra vonatkozó információkhoz; megismétli, hogy javítani kell a kötelezettségszegési eljárások átláthatóságát, valamint a petíciók benyújtóival az ilyen eljárások aktuális állásáról folytatott kommunikációt, és hangsúlyozza, hogy ez előnyös lenne a petíciós folyamat szempontjából; üdvözli a Bizottság arra irányuló kezdeményezését, hogy a petíciókat felvegyék a kötelezettségszegési határozatok nyilvános bizottsági nyilvántartásába, valamint hogy a Bizottság nyilvános nyilvántartására mutató linket elhelyezzék a petíciós portálon; üdvözli Šefčovič biztos elkötelezettségét a Bizottság nyilvános nyilvántartásának és a Parlament petíciós portáljának további összekapcsolása iránt; megismétli a Bizottsághoz intézett felhívását, hogy mindezeket a követelményeket foglalja bele az Európai Parlament és az Európai Bizottság közötti kapcsolatokról szóló keretmegállapodásba</w:t>
      </w:r>
      <w:r w:rsidRPr="005236B4">
        <w:rPr>
          <w:rStyle w:val="FootnoteReference"/>
        </w:rPr>
        <w:footnoteReference w:id="1"/>
      </w:r>
      <w:r w:rsidRPr="005236B4">
        <w:t>;</w:t>
      </w:r>
    </w:p>
    <w:p w14:paraId="535267CF" w14:textId="77777777" w:rsidR="00777622" w:rsidRPr="005236B4" w:rsidRDefault="00777622" w:rsidP="0093582C">
      <w:pPr>
        <w:pStyle w:val="NormalHanging12a"/>
        <w:widowControl/>
      </w:pPr>
      <w:r w:rsidRPr="005236B4">
        <w:t>8.</w:t>
      </w:r>
      <w:r w:rsidRPr="005236B4">
        <w:tab/>
        <w:t>felszólít a petíciókra adott bizottsági válaszok minőségének és egyértelműségének független, időszakos értékelésére, különös tekintettel az olvashatóságra, a relevanciára és a petíciók benyújtóinak kontextusára való érzékenységre annak biztosítása érdekében, hogy a polgárok érdemi és tiszteletteljes válaszokat kapjanak;</w:t>
      </w:r>
    </w:p>
    <w:p w14:paraId="1B6557FA" w14:textId="77777777" w:rsidR="00777622" w:rsidRPr="005236B4" w:rsidRDefault="00777622" w:rsidP="0093582C">
      <w:pPr>
        <w:pStyle w:val="NormalHanging12a"/>
        <w:widowControl/>
      </w:pPr>
      <w:r w:rsidRPr="005236B4">
        <w:t>9.</w:t>
      </w:r>
      <w:r w:rsidRPr="005236B4">
        <w:tab/>
        <w:t>véleménye szerint a nemzeti hatóságok gyors válaszadását és reagálását igénylő petíciók útjában álló akadályok megszüntetése érdekében hasznos lehet az aktívabb együttműködés a tagállamok és a Petíciós Bizottság között;</w:t>
      </w:r>
    </w:p>
    <w:p w14:paraId="19ECDB41" w14:textId="77777777" w:rsidR="00777622" w:rsidRPr="005236B4" w:rsidRDefault="00777622" w:rsidP="0093582C">
      <w:pPr>
        <w:pStyle w:val="NormalHanging12a"/>
        <w:widowControl/>
      </w:pPr>
      <w:r w:rsidRPr="005236B4">
        <w:t>10.</w:t>
      </w:r>
      <w:r w:rsidRPr="005236B4">
        <w:tab/>
        <w:t xml:space="preserve">emlékeztet arra, hogy az e-Petition adatbázis fontos belső eszköz, amely lehetővé teszi a Petíciós Bizottság tagjai számára, hogy hozzáférjenek az összes szükséges információhoz annak érdekében, hogy nyomon követhessék az egyes petíciók helyzetét, és megalapozott döntéseket hozhassanak a petíciók kezeléséről; megjegyzi, hogy az e-Petition adatbázis fontos szerepet játszik a petíciók benyújtóival való kommunikációban is; hangsúlyozza, hogy tovább kell korszerűsíteni a Petíciós Bizottság digitális eszközeit, és javasolja, hogy vizsgálják meg a mesterséges intelligencia felelős és ember </w:t>
      </w:r>
      <w:r w:rsidRPr="005236B4">
        <w:lastRenderedPageBreak/>
        <w:t>által irányított használatának lehetőségeit a petíciók kezelésének további javítása érdekében;</w:t>
      </w:r>
    </w:p>
    <w:p w14:paraId="2EA40064" w14:textId="77777777" w:rsidR="00777622" w:rsidRPr="005236B4" w:rsidRDefault="00777622" w:rsidP="0093582C">
      <w:pPr>
        <w:pStyle w:val="NormalHanging12a"/>
        <w:widowControl/>
      </w:pPr>
      <w:r w:rsidRPr="005236B4">
        <w:t>11.</w:t>
      </w:r>
      <w:r w:rsidRPr="005236B4">
        <w:tab/>
        <w:t>emlékeztet a Bizottság azon kötelezettségvállalására, hogy intézményközi informatikai eszközt hoz létre a Bizottság és a Parlament között, amelynek célja a petíciók nyomán hozott valamennyi intézkedésre – például a kötelezettségszegési eljárásokra, a jogalkotási javaslatokra vagy a nemzeti hatóságok válaszaira – vonatkozó információk és dokumentumok megosztása, ezáltal növelve a petíciók kezelésének átláthatóságát és hatékonyságát, ami tágabb összefüggésben hozzájárulna a polgárok uniós intézményekbe és az európai projektekbe vetett bizalmának növeléséhez; kéri ezen intézményközi informatikai eszköz gyors élesítését;</w:t>
      </w:r>
    </w:p>
    <w:p w14:paraId="64AFC382" w14:textId="77777777" w:rsidR="00777622" w:rsidRPr="005236B4" w:rsidRDefault="00777622" w:rsidP="0093582C">
      <w:pPr>
        <w:pStyle w:val="NormalHanging12a"/>
        <w:widowControl/>
      </w:pPr>
      <w:r w:rsidRPr="005236B4">
        <w:t>12.</w:t>
      </w:r>
      <w:r w:rsidRPr="005236B4">
        <w:tab/>
        <w:t>megismétli, hogy a petíciók átfogó kezeléséhez elengedhetetlen a többi parlamenti bizottsággal való együttműködés; megjegyzi, hogy 2024-ben 30 véleménykérést és 450 információkérést küldtek más bizottságoknak; megjegyzi, hogy 2024 végéig 26 vélemény érkezett be;</w:t>
      </w:r>
      <w:r w:rsidRPr="005236B4">
        <w:rPr>
          <w:color w:val="FF0000"/>
        </w:rPr>
        <w:t xml:space="preserve"> </w:t>
      </w:r>
      <w:r w:rsidRPr="005236B4">
        <w:t>emlékeztet arra, hogy a petíciók benyújtóit tájékoztatják azokról a határozatokról, amelyek szerint más bizottságoktól kérnek véleményt petícióik kezeléséhez; kiemeli, hogy a parlamenti bizottságoknak fokozniuk kell a petíciók vizsgálatában való – szakértelmük biztosításával történő – aktív közreműködésre irányuló erőfeszítéseiket annak érdekében, hogy lehetővé tegyék a Parlament számára, hogy gyorsabban és átfogóbban reagáljon a polgárok aggályaira;</w:t>
      </w:r>
    </w:p>
    <w:p w14:paraId="45EC417F" w14:textId="77777777" w:rsidR="00777622" w:rsidRPr="005236B4" w:rsidRDefault="00777622" w:rsidP="0093582C">
      <w:pPr>
        <w:pStyle w:val="NormalHanging12a"/>
        <w:widowControl/>
      </w:pPr>
      <w:r w:rsidRPr="005236B4">
        <w:t>13.</w:t>
      </w:r>
      <w:r w:rsidRPr="005236B4">
        <w:tab/>
        <w:t xml:space="preserve">úgy véli, hogy a petíciós hálózat hasznos eszköz a petíciók nyomon követéséhez a parlamenti és a jogalkotási munka során; meggyőződése, hogy a petíciós hálózat rendszeres ülései alapvető szerepet töltenek be a Petíciós Bizottság tevékenységeinek láthatóbbá tételében, munkájának és küldetésének jobb megértésében, valamint a többi parlamenti bizottsággal folytatott együttműködés megerősítésében; </w:t>
      </w:r>
    </w:p>
    <w:p w14:paraId="139974DD" w14:textId="77777777" w:rsidR="00777622" w:rsidRPr="005236B4" w:rsidRDefault="00777622" w:rsidP="0093582C">
      <w:pPr>
        <w:pStyle w:val="NormalHanging12a"/>
        <w:widowControl/>
      </w:pPr>
      <w:r w:rsidRPr="005236B4">
        <w:t>14.</w:t>
      </w:r>
      <w:r w:rsidRPr="005236B4">
        <w:tab/>
        <w:t>megállapítja, hogy 2024-ben továbbra is a környezetvédelmi kérdések foglalkoztatták leginkább a petíciók benyújtóit, hiszen a petíciók több mint 20%-a környezetvédelmi kérdéseket vetett fel; tudomásul veszi az uniós környezetvédelmi jogszabályok több tagállamban történt megsértését bejelentő petíciók jelentős számát; megjegyzi, hogy a petíciók benyújtói által jelentett és a bizottságban megvitatott kérdések közé tartozik a farkasok védelme az EU-ban, a peszticidek hosszú távú mérgező hatásai, valamint az ipari kibocsátásokról szóló irányelv</w:t>
      </w:r>
      <w:r w:rsidRPr="005236B4">
        <w:rPr>
          <w:rStyle w:val="FootnoteReference"/>
        </w:rPr>
        <w:footnoteReference w:id="2"/>
      </w:r>
      <w:r w:rsidRPr="005236B4">
        <w:t xml:space="preserve"> megsértése egy acélüzem irányítása miatt; hangsúlyozza az uniós polgárok környezetvédelemmel kapcsolatos elvárásai teljesítésének fontosságát, és sürgeti a Bizottságot, hogy a tagállamokkal együtt biztosítsa a környezetvédelem területére vonatkozó uniós jogszabályok helyes végrehajtását;</w:t>
      </w:r>
    </w:p>
    <w:p w14:paraId="0124FFF5" w14:textId="77777777" w:rsidR="00777622" w:rsidRPr="005236B4" w:rsidRDefault="00777622" w:rsidP="0093582C">
      <w:pPr>
        <w:pStyle w:val="NormalHanging12a"/>
        <w:widowControl/>
      </w:pPr>
      <w:r w:rsidRPr="005236B4">
        <w:t>15.</w:t>
      </w:r>
      <w:r w:rsidRPr="005236B4">
        <w:tab/>
        <w:t xml:space="preserve">tudomásul veszi, hogy a Petíciós Bizottság más témákkal is foglalkozott, például a gyermekek jogainak védelmével, beleértve az online biztonságot is, valamint az állatjólét javításával; felhívja a figyelmet az utasok jogainak megsértésére rávilágító petíciókra; megjegyzi továbbá, hogy számos petíció vetett fel aggályokat az </w:t>
      </w:r>
      <w:r w:rsidRPr="005236B4">
        <w:lastRenderedPageBreak/>
        <w:t>adatvédelemmel és különösen az általános adatvédelmi rendelet</w:t>
      </w:r>
      <w:r w:rsidRPr="005236B4">
        <w:rPr>
          <w:rStyle w:val="FootnoteReference"/>
        </w:rPr>
        <w:footnoteReference w:id="3"/>
      </w:r>
      <w:r w:rsidRPr="005236B4">
        <w:t xml:space="preserve"> végrehajtásával kapcsolatban; kiemeli továbbá a tagállamokban a lakhatási válsággal foglalkozó petíciók számát; megjegyzi, hogy a Petíciós Bizottság foglalkozott a fosszilis tüzelőanyagokkal foglalkozó vállalkozások megélhetési válsággal kapcsolatos felelősségével, a vasúti biztonsággal és a munkavállalói jogok védelmével kapcsolatos aggályokkal; tudomásul veszi a kultúráról és a nemzeti örökségről szóló petíció vizsgálatát; emlékeztet, hogy a Petíciós Bizottság több petíciót is megvitatott az orosz állampolgárok állandó tartózkodási engedélyének visszavonásával kapcsolatban; megjegyzi, hogy a Petíciós Bizottsághoz jelentős számú petíció érkezett a jogállamiságról a tagállamokban, amelyeket a bizottság megvitatott; tudomásul veszi a bevándorlók és menedékkérők tagállamokban történő befogadásának feltételeiről szóló petíciókat, és a megkülönböztetéssel kapcsolatos esetekről szóló petíciókat; elvárja, hogy a Bizottság megfelelő nyomon követést biztosítson és naprakész tájékoztatást nyújtson e petíciók mindegyikével kapcsolatban;</w:t>
      </w:r>
    </w:p>
    <w:p w14:paraId="037BF9ED" w14:textId="77777777" w:rsidR="00777622" w:rsidRPr="005236B4" w:rsidRDefault="00777622" w:rsidP="0093582C">
      <w:pPr>
        <w:pStyle w:val="NormalHanging12a"/>
        <w:widowControl/>
      </w:pPr>
      <w:r w:rsidRPr="005236B4">
        <w:t>16.</w:t>
      </w:r>
      <w:r w:rsidRPr="005236B4">
        <w:tab/>
        <w:t>hangsúlyozza, hogy a Petíciós Bizottság jelentős mértékben hozzájárult a fogyatékossággal élő személyek jogainak védelméhez, amint azt az e témával kapcsolatos számos petíció kezelése is mutatja, beleértve a petíciók nemzeti jelnyelven történő benyújtásáról szóló 1056/2016. számú petíció vizsgálatát is; ezzel összefüggésben elismeri a Parlament szolgálatainak erőfeszítéseit, és megjegyzi, hogy a siket polgárok számára nemcsak a legjobb technikai, hanem a leghozzáférhetőbb megoldást is meg kell találni annak érdekében, hogy saját anyanyelvükön, nemzeti jelnyelven lehessen velük kommunikálni; kéri, hogy az Alkotmányügyi Bizottsággal szoros együttműködésben módosítsák az eljárási szabályzatot annak érdekében, hogy megszüntessék az írásbeli kommunikáció kizárólagos kötelező használatát a jelnyelvet használó, siket vagy nagyothalló polgárok esetében, kérésükre biztosítva számukra a jelnyelv használatának lehetőségét az eljárások során; megjegyzi, hogy a fogyatékossággal élő tanulók oktatása, a fogyatékossággal élő személyek egészségügyi szolgáltatásainak megtagadása, valamint a nyilvános terek és szolgáltatások hozzáférhetősége 2024-ben további aggodalomra adott okot a petíciók benyújtói számára; emlékeztet a Petíciós Bizottság által 2024. december 2-án tartott, a fogyatékossággal élő személyek jogairól szóló éves munkaértekezletre, amely a fogyatékossággal élő személyek jogairól szóló stratégia (2021–2030) aktuális helyzetére összpontosított, és sürgeti, hogy a petíciók megállapításait mielőbb építsék be a fogyatékossággal élő személyek jogairól szóló stratégia (2021–2030) félidős felülvizsgálatába, mérhető célokkal és költségvetési kötelezettségvállalásokkal;</w:t>
      </w:r>
    </w:p>
    <w:p w14:paraId="462FBB1C" w14:textId="77777777" w:rsidR="00777622" w:rsidRPr="005236B4" w:rsidRDefault="00777622" w:rsidP="0093582C">
      <w:pPr>
        <w:pStyle w:val="NormalHanging12a"/>
        <w:widowControl/>
      </w:pPr>
      <w:r w:rsidRPr="005236B4">
        <w:t>17.</w:t>
      </w:r>
      <w:r w:rsidRPr="005236B4">
        <w:tab/>
        <w:t xml:space="preserve">kiemeli a Petíciós Bizottság által az EU-n belül a fogyatékossággal élő személyek jogairól szóló ENSZ-egyezmény keretében betöltött különleges védelmező szerepet; rámutat a bizottság által a fogyatékossággal kapcsolatos kérdésekre vonatkozó petíciókat illetően végzett fontos, folyamatban lévő munkára; emlékeztet, hogy az európai fogyatékossági kártya és az európai parkolási kártya létrehozásáról szóló (EU) 2024/2841 irányelv tartalmaz hivatkozást az uniós szintű fogyatékossági kártya </w:t>
      </w:r>
      <w:r w:rsidRPr="005236B4">
        <w:lastRenderedPageBreak/>
        <w:t>szükségességéről szóló petíciókra</w:t>
      </w:r>
      <w:r w:rsidRPr="005236B4">
        <w:rPr>
          <w:rStyle w:val="FootnoteReference"/>
        </w:rPr>
        <w:footnoteReference w:id="4"/>
      </w:r>
      <w:r w:rsidRPr="005236B4">
        <w:t>; hangsúlyozza, hogy a petíciók jelentősen hozzájárulhatnak a jogalkotási folyamathoz;</w:t>
      </w:r>
    </w:p>
    <w:p w14:paraId="302A077C" w14:textId="77777777" w:rsidR="00777622" w:rsidRPr="005236B4" w:rsidRDefault="00777622" w:rsidP="0093582C">
      <w:pPr>
        <w:pStyle w:val="NormalHanging12a"/>
        <w:widowControl/>
        <w:rPr>
          <w:rFonts w:eastAsia="Calibri"/>
        </w:rPr>
      </w:pPr>
      <w:r w:rsidRPr="005236B4">
        <w:t>18.</w:t>
      </w:r>
      <w:r w:rsidRPr="005236B4">
        <w:tab/>
        <w:t>emlékeztet arra, hogy az európai ombudsmannal való kapcsolattartás az Európai Parlament eljárási szabályzata által a Petíciós Bizottságra ruházott feladatok közé tartozik; kiemeli a Petíciós Bizottság szerepét az európai ombudsman választási folyamatában, különösen az összes jogosult jelölt részvételével 2024. december 3-án tartott nyilvános meghallgatás megszervezésében, amely minden európai parlamenti képviselő előtt nyitva állt, ezáltal demokratikus és átlátható lehetőséget biztosítva számukra a jelöltekkel való eszmecserére, valamint függetlenségük, képesítésük és szakmaiságuk, valamint az uniós intézményi struktúrán belül az európai ombudsman hivatalára vonatkozó jövőképük értékelésére; üdvözli a Parlament európai ombudsmannal folytatott konstruktív együttműködését, akivel a Petíciós Bizottság közös célja, hogy biztosítsa az uniós intézmények átláthatóságát, szakszerűségét és integritását az uniós polgárokkal szemben, valamint az Ombudsmanok Európai Hálózatában való részvétele során;</w:t>
      </w:r>
    </w:p>
    <w:p w14:paraId="576DE042" w14:textId="77777777" w:rsidR="00777622" w:rsidRPr="005236B4" w:rsidRDefault="00777622" w:rsidP="0093582C">
      <w:pPr>
        <w:pStyle w:val="NormalHanging12a"/>
        <w:widowControl/>
        <w:rPr>
          <w:rFonts w:eastAsia="Calibri"/>
        </w:rPr>
      </w:pPr>
      <w:r w:rsidRPr="005236B4">
        <w:t>19.</w:t>
      </w:r>
      <w:r w:rsidRPr="005236B4">
        <w:tab/>
        <w:t>ösztönzi az európai ombudsmant, hogy továbbra is rendszeresen, az egész év folyamán működjön közre a Petíciós Bizottság munkájában; szilárd meggyőződése, hogy az uniós intézményeknek, szerveknek és ügynökségeknek biztosítaniuk kell az ombudsman ajánlásainak következetes és hatékony nyomon követését; hangsúlyozza az európai ombudsman alapvető szerepét az átláthatóság, a megfelelő ügyintézés és a polgárok jogai védelmének előmozdításában; szorosabb együttműködésre szólít fel a Petíciós Bizottság és az ombudsman hivatala között;</w:t>
      </w:r>
    </w:p>
    <w:p w14:paraId="2D41375E" w14:textId="77777777" w:rsidR="00777622" w:rsidRPr="005236B4" w:rsidRDefault="00777622" w:rsidP="0093582C">
      <w:pPr>
        <w:pStyle w:val="NormalHanging12a"/>
        <w:widowControl/>
        <w:rPr>
          <w:b/>
          <w:i/>
        </w:rPr>
      </w:pPr>
      <w:r w:rsidRPr="005236B4">
        <w:t>20.</w:t>
      </w:r>
      <w:r w:rsidRPr="005236B4">
        <w:tab/>
        <w:t>megjegyzi, hogy az európai választások miatti parlamenti szünet ellenére a Petíciós Bizottság kifejtette álláspontját és ajánlásokat tett a petíciókban felvetett fontos kérdésekben, így többek között a 2023 második felében lebonyolított tényfeltáró látogatások, nevezetesen a csillámkőépületekkel kapcsolatos írországi kiküldetés és a katalán nyelvi közegben való tanulással foglalkozó spanyolországi kiküldetés nyomán két kiküldetési jelentést fogadott el; hangsúlyozza annak fontosságát, hogy a katalán hatóságok végrehajtsák a Petíciós Bizottság 2024. március 19-i jelentésében megfogalmazott ajánlásokat, amelyek célja a diákok és családjaik nyelvi jogainak védelme;</w:t>
      </w:r>
    </w:p>
    <w:p w14:paraId="39F5E080" w14:textId="77777777" w:rsidR="00777622" w:rsidRPr="005236B4" w:rsidRDefault="00777622" w:rsidP="0093582C">
      <w:pPr>
        <w:pStyle w:val="NormalHanging12a"/>
        <w:widowControl/>
      </w:pPr>
      <w:r w:rsidRPr="005236B4">
        <w:t>21.</w:t>
      </w:r>
      <w:r w:rsidRPr="005236B4">
        <w:tab/>
        <w:t>tudomásul veszi az oktatáspolitikával, különösen a tanári képesítések tagállamok közötti elismerésével kapcsolatos petíciók növekvő számát; e tekintetben kiemeli a Petíciós Bizottság Bizottsághoz intézett, szóbeli választ igénylő kérdését a tanárok munkakörülményeiről az EU-ban; riasztónak tartja a Bizottság szóbeli válaszát, amely megerősíti, hogy a tanárhiány jelentős kihívás, amit a közelmúltbeli PISA-felmérés eredményei is tükröznek, amelyek szerint egyetlen tagállamnak sem sikerült javítania az alapkészségek terén nyújtott teljesítményét; e tekintetben felhívja a Bizottságot és a tagállamokat, hogy jelentősen fokozzák az iskolai oktatási rendszereik javítására irányuló erőfeszítéseiket, egyúttal finanszírozás és programok révén növelve a tanári szakma vonzerejét is;</w:t>
      </w:r>
    </w:p>
    <w:p w14:paraId="28B24FB0" w14:textId="77777777" w:rsidR="00777622" w:rsidRPr="005236B4" w:rsidRDefault="00777622" w:rsidP="0093582C">
      <w:pPr>
        <w:pStyle w:val="NormalHanging12a"/>
        <w:widowControl/>
      </w:pPr>
      <w:r w:rsidRPr="005236B4">
        <w:lastRenderedPageBreak/>
        <w:t>22.</w:t>
      </w:r>
      <w:r w:rsidRPr="005236B4">
        <w:tab/>
        <w:t>üdvözli a nehéz tehergépjárművek határátkelőhelyeken történő kezeléséről szóló, a 0146/2023. számú petíció alapján elfogadott 2024. április 10-i európai parlamenti állásfoglalást</w:t>
      </w:r>
      <w:r w:rsidRPr="005236B4">
        <w:rPr>
          <w:rStyle w:val="FootnoteReference"/>
        </w:rPr>
        <w:footnoteReference w:id="5"/>
      </w:r>
      <w:r w:rsidRPr="005236B4">
        <w:t xml:space="preserve">; </w:t>
      </w:r>
    </w:p>
    <w:p w14:paraId="5BA7EDD3" w14:textId="341F2197" w:rsidR="00777622" w:rsidRPr="005236B4" w:rsidRDefault="00777622" w:rsidP="0093582C">
      <w:pPr>
        <w:pStyle w:val="NormalHanging12a"/>
        <w:widowControl/>
      </w:pPr>
      <w:r w:rsidRPr="005236B4">
        <w:t>23.</w:t>
      </w:r>
      <w:r w:rsidRPr="005236B4">
        <w:tab/>
        <w:t>hangsúlyozza, hogy a petíciós portál a zökkenőmentes, hatékony és átlátható petíciós eljárás biztosításának alapvető eszköze; üdvözli a portálon elvégzett, a petíciók benyújtói számára előnyös fejlesztéseket, és hangsúlyozza, hogy folytatni kell a portál hozzáférhetőségének javítására irányuló erőfeszítéseket, beleértve annak jelnyelvhasználók és a fogyatékossággal élő személyek számára való akadálymentesebbé tételét is, amint azt az 1056/2016. sz</w:t>
      </w:r>
      <w:r w:rsidR="004F0A3F">
        <w:t>ámú</w:t>
      </w:r>
      <w:r w:rsidRPr="005236B4">
        <w:t xml:space="preserve"> petícióban kérik; megjegyzi, hogy a petíciós portál a Parlament egyik leglátogatottabb honlapja, és így sok uniós polgár számára az Európai Parlamenttel való első kapcsolatfelvételi pontként szolgál;</w:t>
      </w:r>
    </w:p>
    <w:p w14:paraId="545B9E27" w14:textId="77777777" w:rsidR="00777622" w:rsidRPr="0068067A" w:rsidRDefault="00777622" w:rsidP="0093582C">
      <w:pPr>
        <w:pStyle w:val="NormalHanging12a"/>
        <w:widowControl/>
      </w:pPr>
      <w:r w:rsidRPr="005236B4">
        <w:t>24.</w:t>
      </w:r>
      <w:r w:rsidRPr="005236B4">
        <w:tab/>
        <w:t>utasítja elnökét, hogy továbbítsa ezt az állásfoglalást és a Petíciós Bizottság jelentését a Tanácsnak, a Bizottságnak, az európai ombudsmannak, a tagállamok kormányainak és parlamentjeinek, valamint a tagállamok parlamentjei Petíciós Bizottságának és ombudsmanjának, illetve hasonló illetékes szerveinek.</w:t>
      </w:r>
    </w:p>
    <w:sectPr w:rsidR="00777622" w:rsidRPr="0068067A" w:rsidSect="006806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EEB39" w14:textId="77777777" w:rsidR="00A16862" w:rsidRPr="0068067A" w:rsidRDefault="00A16862">
      <w:r w:rsidRPr="0068067A">
        <w:separator/>
      </w:r>
    </w:p>
  </w:endnote>
  <w:endnote w:type="continuationSeparator" w:id="0">
    <w:p w14:paraId="1D5A1268" w14:textId="77777777" w:rsidR="00A16862" w:rsidRPr="0068067A" w:rsidRDefault="00A16862">
      <w:r w:rsidRPr="006806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7BDBC" w14:textId="77777777" w:rsidR="00064002" w:rsidRPr="006806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A155E" w14:textId="77777777" w:rsidR="00064002" w:rsidRPr="006806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D7869" w14:textId="77777777" w:rsidR="00064002" w:rsidRPr="006806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3CFC0" w14:textId="77777777" w:rsidR="00A16862" w:rsidRPr="0068067A" w:rsidRDefault="00A16862">
      <w:r w:rsidRPr="0068067A">
        <w:separator/>
      </w:r>
    </w:p>
  </w:footnote>
  <w:footnote w:type="continuationSeparator" w:id="0">
    <w:p w14:paraId="54D8BE8A" w14:textId="77777777" w:rsidR="00A16862" w:rsidRPr="0068067A" w:rsidRDefault="00A16862">
      <w:r w:rsidRPr="0068067A">
        <w:continuationSeparator/>
      </w:r>
    </w:p>
  </w:footnote>
  <w:footnote w:id="1">
    <w:p w14:paraId="05DC7555" w14:textId="3FDB1FC0" w:rsidR="00777622" w:rsidRPr="0068067A" w:rsidRDefault="00777622" w:rsidP="0068067A">
      <w:pPr>
        <w:pStyle w:val="FootnoteText"/>
        <w:ind w:left="567" w:hanging="567"/>
        <w:rPr>
          <w:sz w:val="24"/>
          <w:lang w:val="hu-HU"/>
        </w:rPr>
      </w:pPr>
      <w:r w:rsidRPr="0068067A">
        <w:rPr>
          <w:rStyle w:val="FootnoteReference"/>
          <w:sz w:val="24"/>
          <w:lang w:val="hu-HU"/>
        </w:rPr>
        <w:footnoteRef/>
      </w:r>
      <w:r w:rsidR="0068067A" w:rsidRPr="0068067A">
        <w:rPr>
          <w:sz w:val="24"/>
          <w:lang w:val="hu-HU"/>
        </w:rPr>
        <w:t xml:space="preserve"> </w:t>
      </w:r>
      <w:r w:rsidR="0068067A" w:rsidRPr="0068067A">
        <w:rPr>
          <w:sz w:val="24"/>
          <w:lang w:val="hu-HU"/>
        </w:rPr>
        <w:tab/>
      </w:r>
      <w:r w:rsidRPr="0068067A">
        <w:rPr>
          <w:sz w:val="24"/>
          <w:lang w:val="hu-HU"/>
        </w:rPr>
        <w:t xml:space="preserve">HL L 304., 2010.11.20., 47. o., ELI: </w:t>
      </w:r>
      <w:hyperlink r:id="rId1" w:history="1">
        <w:r w:rsidRPr="0068067A">
          <w:rPr>
            <w:rStyle w:val="Hyperlink"/>
            <w:sz w:val="24"/>
            <w:lang w:val="hu-HU"/>
          </w:rPr>
          <w:t>http://data.europa.eu/eli/agree_interinstit/2010/1120/oj</w:t>
        </w:r>
      </w:hyperlink>
      <w:r w:rsidRPr="0068067A">
        <w:rPr>
          <w:sz w:val="24"/>
          <w:lang w:val="hu-HU"/>
        </w:rPr>
        <w:t xml:space="preserve">. </w:t>
      </w:r>
    </w:p>
  </w:footnote>
  <w:footnote w:id="2">
    <w:p w14:paraId="758DF5FF" w14:textId="2F0740D5" w:rsidR="00777622" w:rsidRPr="0068067A" w:rsidRDefault="00777622" w:rsidP="0068067A">
      <w:pPr>
        <w:pStyle w:val="FootnoteText"/>
        <w:ind w:left="567" w:hanging="567"/>
        <w:rPr>
          <w:sz w:val="24"/>
          <w:lang w:val="hu-HU"/>
        </w:rPr>
      </w:pPr>
      <w:r w:rsidRPr="0068067A">
        <w:rPr>
          <w:rStyle w:val="FootnoteReference"/>
          <w:sz w:val="24"/>
          <w:lang w:val="hu-HU"/>
        </w:rPr>
        <w:footnoteRef/>
      </w:r>
      <w:r w:rsidR="0068067A" w:rsidRPr="0068067A">
        <w:rPr>
          <w:sz w:val="24"/>
          <w:lang w:val="hu-HU"/>
        </w:rPr>
        <w:t xml:space="preserve"> </w:t>
      </w:r>
      <w:r w:rsidR="0068067A" w:rsidRPr="0068067A">
        <w:rPr>
          <w:sz w:val="24"/>
          <w:lang w:val="hu-HU"/>
        </w:rPr>
        <w:tab/>
      </w:r>
      <w:r w:rsidRPr="0068067A">
        <w:rPr>
          <w:sz w:val="24"/>
          <w:lang w:val="hu-HU"/>
        </w:rPr>
        <w:t xml:space="preserve">Az Európai Parlament és a Tanács (EU) 2024/1785 irányelve (2024. április 24.) az ipari kibocsátásokról (a környezetszennyezés integrált megelőzése és csökkentése) szóló 2010/75/EU európai parlamenti és tanácsi irányelv és a hulladéklerakókról szóló 1999/31/EK tanácsi irányelv módosításáról (HL L, 2024/1785, 2024.7.15., ELI: </w:t>
      </w:r>
      <w:hyperlink r:id="rId2" w:history="1">
        <w:r w:rsidRPr="0068067A">
          <w:rPr>
            <w:rStyle w:val="Hyperlink"/>
            <w:sz w:val="24"/>
            <w:lang w:val="hu-HU"/>
          </w:rPr>
          <w:t>http://data.europa.eu/eli/dir/2024/1785/oj</w:t>
        </w:r>
      </w:hyperlink>
      <w:r w:rsidRPr="0068067A">
        <w:rPr>
          <w:sz w:val="24"/>
          <w:lang w:val="hu-HU"/>
        </w:rPr>
        <w:t xml:space="preserve">). </w:t>
      </w:r>
    </w:p>
  </w:footnote>
  <w:footnote w:id="3">
    <w:p w14:paraId="622339B6" w14:textId="25B070B8" w:rsidR="00777622" w:rsidRPr="0068067A" w:rsidRDefault="00777622" w:rsidP="0068067A">
      <w:pPr>
        <w:pStyle w:val="FootnoteText"/>
        <w:ind w:left="567" w:hanging="567"/>
        <w:rPr>
          <w:sz w:val="24"/>
          <w:lang w:val="hu-HU"/>
        </w:rPr>
      </w:pPr>
      <w:r w:rsidRPr="0068067A">
        <w:rPr>
          <w:rStyle w:val="FootnoteReference"/>
          <w:sz w:val="24"/>
          <w:lang w:val="hu-HU"/>
        </w:rPr>
        <w:footnoteRef/>
      </w:r>
      <w:r w:rsidR="0068067A" w:rsidRPr="0068067A">
        <w:rPr>
          <w:sz w:val="24"/>
          <w:lang w:val="hu-HU"/>
        </w:rPr>
        <w:t xml:space="preserve"> </w:t>
      </w:r>
      <w:r w:rsidR="0068067A" w:rsidRPr="0068067A">
        <w:rPr>
          <w:sz w:val="24"/>
          <w:lang w:val="hu-HU"/>
        </w:rPr>
        <w:tab/>
      </w:r>
      <w:r w:rsidRPr="0068067A">
        <w:rPr>
          <w:sz w:val="24"/>
          <w:lang w:val="hu-HU"/>
        </w:rPr>
        <w:t xml:space="preserve">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 1. o., ELI: </w:t>
      </w:r>
      <w:hyperlink r:id="rId3" w:history="1">
        <w:r w:rsidRPr="0068067A">
          <w:rPr>
            <w:rStyle w:val="Hyperlink"/>
            <w:sz w:val="24"/>
            <w:lang w:val="hu-HU"/>
          </w:rPr>
          <w:t>http://data.europa.eu/eli/reg/2016/679/oj</w:t>
        </w:r>
      </w:hyperlink>
      <w:r w:rsidRPr="0068067A">
        <w:rPr>
          <w:sz w:val="24"/>
          <w:lang w:val="hu-HU"/>
        </w:rPr>
        <w:t>).</w:t>
      </w:r>
    </w:p>
  </w:footnote>
  <w:footnote w:id="4">
    <w:p w14:paraId="7C69E18A" w14:textId="40624B71" w:rsidR="00777622" w:rsidRPr="0068067A" w:rsidRDefault="00777622" w:rsidP="0068067A">
      <w:pPr>
        <w:pStyle w:val="FootnoteText"/>
        <w:ind w:left="567" w:hanging="567"/>
        <w:rPr>
          <w:sz w:val="24"/>
          <w:lang w:val="hu-HU"/>
        </w:rPr>
      </w:pPr>
      <w:r w:rsidRPr="0068067A">
        <w:rPr>
          <w:rStyle w:val="FootnoteReference"/>
          <w:sz w:val="24"/>
          <w:lang w:val="hu-HU"/>
        </w:rPr>
        <w:footnoteRef/>
      </w:r>
      <w:r w:rsidR="0068067A" w:rsidRPr="0068067A">
        <w:rPr>
          <w:sz w:val="24"/>
          <w:lang w:val="hu-HU"/>
        </w:rPr>
        <w:t xml:space="preserve"> </w:t>
      </w:r>
      <w:r w:rsidR="0068067A" w:rsidRPr="0068067A">
        <w:rPr>
          <w:sz w:val="24"/>
          <w:lang w:val="hu-HU"/>
        </w:rPr>
        <w:tab/>
      </w:r>
      <w:r w:rsidRPr="0068067A">
        <w:rPr>
          <w:sz w:val="24"/>
          <w:lang w:val="hu-HU"/>
        </w:rPr>
        <w:t xml:space="preserve">Az Európai Parlament és a Tanács (EU) 2024/2841 irányelve (2024. október 23.) </w:t>
      </w:r>
      <w:r w:rsidRPr="0068067A">
        <w:rPr>
          <w:sz w:val="24"/>
          <w:lang w:val="hu-HU"/>
        </w:rPr>
        <w:t>az európai fogyatékossági kártya és a fogyatékossággal élő személyek európai parkolási kártyája létrehozásáról (HL L, 2024/28</w:t>
      </w:r>
      <w:r w:rsidR="004F0A3F">
        <w:rPr>
          <w:sz w:val="24"/>
          <w:lang w:val="hu-HU"/>
        </w:rPr>
        <w:t>4</w:t>
      </w:r>
      <w:r w:rsidRPr="0068067A">
        <w:rPr>
          <w:sz w:val="24"/>
          <w:lang w:val="hu-HU"/>
        </w:rPr>
        <w:t>1, 2024.11.14., ELI: </w:t>
      </w:r>
      <w:hyperlink r:id="rId4" w:tgtFrame="_blank" w:tooltip="Hozzáférést biztosít ehhez a dokumentumhoz annak ELI URI-jén keresztül." w:history="1">
        <w:r w:rsidRPr="0068067A">
          <w:rPr>
            <w:rStyle w:val="Hyperlink"/>
            <w:sz w:val="24"/>
            <w:lang w:val="hu-HU"/>
          </w:rPr>
          <w:t>http://data.europa.eu/eli/dir/2024/2841/oj</w:t>
        </w:r>
      </w:hyperlink>
      <w:r w:rsidRPr="0068067A">
        <w:rPr>
          <w:sz w:val="24"/>
          <w:lang w:val="hu-HU"/>
        </w:rPr>
        <w:t>).</w:t>
      </w:r>
    </w:p>
  </w:footnote>
  <w:footnote w:id="5">
    <w:p w14:paraId="04FE76F4" w14:textId="30762FBD" w:rsidR="00777622" w:rsidRPr="0068067A" w:rsidRDefault="00777622" w:rsidP="0068067A">
      <w:pPr>
        <w:pStyle w:val="FootnoteText"/>
        <w:ind w:left="567" w:hanging="567"/>
        <w:rPr>
          <w:sz w:val="24"/>
          <w:lang w:val="hu-HU"/>
        </w:rPr>
      </w:pPr>
      <w:r w:rsidRPr="0068067A">
        <w:rPr>
          <w:rStyle w:val="FootnoteReference"/>
          <w:sz w:val="24"/>
          <w:lang w:val="hu-HU"/>
        </w:rPr>
        <w:footnoteRef/>
      </w:r>
      <w:r w:rsidR="0068067A" w:rsidRPr="0068067A">
        <w:rPr>
          <w:sz w:val="24"/>
          <w:lang w:val="hu-HU"/>
        </w:rPr>
        <w:t xml:space="preserve"> </w:t>
      </w:r>
      <w:r w:rsidR="0068067A" w:rsidRPr="0068067A">
        <w:rPr>
          <w:sz w:val="24"/>
          <w:lang w:val="hu-HU"/>
        </w:rPr>
        <w:tab/>
      </w:r>
      <w:r w:rsidRPr="0068067A">
        <w:rPr>
          <w:sz w:val="24"/>
          <w:lang w:val="hu-HU"/>
        </w:rPr>
        <w:t xml:space="preserve">HL C, C/2025/1278, 2025.3.13., ELI: </w:t>
      </w:r>
      <w:hyperlink r:id="rId5" w:history="1">
        <w:r w:rsidRPr="0068067A">
          <w:rPr>
            <w:rStyle w:val="Hyperlink"/>
            <w:sz w:val="24"/>
            <w:lang w:val="hu-HU"/>
          </w:rPr>
          <w:t>http://data.europa.eu/eli/C/2025/1278/oj</w:t>
        </w:r>
      </w:hyperlink>
      <w:r w:rsidRPr="0068067A">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6605" w14:textId="77777777" w:rsidR="00064002" w:rsidRPr="006806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DBF60" w14:textId="77777777" w:rsidR="00064002" w:rsidRPr="006806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731A" w14:textId="77777777" w:rsidR="00064002" w:rsidRPr="006806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7976422">
    <w:abstractNumId w:val="9"/>
  </w:num>
  <w:num w:numId="2" w16cid:durableId="846941773">
    <w:abstractNumId w:val="9"/>
  </w:num>
  <w:num w:numId="3" w16cid:durableId="267350449">
    <w:abstractNumId w:val="7"/>
  </w:num>
  <w:num w:numId="4" w16cid:durableId="918707446">
    <w:abstractNumId w:val="7"/>
  </w:num>
  <w:num w:numId="5" w16cid:durableId="151874903">
    <w:abstractNumId w:val="6"/>
  </w:num>
  <w:num w:numId="6" w16cid:durableId="633947386">
    <w:abstractNumId w:val="6"/>
  </w:num>
  <w:num w:numId="7" w16cid:durableId="130220280">
    <w:abstractNumId w:val="5"/>
  </w:num>
  <w:num w:numId="8" w16cid:durableId="1738089327">
    <w:abstractNumId w:val="5"/>
  </w:num>
  <w:num w:numId="9" w16cid:durableId="1753356727">
    <w:abstractNumId w:val="4"/>
  </w:num>
  <w:num w:numId="10" w16cid:durableId="1501888935">
    <w:abstractNumId w:val="4"/>
  </w:num>
  <w:num w:numId="11" w16cid:durableId="2020310467">
    <w:abstractNumId w:val="8"/>
  </w:num>
  <w:num w:numId="12" w16cid:durableId="888807073">
    <w:abstractNumId w:val="8"/>
  </w:num>
  <w:num w:numId="13" w16cid:durableId="554702739">
    <w:abstractNumId w:val="3"/>
  </w:num>
  <w:num w:numId="14" w16cid:durableId="405491223">
    <w:abstractNumId w:val="3"/>
  </w:num>
  <w:num w:numId="15" w16cid:durableId="1988196657">
    <w:abstractNumId w:val="2"/>
  </w:num>
  <w:num w:numId="16" w16cid:durableId="1053235205">
    <w:abstractNumId w:val="2"/>
  </w:num>
  <w:num w:numId="17" w16cid:durableId="568808073">
    <w:abstractNumId w:val="1"/>
  </w:num>
  <w:num w:numId="18" w16cid:durableId="1995521152">
    <w:abstractNumId w:val="1"/>
  </w:num>
  <w:num w:numId="19" w16cid:durableId="140511449">
    <w:abstractNumId w:val="0"/>
  </w:num>
  <w:num w:numId="20" w16cid:durableId="445391694">
    <w:abstractNumId w:val="0"/>
  </w:num>
  <w:num w:numId="21" w16cid:durableId="794104189">
    <w:abstractNumId w:val="9"/>
  </w:num>
  <w:num w:numId="22" w16cid:durableId="1709179044">
    <w:abstractNumId w:val="7"/>
  </w:num>
  <w:num w:numId="23" w16cid:durableId="752314627">
    <w:abstractNumId w:val="6"/>
  </w:num>
  <w:num w:numId="24" w16cid:durableId="207688600">
    <w:abstractNumId w:val="5"/>
  </w:num>
  <w:num w:numId="25" w16cid:durableId="402678478">
    <w:abstractNumId w:val="4"/>
  </w:num>
  <w:num w:numId="26" w16cid:durableId="749352579">
    <w:abstractNumId w:val="8"/>
  </w:num>
  <w:num w:numId="27" w16cid:durableId="1632782194">
    <w:abstractNumId w:val="3"/>
  </w:num>
  <w:num w:numId="28" w16cid:durableId="479079874">
    <w:abstractNumId w:val="2"/>
  </w:num>
  <w:num w:numId="29" w16cid:durableId="185366767">
    <w:abstractNumId w:val="1"/>
  </w:num>
  <w:num w:numId="30" w16cid:durableId="444810339">
    <w:abstractNumId w:val="0"/>
  </w:num>
  <w:num w:numId="31" w16cid:durableId="1545630555">
    <w:abstractNumId w:val="9"/>
  </w:num>
  <w:num w:numId="32" w16cid:durableId="1712730226">
    <w:abstractNumId w:val="7"/>
  </w:num>
  <w:num w:numId="33" w16cid:durableId="266305375">
    <w:abstractNumId w:val="6"/>
  </w:num>
  <w:num w:numId="34" w16cid:durableId="1213226217">
    <w:abstractNumId w:val="5"/>
  </w:num>
  <w:num w:numId="35" w16cid:durableId="1153986882">
    <w:abstractNumId w:val="4"/>
  </w:num>
  <w:num w:numId="36" w16cid:durableId="506021367">
    <w:abstractNumId w:val="8"/>
  </w:num>
  <w:num w:numId="37" w16cid:durableId="453721669">
    <w:abstractNumId w:val="3"/>
  </w:num>
  <w:num w:numId="38" w16cid:durableId="1740591548">
    <w:abstractNumId w:val="2"/>
  </w:num>
  <w:num w:numId="39" w16cid:durableId="1534421484">
    <w:abstractNumId w:val="1"/>
  </w:num>
  <w:num w:numId="40" w16cid:durableId="605042098">
    <w:abstractNumId w:val="0"/>
  </w:num>
  <w:num w:numId="41" w16cid:durableId="452989591">
    <w:abstractNumId w:val="10"/>
  </w:num>
  <w:num w:numId="42" w16cid:durableId="1103265651">
    <w:abstractNumId w:val="10"/>
  </w:num>
  <w:num w:numId="43" w16cid:durableId="380129638">
    <w:abstractNumId w:val="10"/>
  </w:num>
  <w:num w:numId="44" w16cid:durableId="1766152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HU"/>
    <w:docVar w:name="dvnumam" w:val="0"/>
    <w:docVar w:name="dvpe" w:val="773.363"/>
    <w:docVar w:name="dvrapporteur" w:val="Előadó: "/>
    <w:docVar w:name="dvtitre" w:val="Az Európai Parlament 2025.  ...-i állásfoglalása a Petíciós Bizottság 2024. évi tanácskozásairól(2025/2114(INI))"/>
  </w:docVars>
  <w:rsids>
    <w:rsidRoot w:val="00A16862"/>
    <w:rsid w:val="00002272"/>
    <w:rsid w:val="00064002"/>
    <w:rsid w:val="000677B9"/>
    <w:rsid w:val="000831BA"/>
    <w:rsid w:val="000A192E"/>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A3F"/>
    <w:rsid w:val="0050519A"/>
    <w:rsid w:val="005072A1"/>
    <w:rsid w:val="00514517"/>
    <w:rsid w:val="005236B4"/>
    <w:rsid w:val="00545827"/>
    <w:rsid w:val="00560270"/>
    <w:rsid w:val="005C2568"/>
    <w:rsid w:val="005F1B17"/>
    <w:rsid w:val="006037C0"/>
    <w:rsid w:val="006631B6"/>
    <w:rsid w:val="00680577"/>
    <w:rsid w:val="0068067A"/>
    <w:rsid w:val="006D5E71"/>
    <w:rsid w:val="006F74FA"/>
    <w:rsid w:val="00731ADD"/>
    <w:rsid w:val="00734777"/>
    <w:rsid w:val="00747932"/>
    <w:rsid w:val="00751A4A"/>
    <w:rsid w:val="00756632"/>
    <w:rsid w:val="00762C74"/>
    <w:rsid w:val="00777622"/>
    <w:rsid w:val="00786EC0"/>
    <w:rsid w:val="007D1690"/>
    <w:rsid w:val="007E22AD"/>
    <w:rsid w:val="00817416"/>
    <w:rsid w:val="00842779"/>
    <w:rsid w:val="00845B00"/>
    <w:rsid w:val="00865F67"/>
    <w:rsid w:val="00881A7B"/>
    <w:rsid w:val="008840E5"/>
    <w:rsid w:val="00887B3E"/>
    <w:rsid w:val="008C2AC6"/>
    <w:rsid w:val="00930C23"/>
    <w:rsid w:val="0093193B"/>
    <w:rsid w:val="0093582C"/>
    <w:rsid w:val="009509D8"/>
    <w:rsid w:val="00950B64"/>
    <w:rsid w:val="00981893"/>
    <w:rsid w:val="00A00E24"/>
    <w:rsid w:val="00A16862"/>
    <w:rsid w:val="00A1687D"/>
    <w:rsid w:val="00A43E52"/>
    <w:rsid w:val="00A4678D"/>
    <w:rsid w:val="00A778C7"/>
    <w:rsid w:val="00AB441E"/>
    <w:rsid w:val="00AB6293"/>
    <w:rsid w:val="00AE0928"/>
    <w:rsid w:val="00AF3B82"/>
    <w:rsid w:val="00B12E95"/>
    <w:rsid w:val="00B22876"/>
    <w:rsid w:val="00B558F0"/>
    <w:rsid w:val="00BD193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60569"/>
  <w15:chartTrackingRefBased/>
  <w15:docId w15:val="{CBE8121C-D0EB-400D-A38E-84B2CF84A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77622"/>
    <w:pPr>
      <w:spacing w:after="240"/>
      <w:ind w:left="567" w:hanging="567"/>
    </w:pPr>
  </w:style>
  <w:style w:type="paragraph" w:customStyle="1" w:styleId="EPComma">
    <w:name w:val="EPComma"/>
    <w:basedOn w:val="Normal"/>
    <w:uiPriority w:val="99"/>
    <w:rsid w:val="00777622"/>
    <w:pPr>
      <w:spacing w:before="480" w:after="240"/>
    </w:pPr>
  </w:style>
  <w:style w:type="character" w:styleId="Hyperlink">
    <w:name w:val="Hyperlink"/>
    <w:basedOn w:val="DefaultParagraphFont"/>
    <w:rsid w:val="00777622"/>
    <w:rPr>
      <w:color w:val="0563C1" w:themeColor="hyperlink"/>
      <w:u w:val="single"/>
    </w:rPr>
  </w:style>
  <w:style w:type="character" w:customStyle="1" w:styleId="NormalHanging12aChar">
    <w:name w:val="NormalHanging12a Char"/>
    <w:basedOn w:val="DefaultParagraphFont"/>
    <w:link w:val="NormalHanging12a"/>
    <w:rsid w:val="00777622"/>
    <w:rPr>
      <w:sz w:val="24"/>
      <w:lang w:val="hu-HU"/>
    </w:rPr>
  </w:style>
  <w:style w:type="paragraph" w:styleId="Revision">
    <w:name w:val="Revision"/>
    <w:hidden/>
    <w:uiPriority w:val="99"/>
    <w:semiHidden/>
    <w:rsid w:val="0093582C"/>
    <w:rPr>
      <w:sz w:val="24"/>
      <w:lang w:val="hu-HU"/>
    </w:rPr>
  </w:style>
  <w:style w:type="character" w:styleId="CommentReference">
    <w:name w:val="annotation reference"/>
    <w:basedOn w:val="DefaultParagraphFont"/>
    <w:rsid w:val="0093582C"/>
    <w:rPr>
      <w:sz w:val="16"/>
      <w:szCs w:val="16"/>
    </w:rPr>
  </w:style>
  <w:style w:type="paragraph" w:styleId="CommentText">
    <w:name w:val="annotation text"/>
    <w:basedOn w:val="Normal"/>
    <w:link w:val="CommentTextChar"/>
    <w:rsid w:val="0093582C"/>
    <w:rPr>
      <w:sz w:val="20"/>
    </w:rPr>
  </w:style>
  <w:style w:type="character" w:customStyle="1" w:styleId="CommentTextChar">
    <w:name w:val="Comment Text Char"/>
    <w:basedOn w:val="DefaultParagraphFont"/>
    <w:link w:val="CommentText"/>
    <w:rsid w:val="0093582C"/>
    <w:rPr>
      <w:lang w:val="hu-HU"/>
    </w:rPr>
  </w:style>
  <w:style w:type="paragraph" w:styleId="CommentSubject">
    <w:name w:val="annotation subject"/>
    <w:basedOn w:val="CommentText"/>
    <w:next w:val="CommentText"/>
    <w:link w:val="CommentSubjectChar"/>
    <w:rsid w:val="0093582C"/>
    <w:rPr>
      <w:b/>
      <w:bCs/>
    </w:rPr>
  </w:style>
  <w:style w:type="character" w:customStyle="1" w:styleId="CommentSubjectChar">
    <w:name w:val="Comment Subject Char"/>
    <w:basedOn w:val="CommentTextChar"/>
    <w:link w:val="CommentSubject"/>
    <w:rsid w:val="0093582C"/>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6/679/oj" TargetMode="External"/><Relationship Id="rId2" Type="http://schemas.openxmlformats.org/officeDocument/2006/relationships/hyperlink" Target="http://data.europa.eu/eli/dir/2024/1785/oj" TargetMode="External"/><Relationship Id="rId1" Type="http://schemas.openxmlformats.org/officeDocument/2006/relationships/hyperlink" Target="http://data.europa.eu/eli/agree_interinstit/2010/1120/oj" TargetMode="External"/><Relationship Id="rId5" Type="http://schemas.openxmlformats.org/officeDocument/2006/relationships/hyperlink" Target="http://data.europa.eu/eli/C/2025/1278/oj" TargetMode="External"/><Relationship Id="rId4" Type="http://schemas.openxmlformats.org/officeDocument/2006/relationships/hyperlink" Target="http://data.europa.eu/eli/dir/2024/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3693</Words>
  <Characters>26365</Characters>
  <Application>Microsoft Office Word</Application>
  <DocSecurity>0</DocSecurity>
  <Lines>1054</Lines>
  <Paragraphs>435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2025-11-12T15:08:00Z</dcterms:created>
  <dcterms:modified xsi:type="dcterms:W3CDTF">2025-11-12T15:08:00Z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A10-0170/2025</vt:lpwstr>
  </property>
  <property fmtid="{D5CDD505-2E9C-101B-9397-08002B2CF9AE}" pid="4" name="&lt;Type&gt;">
    <vt:lpwstr>RR</vt:lpwstr>
  </property>
</Properties>
</file>