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3ED6" w14:paraId="79E8E7AC" w14:textId="77777777" w:rsidTr="0010095E">
        <w:trPr>
          <w:trHeight w:hRule="exact" w:val="1418"/>
        </w:trPr>
        <w:tc>
          <w:tcPr>
            <w:tcW w:w="6804" w:type="dxa"/>
            <w:shd w:val="clear" w:color="auto" w:fill="auto"/>
            <w:vAlign w:val="center"/>
          </w:tcPr>
          <w:p w14:paraId="2B9C8BA1" w14:textId="77777777" w:rsidR="00751A4A" w:rsidRPr="00803ED6" w:rsidRDefault="00C019D6" w:rsidP="0010095E">
            <w:pPr>
              <w:pStyle w:val="EPName"/>
            </w:pPr>
            <w:r w:rsidRPr="00803ED6">
              <w:t>Europos Parlamentas</w:t>
            </w:r>
          </w:p>
          <w:p w14:paraId="2FA564E0" w14:textId="77777777" w:rsidR="00751A4A" w:rsidRPr="00803ED6" w:rsidRDefault="005F1B17" w:rsidP="005F1B17">
            <w:pPr>
              <w:pStyle w:val="EPTerm"/>
              <w:rPr>
                <w:rStyle w:val="HideTWBExt"/>
                <w:noProof w:val="0"/>
                <w:vanish w:val="0"/>
                <w:color w:val="auto"/>
              </w:rPr>
            </w:pPr>
            <w:r w:rsidRPr="00803ED6">
              <w:t>2024</w:t>
            </w:r>
            <w:r w:rsidR="00817416" w:rsidRPr="00803ED6">
              <w:t>-202</w:t>
            </w:r>
            <w:r w:rsidRPr="00803ED6">
              <w:t>9</w:t>
            </w:r>
          </w:p>
        </w:tc>
        <w:tc>
          <w:tcPr>
            <w:tcW w:w="2268" w:type="dxa"/>
            <w:shd w:val="clear" w:color="auto" w:fill="auto"/>
          </w:tcPr>
          <w:p w14:paraId="771BA07E" w14:textId="77777777" w:rsidR="00751A4A" w:rsidRPr="00803ED6" w:rsidRDefault="00187494" w:rsidP="0010095E">
            <w:pPr>
              <w:pStyle w:val="EPLogo"/>
            </w:pPr>
            <w:r w:rsidRPr="00803ED6">
              <w:rPr>
                <w:noProof/>
                <w:lang w:eastAsia="ja-JP"/>
              </w:rPr>
              <w:drawing>
                <wp:inline distT="0" distB="0" distL="0" distR="0" wp14:anchorId="35847D27" wp14:editId="36C202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0CB2E2" w14:textId="77777777" w:rsidR="00D058B8" w:rsidRPr="00803ED6" w:rsidRDefault="00D058B8" w:rsidP="004C5D52">
      <w:pPr>
        <w:pStyle w:val="LineTop"/>
      </w:pPr>
    </w:p>
    <w:p w14:paraId="3D377C9E" w14:textId="77777777" w:rsidR="00680577" w:rsidRPr="00803ED6" w:rsidRDefault="00C019D6" w:rsidP="00680577">
      <w:pPr>
        <w:pStyle w:val="EPBodyTA1"/>
      </w:pPr>
      <w:r w:rsidRPr="00803ED6">
        <w:t>PRIIMTI TEKSTAI</w:t>
      </w:r>
    </w:p>
    <w:p w14:paraId="14B47E43" w14:textId="77777777" w:rsidR="00D058B8" w:rsidRPr="00803ED6" w:rsidRDefault="00D058B8" w:rsidP="00D058B8">
      <w:pPr>
        <w:pStyle w:val="LineBottom"/>
      </w:pPr>
    </w:p>
    <w:p w14:paraId="6B5C810A" w14:textId="42385996" w:rsidR="00C019D6" w:rsidRPr="00803ED6" w:rsidRDefault="00C019D6" w:rsidP="00C019D6">
      <w:pPr>
        <w:pStyle w:val="ATHeading1"/>
      </w:pPr>
      <w:bookmarkStart w:id="0" w:name="TANumber"/>
      <w:r w:rsidRPr="00803ED6">
        <w:t>P10_TA(2025)0</w:t>
      </w:r>
      <w:r w:rsidR="00A72456">
        <w:t>228</w:t>
      </w:r>
      <w:bookmarkEnd w:id="0"/>
    </w:p>
    <w:p w14:paraId="56CF5F62" w14:textId="77777777" w:rsidR="00C019D6" w:rsidRPr="00803ED6" w:rsidRDefault="00C019D6" w:rsidP="00C019D6">
      <w:pPr>
        <w:pStyle w:val="ATHeading2"/>
      </w:pPr>
      <w:bookmarkStart w:id="1" w:name="title"/>
      <w:r w:rsidRPr="00803ED6">
        <w:t>Peticijų komiteto svarstymai 2024 m.</w:t>
      </w:r>
      <w:bookmarkEnd w:id="1"/>
    </w:p>
    <w:p w14:paraId="6C8B0B17" w14:textId="77777777" w:rsidR="00C019D6" w:rsidRPr="00803ED6" w:rsidRDefault="00C019D6" w:rsidP="00C019D6">
      <w:pPr>
        <w:rPr>
          <w:i/>
          <w:vanish/>
        </w:rPr>
      </w:pPr>
      <w:r w:rsidRPr="00803ED6">
        <w:rPr>
          <w:i/>
        </w:rPr>
        <w:fldChar w:fldCharType="begin"/>
      </w:r>
      <w:r w:rsidRPr="00803ED6">
        <w:rPr>
          <w:i/>
        </w:rPr>
        <w:instrText xml:space="preserve"> TC"(</w:instrText>
      </w:r>
      <w:bookmarkStart w:id="2" w:name="DocNumber"/>
      <w:r w:rsidRPr="00803ED6">
        <w:rPr>
          <w:i/>
        </w:rPr>
        <w:instrText>A10-0170/2025</w:instrText>
      </w:r>
      <w:bookmarkEnd w:id="2"/>
      <w:r w:rsidRPr="00803ED6">
        <w:rPr>
          <w:i/>
        </w:rPr>
        <w:instrText xml:space="preserve"> - Pranešėjas: Fredis </w:instrText>
      </w:r>
      <w:proofErr w:type="spellStart"/>
      <w:r w:rsidRPr="00803ED6">
        <w:rPr>
          <w:i/>
        </w:rPr>
        <w:instrText>Beleris</w:instrText>
      </w:r>
      <w:proofErr w:type="spellEnd"/>
      <w:r w:rsidRPr="00803ED6">
        <w:rPr>
          <w:i/>
        </w:rPr>
        <w:instrText xml:space="preserve">)"\l3 \n&gt; \* MERGEFORMAT </w:instrText>
      </w:r>
      <w:r w:rsidRPr="00803ED6">
        <w:rPr>
          <w:i/>
        </w:rPr>
        <w:fldChar w:fldCharType="end"/>
      </w:r>
    </w:p>
    <w:p w14:paraId="2D355F0D" w14:textId="77777777" w:rsidR="00C019D6" w:rsidRPr="00803ED6" w:rsidRDefault="00C019D6" w:rsidP="00C019D6">
      <w:pPr>
        <w:rPr>
          <w:vanish/>
        </w:rPr>
      </w:pPr>
      <w:bookmarkStart w:id="3" w:name="Commission"/>
      <w:r w:rsidRPr="00803ED6">
        <w:rPr>
          <w:vanish/>
        </w:rPr>
        <w:t>Peticijų komitetas</w:t>
      </w:r>
      <w:bookmarkEnd w:id="3"/>
    </w:p>
    <w:p w14:paraId="738C4C90" w14:textId="77777777" w:rsidR="00C019D6" w:rsidRPr="00803ED6" w:rsidRDefault="00C019D6" w:rsidP="00C019D6">
      <w:pPr>
        <w:rPr>
          <w:vanish/>
        </w:rPr>
      </w:pPr>
      <w:bookmarkStart w:id="4" w:name="PE"/>
      <w:r w:rsidRPr="00803ED6">
        <w:rPr>
          <w:vanish/>
        </w:rPr>
        <w:t>PE773.363</w:t>
      </w:r>
      <w:bookmarkEnd w:id="4"/>
    </w:p>
    <w:p w14:paraId="68621E28" w14:textId="6CF3A082" w:rsidR="00C019D6" w:rsidRPr="00803ED6" w:rsidRDefault="005C5ABC" w:rsidP="00C019D6">
      <w:pPr>
        <w:pStyle w:val="ATHeading3"/>
      </w:pPr>
      <w:bookmarkStart w:id="5" w:name="Sujet"/>
      <w:r>
        <w:t xml:space="preserve">2025 m. spalio 9 d. </w:t>
      </w:r>
      <w:r w:rsidR="00C019D6" w:rsidRPr="00803ED6">
        <w:t>Europos Parlamento rezoliucija dėl Peticijų komiteto svarstymų 2024 m.</w:t>
      </w:r>
      <w:bookmarkEnd w:id="5"/>
      <w:r w:rsidR="00C019D6" w:rsidRPr="00803ED6">
        <w:t xml:space="preserve"> </w:t>
      </w:r>
      <w:bookmarkStart w:id="6" w:name="References"/>
      <w:r w:rsidR="00C019D6" w:rsidRPr="00803ED6">
        <w:t>(2025/2114(INI))</w:t>
      </w:r>
      <w:bookmarkEnd w:id="6"/>
    </w:p>
    <w:p w14:paraId="3E7D57FC" w14:textId="77777777" w:rsidR="004E2F1D" w:rsidRPr="00803ED6" w:rsidRDefault="004E2F1D" w:rsidP="004E2F1D">
      <w:pPr>
        <w:pStyle w:val="EPComma"/>
      </w:pPr>
      <w:r w:rsidRPr="00803ED6">
        <w:rPr>
          <w:i/>
        </w:rPr>
        <w:t>Europos Parlamentas</w:t>
      </w:r>
      <w:r w:rsidRPr="00803ED6">
        <w:t>,</w:t>
      </w:r>
    </w:p>
    <w:p w14:paraId="69A53011" w14:textId="77777777" w:rsidR="004E2F1D" w:rsidRPr="00803ED6" w:rsidRDefault="004E2F1D" w:rsidP="004E2F1D">
      <w:pPr>
        <w:pStyle w:val="NormalHanging12a"/>
      </w:pPr>
      <w:r w:rsidRPr="00803ED6">
        <w:t>–</w:t>
      </w:r>
      <w:r w:rsidRPr="00803ED6">
        <w:tab/>
        <w:t>atsižvelgdamas į savo ankstesnes rezoliucijas dėl Peticijų komiteto svarstymų,</w:t>
      </w:r>
    </w:p>
    <w:p w14:paraId="0131EDFF" w14:textId="77777777" w:rsidR="004E2F1D" w:rsidRPr="00803ED6" w:rsidRDefault="004E2F1D" w:rsidP="004E2F1D">
      <w:pPr>
        <w:pStyle w:val="NormalHanging12a"/>
      </w:pPr>
      <w:r w:rsidRPr="00803ED6">
        <w:t>–</w:t>
      </w:r>
      <w:r w:rsidRPr="00803ED6">
        <w:tab/>
        <w:t>atsižvelgdamas į Europos Sąjungos sutarties (ES sutarties) 10 ir 11 straipsnius,</w:t>
      </w:r>
    </w:p>
    <w:p w14:paraId="7383FFBD" w14:textId="77777777" w:rsidR="004E2F1D" w:rsidRPr="00803ED6" w:rsidRDefault="004E2F1D" w:rsidP="004E2F1D">
      <w:pPr>
        <w:pStyle w:val="NormalHanging12a"/>
      </w:pPr>
      <w:r w:rsidRPr="00803ED6">
        <w:t>–</w:t>
      </w:r>
      <w:r w:rsidRPr="00803ED6">
        <w:tab/>
        <w:t>atsižvelgdamas į Sutarties dėl Europos Sąjungos veikimo (SESV) 20, 24 ir 227 straipsnius dėl ES piliečių ir gyventojų teisės pateikti peticijas Europos Parlamentui,</w:t>
      </w:r>
    </w:p>
    <w:p w14:paraId="29F6E708" w14:textId="77777777" w:rsidR="004E2F1D" w:rsidRPr="00803ED6" w:rsidRDefault="004E2F1D" w:rsidP="004E2F1D">
      <w:pPr>
        <w:pStyle w:val="NormalHanging12a"/>
      </w:pPr>
      <w:r w:rsidRPr="00803ED6">
        <w:t>–</w:t>
      </w:r>
      <w:r w:rsidRPr="00803ED6">
        <w:tab/>
        <w:t>atsižvelgdamas į SESV 228 straipsnį dėl Europos ombudsmeno vaidmens ir funkcijų,</w:t>
      </w:r>
    </w:p>
    <w:p w14:paraId="0009D62E" w14:textId="77777777" w:rsidR="004E2F1D" w:rsidRPr="00803ED6" w:rsidRDefault="004E2F1D" w:rsidP="004E2F1D">
      <w:pPr>
        <w:pStyle w:val="NormalHanging12a"/>
      </w:pPr>
      <w:r w:rsidRPr="00803ED6">
        <w:t>–</w:t>
      </w:r>
      <w:r w:rsidRPr="00803ED6">
        <w:tab/>
        <w:t>atsižvelgdamas į Europos Sąjungos pagrindinių teisių chartijos 44 straipsnį dėl teisės pateikti peticiją Europos Parlamentui,</w:t>
      </w:r>
    </w:p>
    <w:p w14:paraId="146A6600" w14:textId="77777777" w:rsidR="004E2F1D" w:rsidRPr="00803ED6" w:rsidRDefault="004E2F1D" w:rsidP="004E2F1D">
      <w:pPr>
        <w:pStyle w:val="NormalHanging12a"/>
      </w:pPr>
      <w:r w:rsidRPr="00803ED6">
        <w:t>–</w:t>
      </w:r>
      <w:r w:rsidRPr="00803ED6">
        <w:tab/>
        <w:t>atsižvelgdamas į SESV nuostatas, susijusias su pažeidimo nagrinėjimo procedūra, ypač į jos 258 ir 260 straipsnius,</w:t>
      </w:r>
    </w:p>
    <w:p w14:paraId="50D7C5D3" w14:textId="77777777" w:rsidR="004E2F1D" w:rsidRPr="00803ED6" w:rsidRDefault="004E2F1D" w:rsidP="004E2F1D">
      <w:pPr>
        <w:pStyle w:val="NormalHanging12a"/>
      </w:pPr>
      <w:r w:rsidRPr="00803ED6">
        <w:t>–</w:t>
      </w:r>
      <w:r w:rsidRPr="00803ED6">
        <w:tab/>
        <w:t>atsižvelgdamas į Darbo tvarkos taisyklių 55 straipsnį ir 233 straipsnio 7 dalį,</w:t>
      </w:r>
    </w:p>
    <w:p w14:paraId="00CCFD27" w14:textId="77777777" w:rsidR="004E2F1D" w:rsidRPr="00803ED6" w:rsidRDefault="004E2F1D" w:rsidP="004E2F1D">
      <w:pPr>
        <w:pStyle w:val="NormalHanging12a"/>
      </w:pPr>
      <w:r w:rsidRPr="00803ED6">
        <w:t>–</w:t>
      </w:r>
      <w:r w:rsidRPr="00803ED6">
        <w:tab/>
        <w:t>atsižvelgdamas į Peticijų komiteto pranešimą (A10</w:t>
      </w:r>
      <w:r w:rsidRPr="00803ED6">
        <w:noBreakHyphen/>
        <w:t>0170/2025),</w:t>
      </w:r>
    </w:p>
    <w:p w14:paraId="531865BB" w14:textId="77777777" w:rsidR="004E2F1D" w:rsidRPr="00803ED6" w:rsidRDefault="004E2F1D" w:rsidP="004E2F1D">
      <w:pPr>
        <w:pStyle w:val="NormalHanging12a"/>
      </w:pPr>
      <w:r w:rsidRPr="00803ED6">
        <w:t>A.</w:t>
      </w:r>
      <w:r w:rsidRPr="00803ED6">
        <w:tab/>
        <w:t xml:space="preserve">kadangi po Europos Parlamento rinkimų, vykusių 2024 m. birželio 6–9 d., ir po to, kai 2024 m. liepos 16 d. buvo sudarytas naujas Parlamentas, Peticijų komitetas 2024 m. liepos 23 d. surengė savo steigiamąjį posėdį; </w:t>
      </w:r>
    </w:p>
    <w:p w14:paraId="6A03A959" w14:textId="77777777" w:rsidR="004E2F1D" w:rsidRPr="00803ED6" w:rsidRDefault="004E2F1D" w:rsidP="004E2F1D">
      <w:pPr>
        <w:pStyle w:val="NormalHanging12a"/>
      </w:pPr>
      <w:r w:rsidRPr="00803ED6">
        <w:t>B.</w:t>
      </w:r>
      <w:r w:rsidRPr="00803ED6">
        <w:tab/>
        <w:t>kadangi metinio pranešimo dėl Peticijų komiteto svarstymų tikslas – pateikti 2024 m. gautų peticijų analizę, apžvelgti ryšius su kitomis institucijomis ir tiksliai pristatyti per 2024 m. pasiektus tikslus;</w:t>
      </w:r>
    </w:p>
    <w:p w14:paraId="2984AEA6" w14:textId="77777777" w:rsidR="004E2F1D" w:rsidRPr="00803ED6" w:rsidRDefault="004E2F1D" w:rsidP="004E2F1D">
      <w:pPr>
        <w:pStyle w:val="NormalHanging12a"/>
      </w:pPr>
      <w:r w:rsidRPr="00803ED6">
        <w:t>C.</w:t>
      </w:r>
      <w:r w:rsidRPr="00803ED6">
        <w:tab/>
        <w:t xml:space="preserve">kadangi 2024 m. Parlamentas gavo 1 518 peticijų, t. y. 4,3 proc. daugiau nei 2023 m., kai buvo gauta 1 452 peticijos, ir 19,8 proc. daugiau nei 2022 m., kai buvo gauta 1 217 peticijų; kadangi bendras gautų peticijų skaičius tebėra gerokai mažesnis nei 2013 ir </w:t>
      </w:r>
      <w:r w:rsidRPr="00803ED6">
        <w:lastRenderedPageBreak/>
        <w:t>2014 m. pasiektas pikas, kai Parlamentas sulaukė atitinkamai 2 891 ir 2 715 peticijų;</w:t>
      </w:r>
    </w:p>
    <w:p w14:paraId="622CDEAF" w14:textId="77777777" w:rsidR="004E2F1D" w:rsidRPr="00803ED6" w:rsidRDefault="004E2F1D" w:rsidP="004E2F1D">
      <w:pPr>
        <w:pStyle w:val="NormalHanging12a"/>
      </w:pPr>
      <w:r w:rsidRPr="00803ED6">
        <w:t>D.</w:t>
      </w:r>
      <w:r w:rsidRPr="00803ED6">
        <w:tab/>
        <w:t>kadangi 2024 m. Parlamento peticijų interneto portale peticijas parėmė 15 661 naudotojas, t. y. gerokai mažiau, palyginti su 26 331 2023 m. ir 22 441 2022 m.; kadangi 2024 m. paramos spustelėjimų skaičius taip pat sumažėjo iki 17 745, palyginti su 29 287 2023 m. ir 27 927 2022 m.;</w:t>
      </w:r>
    </w:p>
    <w:p w14:paraId="6E67CB3E" w14:textId="77777777" w:rsidR="004E2F1D" w:rsidRPr="00803ED6" w:rsidRDefault="004E2F1D" w:rsidP="004E2F1D">
      <w:pPr>
        <w:pStyle w:val="NormalHanging12a"/>
      </w:pPr>
      <w:r w:rsidRPr="00803ED6">
        <w:t>E.</w:t>
      </w:r>
      <w:r w:rsidRPr="00803ED6">
        <w:tab/>
        <w:t>kadangi bendras peticijų skaičius, palyginti su bendru ES gyventojų skaičiumi, išlieka nedidelis, vadinasi, vis dar reikia dėti daugiau pastangų, kad piliečiai būtų geriau informuoti apie savo teisę pateikti peticijas ir peticijų galimą naudą siekiant atkreipti ES institucijų ir valstybių narių dėmesį į klausimus, kurie daro tiesioginį poveikį piliečiams ir yra tiesiogiai su jais susiję; kadangi Peticijų komitetas, kuris yra labai populiarus tarp jaunimo tokiuose renginiuose kaip Europos jaunimo renginys (EYE) Strasbūre, turi veiksmingų priemonių propaguoti šią teisę ir informuoti piliečius, ypač jaunąsias kartas, apie jos svarbą; kadangi todėl būtina užtikrinti, kad Peticijų komitetas aktyviai ir sistemingai dalyvautų kiekviename EYE renginyje ir taip didintų savo matomumą ir prieinamumą; kadangi piliečiai, naudodamiesi teise pateikti peticijas, tikisi, kad ES institucijos, surasdamos sprendimą jų problemoms, sukurs pridėtinę vertę; kadangi šia teise pateikti peticijas taip pat turi būti skatinami tokie pagrindiniai principai kaip geras Europos institucijų administravimas, saviraiškos laisvė ir pagarba demokratinei raiškai;</w:t>
      </w:r>
    </w:p>
    <w:p w14:paraId="1EED0A67" w14:textId="77777777" w:rsidR="004E2F1D" w:rsidRPr="00803ED6" w:rsidRDefault="004E2F1D" w:rsidP="004E2F1D">
      <w:pPr>
        <w:pStyle w:val="NormalHanging12a"/>
      </w:pPr>
      <w:r w:rsidRPr="00803ED6">
        <w:t>F.</w:t>
      </w:r>
      <w:r w:rsidRPr="00803ED6">
        <w:tab/>
        <w:t>kadangi peticijų priimtinumo kriterijai yra nustatyti SESV 227 straipsnyje ir Parlamento darbo tvarkos taisyklių 232 straipsnio 1 dalyje, kuriais vadovaujantis peticijas atskirai arba kartu su kitais gali pateikti ES pilietis arba valstybėje narėje gyvenantis ar savo registruotą buveinę turintis fizinis arba juridinis asmuo, patiriantis tiesioginį ES sričiai priklausančių klausimų poveikį, kuris aiškinamas labai plačiai;</w:t>
      </w:r>
    </w:p>
    <w:p w14:paraId="06B4D515" w14:textId="77777777" w:rsidR="004E2F1D" w:rsidRPr="00803ED6" w:rsidRDefault="004E2F1D" w:rsidP="004E2F1D">
      <w:pPr>
        <w:pStyle w:val="NormalHanging12a"/>
      </w:pPr>
      <w:r w:rsidRPr="00803ED6">
        <w:t>G.</w:t>
      </w:r>
      <w:r w:rsidRPr="00803ED6">
        <w:tab/>
        <w:t xml:space="preserve">kadangi iš 1 518 peticijų, pateiktų 2024 m., 611 buvo paskelbtos nepriimtinomis, o 31 buvo atsiimta; kadangi tai, kad 2024 m. fiksuota didelė nepriimtinų peticijų procentinė dalis (40,25 proc.), kuri vis auga, rodo, jog vis dar labai trūksta supratimo dėl ES atsakomybės sričių apimties ir ribų; kadangi, siekiant sumažinti nepriimtinų peticijų skaičių, vis dar reikia imtis veiksmų, kad būtų dar aiškiau apibrėžta ES veiklos sričių apimtis; </w:t>
      </w:r>
    </w:p>
    <w:p w14:paraId="625F3AED" w14:textId="77777777" w:rsidR="004E2F1D" w:rsidRPr="00803ED6" w:rsidRDefault="004E2F1D" w:rsidP="004E2F1D">
      <w:pPr>
        <w:pStyle w:val="NormalHanging12a"/>
      </w:pPr>
      <w:r w:rsidRPr="00803ED6">
        <w:t>H.</w:t>
      </w:r>
      <w:r w:rsidRPr="00803ED6">
        <w:tab/>
        <w:t>kadangi teisė pateikti peticiją Parlamentui yra pagrindinė ES piliečių teisė, suteikianti piliečiams ir gyventojams atvirą, demokratinį ir skaidrų būdą tiesiogiai kreiptis į jų išrinktus atstovus; kadangi dėl prieinamų formatų stygiaus ir dėl to, kad nacionalinės gestų kalbos nelaikomos ES daugiakalbystės dalimi, daugelis asmenų su negalia neturi vienodų galimybių gauti informaciją ir bendrauti; kadangi ši svarbi priemonė suteikia piliečiams galimybę aktyviai ir veiksmingai dalyvauti Sąjungos gyvenime; kadangi pateikdami peticijas ES piliečiai gali skųstis, kad ES teisės aktai nevykdomi, ir padėti nustatyti ES teisės pažeidimus, gerbiant valstybių narių suverenitetą ir taikant ES sutartis;</w:t>
      </w:r>
    </w:p>
    <w:p w14:paraId="7A648E0E" w14:textId="77777777" w:rsidR="004E2F1D" w:rsidRPr="00803ED6" w:rsidRDefault="004E2F1D" w:rsidP="004E2F1D">
      <w:pPr>
        <w:pStyle w:val="NormalHanging12a"/>
      </w:pPr>
      <w:r w:rsidRPr="00803ED6">
        <w:t>I.</w:t>
      </w:r>
      <w:r w:rsidRPr="00803ED6">
        <w:tab/>
        <w:t>kadangi Parlamentas jau ilgą laiką tarptautiniu mastu pirmauja peticijų proceso tobulinimo srityje ir jo taikoma procedūra yra atviriausia ir skaidriausia Europoje, nes suteikia galimybę peticijų pateikėjams visapusiškai dalyvauti Parlamento veikloje; kadangi skaitmeninę peticijų platformą būtų galima padaryti intuityvesnę, kad naudotojams būtų lengviau joje naršyti; kadangi integravus dirbtinio intelekto technologijas būtų galima supaprastinti paiešką ir pagerinti peticijų prieinamumą, suteikiant daugiau funkcijų, nei leidžiama pagal dabartinį formatą;</w:t>
      </w:r>
    </w:p>
    <w:p w14:paraId="7EAAA7DE" w14:textId="77777777" w:rsidR="004E2F1D" w:rsidRPr="00803ED6" w:rsidRDefault="004E2F1D" w:rsidP="004E2F1D">
      <w:pPr>
        <w:pStyle w:val="NormalHanging12a"/>
      </w:pPr>
      <w:r w:rsidRPr="00803ED6">
        <w:lastRenderedPageBreak/>
        <w:t>J.</w:t>
      </w:r>
      <w:r w:rsidRPr="00803ED6">
        <w:tab/>
        <w:t>kadangi Peticijų komitetas akcentuoja didesnio skaidrumo nagrinėjant peticijas svarbą, įskaitant sisteminį grįžtamosios informacijos pateikimą peticijų pateikėjams pagrindiniuose procedūros etapuose ir aiškų tolesnių veiksmų, kurių turi imtis ES institucijos, tvarkaraštį;</w:t>
      </w:r>
    </w:p>
    <w:p w14:paraId="73F6E85B" w14:textId="77777777" w:rsidR="004E2F1D" w:rsidRPr="00803ED6" w:rsidRDefault="004E2F1D" w:rsidP="004E2F1D">
      <w:pPr>
        <w:pStyle w:val="NormalHanging12a"/>
      </w:pPr>
      <w:r w:rsidRPr="00803ED6">
        <w:t>K.</w:t>
      </w:r>
      <w:r w:rsidRPr="00803ED6">
        <w:tab/>
        <w:t>kadangi Peticijų komiteto veikla grindžiama peticijų pateikėjų pateikta informacija; kadangi ši informacija, kartu su Komisijos, valstybių narių ir kitų įstaigų pateiktomis ekspertinėmis žiniomis, yra labai svarbi Peticijų komiteto darbui; kadangi priimtinose peticijose dažnai pateikiama vertingos informacijos kitų Parlamento komitetų darbui; kadangi dėl šios priežasties peticijos taip pat gali atlikti svarbų vaidmenį teisėkūros procese, nes suteikia konkrečios grįžtamosios informacijos apie ES politikos poveikį ir sudaro galimybę parengti politiką, kuria būtų reaguojama į naujus poreikius;</w:t>
      </w:r>
    </w:p>
    <w:p w14:paraId="623CDCDF" w14:textId="77777777" w:rsidR="004E2F1D" w:rsidRPr="00803ED6" w:rsidRDefault="004E2F1D" w:rsidP="004E2F1D">
      <w:pPr>
        <w:pStyle w:val="NormalHanging12a"/>
      </w:pPr>
      <w:r w:rsidRPr="00803ED6">
        <w:t>L.</w:t>
      </w:r>
      <w:r w:rsidRPr="00803ED6">
        <w:tab/>
        <w:t>kadangi teisė pateikti peticijas padeda Parlamentui geriau reaguoti į skundus ir susirūpinimą keliančius klausimus, susijusius su ES pagrindinių teisių ir Sąjungos teisės laikymusi valstybėse narėse; kadangi peticijos galėtų būti naudingas informacijos apie ES teisės netinkamo taikymo ar pažeidimo atvejus šaltinis ir suteikti galimybę Parlamentui ir kitoms institucijoms įvertinti, kaip ES teisės aktai perkeliami į nacionalinę teisę ir taikomi, taip pat įvertinti jų poveikį ES piliečių ir gyventojų teisėms;</w:t>
      </w:r>
    </w:p>
    <w:p w14:paraId="53F253EB" w14:textId="77777777" w:rsidR="004E2F1D" w:rsidRPr="00803ED6" w:rsidRDefault="004E2F1D" w:rsidP="004E2F1D">
      <w:pPr>
        <w:pStyle w:val="NormalHanging12a"/>
      </w:pPr>
      <w:r w:rsidRPr="00803ED6">
        <w:t>M.</w:t>
      </w:r>
      <w:r w:rsidRPr="00803ED6">
        <w:tab/>
        <w:t>kadangi kiekviena peticija svarstoma ir nagrinėjama nuodugniai, efektyviai ir skaidriai; kadangi visi peticijos pateikėjai turi teisę per pagrįstą laikotarpį gauti atsakymą, kuriame būtų pateikta informacija jų gimtąja arba peticijoje vartojama kalba apie Peticijų komiteto priimtą sprendimą dėl priimtinumo ir tolesnių veiksmų, kurių imtasi; kadangi 2024 m. kovo 19 d. aptartoje peticijoje Nr. 1056/2016 prašoma, kad Parlamentas leistų teikti peticijas ES vartojamomis nacionalinėmis gestų kalbomis;</w:t>
      </w:r>
    </w:p>
    <w:p w14:paraId="128A3059" w14:textId="77777777" w:rsidR="004E2F1D" w:rsidRPr="00803ED6" w:rsidRDefault="004E2F1D" w:rsidP="004E2F1D">
      <w:pPr>
        <w:pStyle w:val="NormalHanging12a"/>
      </w:pPr>
      <w:r w:rsidRPr="00803ED6">
        <w:t>N.</w:t>
      </w:r>
      <w:r w:rsidRPr="00803ED6">
        <w:tab/>
        <w:t>kadangi Peticijų komitetas teikia itin didelę svarbą peticijų nagrinėjimui ir viešam aptarimui komiteto posėdžiuose; kadangi peticijų pateikėjai turi teisę pristatyti savo peticijas ir dažnai išsako savo nuomonę diskusijose, taip aktyviai prisidėdami prie komiteto darbo; kadangi 2024 m. Peticijų komitetas surengė aštuonis komiteto posėdžius (neskaičiuojant steigiamojo posėdžio), per kuriuos buvo aptartos 106 peticijos, dalyvaujant 106 peticijų pateikėjams, kurie aktyviai dalyvavo išsakydami savo nuomonę;</w:t>
      </w:r>
    </w:p>
    <w:p w14:paraId="5A6D6EDE" w14:textId="77777777" w:rsidR="004E2F1D" w:rsidRPr="00803ED6" w:rsidRDefault="004E2F1D" w:rsidP="004E2F1D">
      <w:pPr>
        <w:pStyle w:val="NormalHanging12a"/>
      </w:pPr>
      <w:r w:rsidRPr="00803ED6">
        <w:t>O.</w:t>
      </w:r>
      <w:r w:rsidRPr="00803ED6">
        <w:tab/>
        <w:t>kadangi 2024 m. pateiktose peticijose pagrindiniai susirūpinimą keliantys klausimai buvo susiję su aplinka, pagrindinėmis teisėmis, teisinės valstybės principu (įskaitant teisę į gerą administravimą, teisę susipažinti su dokumentais ir saviraiškos bei informacijos laisvę), vidaus rinka, teisingumu, vartotojų teisėmis ir sveikata;</w:t>
      </w:r>
    </w:p>
    <w:p w14:paraId="33431EC1" w14:textId="77777777" w:rsidR="004E2F1D" w:rsidRPr="00803ED6" w:rsidRDefault="004E2F1D" w:rsidP="004E2F1D">
      <w:pPr>
        <w:pStyle w:val="NormalHanging12a"/>
      </w:pPr>
      <w:r w:rsidRPr="00803ED6">
        <w:t>P.</w:t>
      </w:r>
      <w:r w:rsidRPr="00803ED6">
        <w:tab/>
        <w:t>kadangi tvirtindamas savo posėdžio darbotvarkę Peticijų komitetas deda pastangas, kad aptartų peticijas ir temas, kurios yra labai svarbios diskusijoms ES lygmeniu, ir patenkintų poreikį pagal gautas peticijas išlaikyti subalansuotą geografinę temų aprėptį;</w:t>
      </w:r>
    </w:p>
    <w:p w14:paraId="30FF9F5E" w14:textId="77777777" w:rsidR="004E2F1D" w:rsidRPr="00803ED6" w:rsidRDefault="004E2F1D" w:rsidP="004E2F1D">
      <w:pPr>
        <w:pStyle w:val="NormalHanging12a"/>
      </w:pPr>
      <w:r w:rsidRPr="00803ED6">
        <w:t>Q.</w:t>
      </w:r>
      <w:r w:rsidRPr="00803ED6">
        <w:tab/>
        <w:t>kadangi 82 proc. 2024 m. Parlamentui pateiktų peticijų buvo pateiktos per Parlamento peticijų interneto portalą, t. y. beveik tiek pat, kiek 2023 m. (82,4 proc.), ir tai dar kartą patvirtina, kad portalas yra plačiausiai naudojamas piliečių peticijų teikimo Parlamentui kanalas;</w:t>
      </w:r>
    </w:p>
    <w:p w14:paraId="5991970A" w14:textId="77777777" w:rsidR="004E2F1D" w:rsidRPr="00803ED6" w:rsidRDefault="004E2F1D" w:rsidP="004E2F1D">
      <w:pPr>
        <w:pStyle w:val="NormalHanging12a"/>
      </w:pPr>
      <w:r w:rsidRPr="00803ED6">
        <w:t>R.</w:t>
      </w:r>
      <w:r w:rsidRPr="00803ED6">
        <w:tab/>
        <w:t xml:space="preserve">kadangi atnaujintame peticijų interneto portale automatiškai informacija apie peticijų priėmimą ir statuso pakeitimus, papildoma informacija (pvz., šalis, temos) ir santraukos </w:t>
      </w:r>
      <w:r w:rsidRPr="00803ED6">
        <w:lastRenderedPageBreak/>
        <w:t>visomis 24 oficialiosiomis ES kalbomis; kadangi 2024 m. visos peticijos vėl buvo parengtos ir paskelbtos laiku – per kelias dienas nuo jų priėmimo – ir kadangi į visus vidaus ir išorės prašymus suteikti paramą dėl peticijų interneto portalo naudojimo ir turinio buvo atsakyta sėkmingai, laiku ir viena iš oficialiųjų ES kalbų;</w:t>
      </w:r>
    </w:p>
    <w:p w14:paraId="415C35D2" w14:textId="77777777" w:rsidR="004E2F1D" w:rsidRPr="00803ED6" w:rsidRDefault="004E2F1D" w:rsidP="004E2F1D">
      <w:pPr>
        <w:pStyle w:val="NormalHanging12a"/>
      </w:pPr>
      <w:r w:rsidRPr="00803ED6">
        <w:t>S.</w:t>
      </w:r>
      <w:r w:rsidRPr="00803ED6">
        <w:tab/>
        <w:t>kadangi 2024 m. dėl Europos Parlamento rinkimams skirtos pertraukos nebuvo surengta jokių apsilankymų informacijos rinkimo tikslu, susijusių su peticijomis, dėl kurių buvo vykdomas tyrimas; kadangi komitetas atliko tolesnių veiksmų vertinimą ir priėmė du pranešimus dėl ankstesnių apsilankymų informacijos rinkimo tikslu, kurie vyko 2023 m.; kadangi 2025 m. pirmąjį pusmetį buvo numatyta surengti du apsilankymus informacijos rinkimo tikslu;</w:t>
      </w:r>
    </w:p>
    <w:p w14:paraId="0989954E" w14:textId="77777777" w:rsidR="004E2F1D" w:rsidRPr="00803ED6" w:rsidRDefault="004E2F1D" w:rsidP="004E2F1D">
      <w:pPr>
        <w:pStyle w:val="NormalHanging12a"/>
      </w:pPr>
      <w:r w:rsidRPr="00803ED6">
        <w:t>T.</w:t>
      </w:r>
      <w:r w:rsidRPr="00803ED6">
        <w:tab/>
        <w:t xml:space="preserve">kadangi 2024 m. lapkričio 4 d. Peticijų komitetas kaip pakviestas komitetas dalyvavo paskirtojo Komisijos nario, atsakingo už prekybą ir ekonominį saugumą, institucijų ryšius ir skaidrumą, Marošo Šefčovičiaus patvirtinimo klausyme; kadangi Maroš Šefčovič, atsakydamas patvirtinimo klausymui Peticijų komiteto pateiktus klausimus, į kuriuos atsakoma raštu ir žodžiu, prisiėmė tam tikrų įsipareigojimų, susijusių su peticijų procesu ir Komisijos vykdymo užtikrinimo veiksmų skaidrumu; </w:t>
      </w:r>
    </w:p>
    <w:p w14:paraId="7E3186E8" w14:textId="77777777" w:rsidR="004E2F1D" w:rsidRPr="00803ED6" w:rsidRDefault="004E2F1D" w:rsidP="004E2F1D">
      <w:pPr>
        <w:pStyle w:val="NormalHanging12a"/>
      </w:pPr>
      <w:r w:rsidRPr="00803ED6">
        <w:t>U.</w:t>
      </w:r>
      <w:r w:rsidRPr="00803ED6">
        <w:tab/>
        <w:t xml:space="preserve">kadangi, remiantis Parlamento darbo tvarkos taisyklėmis, Peticijų komitetas taip pat yra atsakingas už ryšius su Europos ombudsmenu, kuris tiria skundus dėl netinkamo administravimo atvejų ES institucijose ir organuose; kadangi 2024 m. Peticijų komitetas atliko esminį vaidmenį organizuojant Europos ombudsmeno rinkimus, surengdamas viešą kandidatų klausymą pagal Parlamento darbo tvarkos taisyklių 237 straipsnį; kadangi 2024 m. gruodžio 17 d. Teresa Anjinho buvo išrinkta Europos ombudsmene 2024–2029 m. Parlamento kadencijai; </w:t>
      </w:r>
    </w:p>
    <w:p w14:paraId="4D116D9D" w14:textId="77777777" w:rsidR="004E2F1D" w:rsidRPr="00803ED6" w:rsidRDefault="004E2F1D" w:rsidP="004E2F1D">
      <w:pPr>
        <w:pStyle w:val="NormalHanging12a"/>
      </w:pPr>
      <w:r w:rsidRPr="00803ED6">
        <w:t>V.</w:t>
      </w:r>
      <w:r w:rsidRPr="00803ED6">
        <w:tab/>
        <w:t xml:space="preserve">kadangi 2024 m. Peticijų komiteto ir Europos ombudsmeno santykiai išliko konstruktyvūs, kaip matyti iš aktyvaus ankstesnės Europos ombudsmenės Emily O’Reilly dalyvavimo komiteto posėdžiuose; kadangi 2024 m. rugsėjo 4 d. Peticijų komiteto posėdyje ji pristatė savo 2023 m. metinę ataskaitą ir 2024 m. gruodžio 2 d. dalyvavo komiteto metiniame praktiniame seminare asmenų su negalia teisių klausimais; </w:t>
      </w:r>
    </w:p>
    <w:p w14:paraId="30A6F947" w14:textId="77777777" w:rsidR="004E2F1D" w:rsidRPr="00803ED6" w:rsidRDefault="004E2F1D" w:rsidP="004E2F1D">
      <w:pPr>
        <w:pStyle w:val="NormalHanging12a"/>
      </w:pPr>
      <w:r w:rsidRPr="00803ED6">
        <w:t>W.</w:t>
      </w:r>
      <w:r w:rsidRPr="00803ED6">
        <w:tab/>
        <w:t>kadangi Peticijų komitetas priklauso Europos ombudsmenų tinklui, kurio nariais taip pat yra Europos ombudsmenas, nacionaliniai ir regioniniai ombudsmenai ir panašios valstybių narių, šalių kandidačių ir kitų Europos ekonominės erdvės šalių institucijos ir kurio tikslas – skatinti keistis informacija apie ES teisę ir politiką ir dalytis geriausia patirtimi;</w:t>
      </w:r>
    </w:p>
    <w:p w14:paraId="10B5D916" w14:textId="77777777" w:rsidR="004E2F1D" w:rsidRPr="00803ED6" w:rsidRDefault="004E2F1D" w:rsidP="004E2F1D">
      <w:pPr>
        <w:pStyle w:val="NormalHanging12a"/>
      </w:pPr>
      <w:r w:rsidRPr="00803ED6">
        <w:t>1.</w:t>
      </w:r>
      <w:r w:rsidRPr="00803ED6">
        <w:tab/>
        <w:t>primena svarbų Peticijų komiteto vaidmenį siekiant apsaugoti ir propaguoti ES piliečių ir gyventojų teises ir pažymi, kad komitetas privalo užtikrinti, kad būtų laiku, veiksmingai, prieinamai ir tinkamai nagrinėjami peticijų pateikėjams susirūpinimą keliantys klausimai ir jų pateikti skundai ir kad peticijų pateikėjai būtų tinkamai informuojami apie veiksmus, kurių imtasi, ir pažangą, kurios pasiekta, nagrinėjant jų peticijas; tačiau apgailestauja, kad praktikoje taip yra ne visada; primena, kad visos peticijos turi būti tvarkomos taikant atvirą, demokratinį ir skaidrų peticijų nagrinėjimo procesą, kurio komitetas turėtų nuosekliai laikytis; rekomenduoja persvarstyti vidaus procedūras siekiant užtikrinti, kad panašios arba pasikartojančios peticijos būtų sugrupuojamos kartu ir nagrinėjamos veiksmingiau kartu užtikrinant kiekvieno peticijos pateikėjo teisę būti asmeniškai išklausytam;</w:t>
      </w:r>
    </w:p>
    <w:p w14:paraId="2B55CEA0" w14:textId="77777777" w:rsidR="004E2F1D" w:rsidRPr="00803ED6" w:rsidRDefault="004E2F1D" w:rsidP="004E2F1D">
      <w:pPr>
        <w:pStyle w:val="NormalHanging12a"/>
      </w:pPr>
      <w:r w:rsidRPr="00803ED6">
        <w:lastRenderedPageBreak/>
        <w:t>2.</w:t>
      </w:r>
      <w:r w:rsidRPr="00803ED6">
        <w:tab/>
        <w:t>pakartoja nuolatinių viešų diskusijų apie ES veiklos sritis svarbą siekiant užtikrinti, kad piliečiai būtų tinkamai informuoti apie Sąjungos kompetencijos sritis ir skirtingus sprendimų priėmimo proceso lygmenis ir taip būtų sumažintas nepriimtinų peticijų skaičius; pakartoja savo raginimą rengti platesnės apimties informuotumo didinimo kampanijas, visų pirma atokiuose regionuose, taip pat tarp nepakankamai atstovaujamų piliečių grupių, įskaitant jaunimą, moteris ir kaimo bei salų bendruomenes, aktyviai naudojantis esamomis ES ryšių paslaugomis visoje Sąjungoje, siekiant padėti piliečiams daugiau sužinoti apie savo teisę pateikti peticijas, taip pat apie ES atsakomybės sritis ir ribas bei apie Peticijų komiteto kompetenciją; ragina su peticijų pateikėjais bendrauti aiškiau, nevartojant žargono ir geriau visuomenei paaiškinti Peticijų komiteto funkcijas ir ribas, visų pirma pažeidžiamiems arba pirmą kartą besikreipiantiesiems;</w:t>
      </w:r>
    </w:p>
    <w:p w14:paraId="15E49B5B" w14:textId="77777777" w:rsidR="004E2F1D" w:rsidRPr="00803ED6" w:rsidRDefault="004E2F1D" w:rsidP="004E2F1D">
      <w:pPr>
        <w:pStyle w:val="NormalHanging12a"/>
      </w:pPr>
      <w:r w:rsidRPr="00803ED6">
        <w:t>3.</w:t>
      </w:r>
      <w:r w:rsidRPr="00803ED6">
        <w:tab/>
        <w:t>primena, kad Peticijų komitetas, į kurį gali kreiptis visų 27 valstybių narių piliečiai klausimais, patenkančiais į ES sutarčių ir ES teisės taikymo sritį, pasižymi europiniu aspektu; mano, kad komitetui tenka ypatinga atsakomybė palaikyti šį europinį aspektą atsižvelgiant į šalių suverenitetą ir nacionalinius ypatumus ir parodyti piliečiams Europos vienybės ir integracijos pridėtinę vertę;</w:t>
      </w:r>
    </w:p>
    <w:p w14:paraId="7E28B39E" w14:textId="77777777" w:rsidR="004E2F1D" w:rsidRPr="00803ED6" w:rsidRDefault="004E2F1D" w:rsidP="004E2F1D">
      <w:pPr>
        <w:pStyle w:val="NormalHanging12a"/>
      </w:pPr>
      <w:r w:rsidRPr="00803ED6">
        <w:t>4.</w:t>
      </w:r>
      <w:r w:rsidRPr="00803ED6">
        <w:tab/>
        <w:t>atkreipia dėmesį į tai, kad peticijos yra unikali galimybė Parlamentui ir kitoms ES institucijoms užmegzti tiesioginį ryšį su ES piliečiais ir palaikyti nuolatinį dialogą su jais, ypač tais atvejais, kai jie nukenčia dėl netinkamai taikomų arba pažeidžiamų ES teisės nuostatų; pabrėžia, kad būtinas tvirtesnis ES institucijų bendradarbiavimas su nacionalinėmis, regioninėmis ir vietos valdžios institucijomis dėl tyrimų, susijusių su ES teisės įgyvendinimu ir atitiktimi jos nuostatoms; mano, kad toks bendradarbiavimas yra itin svarbus aptariant ir sprendžiant piliečių susirūpinimą keliančius klausimus dėl ES teisės taikymo ir padeda stiprinti Sąjungos demokratinį legitimumą bei atskaitomybę; todėl ragina valstybių narių atstovus prasmingai dalyvauti komiteto posėdžiuose ir laiku bei išsamiai atsakyti į Peticijų komiteto nacionalinėms institucijoms siunčiamus prašymus patikslinti detales arba suteikti informacijos, siekiant užtikrinti tinkamus tolesnius veiksmus dėl peticijų;</w:t>
      </w:r>
    </w:p>
    <w:p w14:paraId="7A7FB220" w14:textId="77777777" w:rsidR="004E2F1D" w:rsidRPr="00803ED6" w:rsidRDefault="004E2F1D" w:rsidP="004E2F1D">
      <w:pPr>
        <w:pStyle w:val="NormalHanging12a"/>
      </w:pPr>
      <w:r w:rsidRPr="00803ED6">
        <w:t>5.</w:t>
      </w:r>
      <w:r w:rsidRPr="00803ED6">
        <w:tab/>
        <w:t>primena, kad 2024 m. pradžioje Peticijų komitetas gavo daug peticijų, kuriose išreiškiamas susirūpinimas dėl suvokiamų grėsmių teisinei valstybei Ispanijoje; atkreipia dėmesį į 2024 m. sausio mėn. vykusias bendrąsias diskusijas dėl keleto peticijų, kuriose kalbama apie įvykius Ispanijoje, visų pirma susijusius su vyriausybės pasiūlymu dėl amnestijos įstatymo ir jo galimu poveikiu Ispanijos ir ES teisinėms sistemoms;</w:t>
      </w:r>
    </w:p>
    <w:p w14:paraId="0FE16E0A" w14:textId="77777777" w:rsidR="004E2F1D" w:rsidRPr="00803ED6" w:rsidRDefault="004E2F1D" w:rsidP="004E2F1D">
      <w:pPr>
        <w:pStyle w:val="NormalHanging12a"/>
      </w:pPr>
      <w:r w:rsidRPr="00803ED6">
        <w:t>6.</w:t>
      </w:r>
      <w:r w:rsidRPr="00803ED6">
        <w:tab/>
        <w:t xml:space="preserve">primena, kad peticijos reikšmingai prisideda prie Komisijos, kaip Sutarčių sergėtojos, vaidmens įgyvendinimo, nes piliečiams suteikiama papildoma priemonė pranešti apie įtariamus ES teisės pažeidimus; pabrėžia, kad siekiant užtikrinti sėkmingą peticijų nagrinėjimą labai svarbu, kad Peticijų komitetas ir Komisija konstruktyviai bendradarbiautų ir Komisija laiku pateiktų išsamius atsakymus, paremtus išsamiu peticijose iškeltų klausimų nagrinėjimu; pakartoja, kad, siekiant geresnio supratimo, šie atsakymai, kurie perduodami peticijų pateikėjams, turėtų būti aiškūs, paprasti ir empatiški; </w:t>
      </w:r>
    </w:p>
    <w:p w14:paraId="56472536" w14:textId="77777777" w:rsidR="004E2F1D" w:rsidRPr="00803ED6" w:rsidRDefault="004E2F1D" w:rsidP="004E2F1D">
      <w:pPr>
        <w:pStyle w:val="NormalHanging12a"/>
      </w:pPr>
      <w:r w:rsidRPr="00803ED6">
        <w:t>7.</w:t>
      </w:r>
      <w:r w:rsidRPr="00803ED6">
        <w:tab/>
        <w:t xml:space="preserve">palankiai vertina tai, kad sukurtas naujas Komisijos tinklalapis, skirtas pažeidimų byloms, direktyvų perkėlimui į nacionalinę teisę ir „EU Pilot“ dialogui; tačiau dar kartą ragina Komisiją nuolat teikti Peticijų komitetui naujausią informaciją apie pažeidimų tyrimo procedūrų eigą ir užtikrinti, kad Peticijų komitetas galėtų susipažinti su </w:t>
      </w:r>
      <w:r w:rsidRPr="00803ED6">
        <w:lastRenderedPageBreak/>
        <w:t>atitinkama informacija apie pažeidimų tyrimo procedūras ir „EU Pilot“ procedūras, susijusias su nagrinėjamomis peticijomis; pakartoja, kad reikia didinti pažeidimų nagrinėjimo procedūrų skaidrumą ir gerinti bendravimą su peticijų pateikėjais dėl tokių procedūrų padėties, ir pabrėžia, kad tai būtų naudinga peticijų procesui; palankiai vertina Komisijos iniciatyvą įtraukti peticijas į Komisijos viešąjį sprendimų dėl pažeidimų registrą, taip pat nuorodą į Komisijos viešąjį registrą įtraukti į peticijų portalą; palankiai vertina Komisijos nario M. Šefčovičiaus įsipareigojimą dar labiau susieti Komisijos viešąjį registrą ir Parlamento peticijų portalą; pakartoja savo raginimą Komisijai visus šiuos reikalavimus įtraukti į Pagrindų susitarimą dėl Europos Parlamento ir Europos Komisijos santykių</w:t>
      </w:r>
      <w:r w:rsidRPr="00803ED6">
        <w:rPr>
          <w:rStyle w:val="FootnoteReference"/>
        </w:rPr>
        <w:footnoteReference w:id="1"/>
      </w:r>
      <w:r w:rsidRPr="00803ED6">
        <w:t>;</w:t>
      </w:r>
    </w:p>
    <w:p w14:paraId="026B6F93" w14:textId="77777777" w:rsidR="004E2F1D" w:rsidRPr="00803ED6" w:rsidRDefault="004E2F1D" w:rsidP="004E2F1D">
      <w:pPr>
        <w:pStyle w:val="NormalHanging12a"/>
      </w:pPr>
      <w:r w:rsidRPr="00803ED6">
        <w:t>8.</w:t>
      </w:r>
      <w:r w:rsidRPr="00803ED6">
        <w:tab/>
        <w:t>ragina nepriklausomai ir periodiškai vertinti Komisijos atsakymų į peticijas kokybę ir aiškumą, visų pirma dėmesį skiriant suprantamumui, aktualumui ir atsižvelgimui į peticijų pateikėjų aplinkybes, siekiant užtikrinti, kad piliečiai gautų prasmingą ir pagarbią reakciją;</w:t>
      </w:r>
    </w:p>
    <w:p w14:paraId="6EA3FD8B" w14:textId="77777777" w:rsidR="004E2F1D" w:rsidRPr="00803ED6" w:rsidRDefault="004E2F1D" w:rsidP="004E2F1D">
      <w:pPr>
        <w:pStyle w:val="NormalHanging12a"/>
      </w:pPr>
      <w:r w:rsidRPr="00803ED6">
        <w:t>9.</w:t>
      </w:r>
      <w:r w:rsidRPr="00803ED6">
        <w:tab/>
        <w:t>mano, kad, siekiant pašalinti kliūtis, trukdančias nagrinėti peticijas, į kurias turi skubiai atsakyti ir reaguoti nacionalinės valdžios institucijos, gali būti naudingas aktyvesnis valstybių narių ir Peticijų komiteto bendradarbiavimas;</w:t>
      </w:r>
    </w:p>
    <w:p w14:paraId="24429E9C" w14:textId="77777777" w:rsidR="004E2F1D" w:rsidRPr="00803ED6" w:rsidRDefault="004E2F1D" w:rsidP="004E2F1D">
      <w:pPr>
        <w:pStyle w:val="NormalHanging12a"/>
      </w:pPr>
      <w:r w:rsidRPr="00803ED6">
        <w:t>10.</w:t>
      </w:r>
      <w:r w:rsidRPr="00803ED6">
        <w:tab/>
        <w:t>primena, kad e. peticijų duomenų bazė yra labai svarbi vidaus priemonė, sudaranti galimybes Peticijų komiteto nariams gauti visą reikiamą informaciją, kad jie galėtų stebėti kiekvienos peticijos nagrinėjimo eigą ir priimti pagrįstus su tuo susijusius sprendimus; primena, kad e. peticijų duomenų bazė taip pat atlieka svarbų vaidmenį bendraujant su peticijų pateikėjais; pabrėžia, kad reikia toliau modernizuoti Peticijų komiteto skaitmenines priemones, ir siūlo išnagrinėti galimybę atsakingai naudoti dirbtinį intelektą vadovaujant žmogui, kad būtų toliau gerinamas peticijų nagrinėjimas;</w:t>
      </w:r>
    </w:p>
    <w:p w14:paraId="2ACB7A73" w14:textId="77777777" w:rsidR="004E2F1D" w:rsidRPr="00803ED6" w:rsidRDefault="004E2F1D" w:rsidP="004E2F1D">
      <w:pPr>
        <w:pStyle w:val="NormalHanging12a"/>
      </w:pPr>
      <w:r w:rsidRPr="00803ED6">
        <w:t>11.</w:t>
      </w:r>
      <w:r w:rsidRPr="00803ED6">
        <w:tab/>
        <w:t>primena Komisijos įsipareigojimą sukurti tarpinstitucinę Komisijos ir Parlamento informacinių technologijų priemonę, kurią taikant būtų siekiama dalytis informacija ir dokumentais, susijusiais su visais tolesniais veiksmais, kurių imamasi dėl peticijų, kaip antai pažeidimų nagrinėjimo procedūros, pasiūlymai dėl teisėkūros procedūra priimamų aktų ar nacionalinių institucijų atsakymai, taip didinant peticijų nagrinėjimo skaidrumą ir veiksmingumą, o žvelgiant iš platesnės perspektyvos – prisidedant prie piliečių pasitikėjimo ES institucijomis ir Europos projektu didinimo; ragina skubiai įdiegti tokią tarpinstitucinę IT priemonę;</w:t>
      </w:r>
    </w:p>
    <w:p w14:paraId="5B2554F5" w14:textId="77777777" w:rsidR="004E2F1D" w:rsidRPr="00803ED6" w:rsidRDefault="004E2F1D" w:rsidP="004E2F1D">
      <w:pPr>
        <w:pStyle w:val="NormalHanging12a"/>
      </w:pPr>
      <w:r w:rsidRPr="00803ED6">
        <w:t>12.</w:t>
      </w:r>
      <w:r w:rsidRPr="00803ED6">
        <w:tab/>
        <w:t>primena, kad, siekiant išsamiai išnagrinėti peticijas, itin svarbu bendradarbiauti su kitais Parlamento komitetais; pažymi, kad 2024 m. kitiems komitetams buvo išsiųsta 30 prašymų pateikti nuomonę ir 450 prašymų pateikti informaciją; pažymi, kad iki 2024 m. pabaigos buvo gautos 26 nuomonės;</w:t>
      </w:r>
      <w:r w:rsidRPr="00803ED6">
        <w:rPr>
          <w:color w:val="FF0000"/>
        </w:rPr>
        <w:t xml:space="preserve"> </w:t>
      </w:r>
      <w:r w:rsidRPr="00803ED6">
        <w:t>primena, kad peticijų pateikėjai informuojami apie sprendimus prašyti kitų komitetų pateikti nuomonę dėl nagrinėjamų peticijų; pabrėžia, kad Parlamento komitetai turėtų aktyviau dalyvauti peticijų nagrinėjime dalydamiesi savo ekspertinėmis žiniomis, kad Parlamentas galėtų greičiau ir visapusiškiau reaguoti į piliečiams susirūpinimą keliančius klausimus;</w:t>
      </w:r>
    </w:p>
    <w:p w14:paraId="42392A46" w14:textId="77777777" w:rsidR="004E2F1D" w:rsidRPr="00803ED6" w:rsidRDefault="004E2F1D" w:rsidP="004E2F1D">
      <w:pPr>
        <w:pStyle w:val="NormalHanging12a"/>
      </w:pPr>
      <w:r w:rsidRPr="00803ED6">
        <w:t>13.</w:t>
      </w:r>
      <w:r w:rsidRPr="00803ED6">
        <w:tab/>
        <w:t xml:space="preserve">mano, kad peticijų tinklas yra naudinga priemonė siekiant sudaryti sąlygas, kad dėl peticijų būtų imtasi tolesnių veiksmų Parlamento darbe ir teisėkūros srityje; tiki, kad </w:t>
      </w:r>
      <w:r w:rsidRPr="00803ED6">
        <w:lastRenderedPageBreak/>
        <w:t xml:space="preserve">labai svarbu nuolat rengti peticijų tinklo posėdžius siekiant didinti Peticijų komiteto veiklos matomumą, užtikrinti geresnį supratimą apie jo darbą ir misiją bei stiprinti bendradarbiavimą su kitais Parlamento komitetais; </w:t>
      </w:r>
    </w:p>
    <w:p w14:paraId="26178F28" w14:textId="77777777" w:rsidR="004E2F1D" w:rsidRPr="00803ED6" w:rsidRDefault="004E2F1D" w:rsidP="004E2F1D">
      <w:pPr>
        <w:pStyle w:val="NormalHanging12a"/>
      </w:pPr>
      <w:r w:rsidRPr="00803ED6">
        <w:t>14.</w:t>
      </w:r>
      <w:r w:rsidRPr="00803ED6">
        <w:tab/>
        <w:t>atkreipia dėmesį į tai, kad 2024 m. pagrindine peticijų pateikėjams susirūpinimą keliančia sritimi išliko aplinka – daugiau kaip 20 proc. peticijų buvo keliami šios srities klausimai; pažymi, kad keliose valstybėse narėse pateikta daug peticijų, kuriose smerkiami ES aplinkos teisės aktų pažeidimai; pažymi, kad klausimai, apie kuriuos pranešė peticijų pateikėjai ir kurie buvo aptarti komitete, apima vilkų apsaugą ES, ilgalaikį toksinį pesticidų poveikį ir Pramoninių išmetamų teršalų direktyvos</w:t>
      </w:r>
      <w:r w:rsidRPr="00803ED6">
        <w:rPr>
          <w:rStyle w:val="FootnoteReference"/>
        </w:rPr>
        <w:footnoteReference w:id="2"/>
      </w:r>
      <w:r w:rsidRPr="00803ED6">
        <w:t xml:space="preserve"> pažeidimą, susijusį su plieno gamyklos valdymu; pabrėžia, kad svarbu atliepti ES piliečių lūkesčius dėl aplinkos apsaugos, ir primygtinai ragina Komisiją kartu su valstybėmis narėmis užtikrinti tinkamą ES aplinkos srities teisės aktų įgyvendinimą;</w:t>
      </w:r>
    </w:p>
    <w:p w14:paraId="70DBAF32" w14:textId="77777777" w:rsidR="004E2F1D" w:rsidRPr="00803ED6" w:rsidRDefault="004E2F1D" w:rsidP="004E2F1D">
      <w:pPr>
        <w:pStyle w:val="NormalHanging12a"/>
      </w:pPr>
      <w:r w:rsidRPr="00803ED6">
        <w:t>15.</w:t>
      </w:r>
      <w:r w:rsidRPr="00803ED6">
        <w:tab/>
        <w:t>pažymi, kad Peticijų komitetas nagrinėjo kitus klausimus, pvz., susijusius su vaikų teisių apsauga, įskaitant saugumą internete, ir gyvūnų gerovės gerinimu; atkreipia dėmesį į peticijas, kuriose akcentuojami keleivių teisių pažeidimai; taip pat pažymi, kad daugelyje peticijų išreikštas susirūpinimas dėl duomenų apsaugos ir ypač dėl Bendrojo duomenų apsaugos reglamento</w:t>
      </w:r>
      <w:r w:rsidRPr="00803ED6">
        <w:rPr>
          <w:rStyle w:val="FootnoteReference"/>
        </w:rPr>
        <w:footnoteReference w:id="3"/>
      </w:r>
      <w:r w:rsidRPr="00803ED6">
        <w:t xml:space="preserve"> vykdymo užtikrinimo; taip pat atkreipia dėmesį į peticijų, kuriose iškeliama būsto krizės visose valstybėse narėse problema, skaičių; pažymi, kad Peticijų komitetas nagrinėjo iškastinio kuro įmonių atsakomybę dėl pragyvenimo išlaidų krizės ir su geležinkelių sauga bei darbuotojų teisių apsauga susijusius klausimus; atkreipia dėmesį į peticijų dėl kultūros ir nacionalinio paveldo svarstymą; primena, kad Peticijų komitetas aptarė keletą peticijų dėl atsisakymo Rusijos piliečiams suteikti leidimus nuolat gyventi; pažymi, kad Peticijų komitetas gavo daug peticijų dėl teisinės valstybės principo taikymo valstybėse narėse, kurios buvo aptartos komitete; atkreipia dėmesį į pateiktas peticijas dėl imigrantų ir prieglobsčio prašytojų priėmimo sąlygų valstybėse narėse ir į peticijas, kuriose pranešama apie diskriminacijos atvejus; tikisi, kad Komisija imsis tinkamų tolesnių veiksmų ir pateiks naujausią informaciją apie visas šias peticijas;</w:t>
      </w:r>
    </w:p>
    <w:p w14:paraId="36DCFDD0" w14:textId="77777777" w:rsidR="004E2F1D" w:rsidRPr="00803ED6" w:rsidRDefault="004E2F1D" w:rsidP="004E2F1D">
      <w:pPr>
        <w:pStyle w:val="NormalHanging12a"/>
      </w:pPr>
      <w:r w:rsidRPr="00803ED6">
        <w:t>16.</w:t>
      </w:r>
      <w:r w:rsidRPr="00803ED6">
        <w:tab/>
        <w:t xml:space="preserve">pabrėžia, kad Peticijų komitetas svariai prisidėjo prie asmenų su negalia teisių apsaugos, kaip matyti iš to, kad jis nagrinėjo keletą peticijų šia tema, įskaitant peticijos Nr. 1056/2016 dėl peticijų pateikimo nacionalinėmis gestų kalbomis svarstymą; pripažįsta Parlamento tarnybų pastangas šioje srityje ir pažymi, kad reikia rasti ne tik geriausią techninį, bet ir labiausiai kurtiems piliečiams prieinamą sprendimą, kad su jais būtų galima bendrauti jų gimtosiomis nacionalinėmis gestų kalbomis; prašo, glaudžiai bendradarbiaujant su Konstitucinių reikalų komitetu, iš dalies pakeisti Darbo tvarkos taisykles, kad būtų atsisakyta privalomos tik rašytinės komunikacijos su piliečiais, kurie yra gestų kalbos vartotojai, kurtieji ar neprigirdintieji, kad jie, pačių prašymu, vykstant procedūrai galėtų vartoti gestų kalbą; pabrėžia, kad 2024 m. peticijų pateikėjams taip </w:t>
      </w:r>
      <w:r w:rsidRPr="00803ED6">
        <w:lastRenderedPageBreak/>
        <w:t>pat kėlė nerimą mokinių su negalia ugdymas, atsisakymas teikti sveikatos priežiūros paslaugas asmenims su negalia ir viešųjų erdvių bei paslaugų prieinamumas; primena Peticijų komiteto 2024 m. gruodžio 2 d. surengtą metinį praktinį seminarą asmenų su negalia teisių klausimais, kuriame daugiausia dėmesio skirta 2021–2030 m. neįgaliųjų teisių strategijos dabartinei padėčiai, ir primygtinai ragina peticijų išvadas nedelsiant įtraukti į 2021–2030 m. neįgaliųjų teisių strategijos laikotarpio vidurio peržiūrą, numatant išmatuojamas galutines reikšmes ir biudžeto įsipareigojimus;</w:t>
      </w:r>
    </w:p>
    <w:p w14:paraId="5701D6B9" w14:textId="18529CCC" w:rsidR="004E2F1D" w:rsidRPr="00803ED6" w:rsidRDefault="004E2F1D" w:rsidP="004E2F1D">
      <w:pPr>
        <w:pStyle w:val="NormalHanging12a"/>
      </w:pPr>
      <w:r w:rsidRPr="00803ED6">
        <w:t>17.</w:t>
      </w:r>
      <w:r w:rsidRPr="00803ED6">
        <w:tab/>
        <w:t xml:space="preserve">pabrėžia ypatingą apsaugos vaidmenį, kurį Peticijų komitetas atlieka Europos Sąjungoje įgyvendinant JT asmenų su negalia teisių konvenciją; atkreipia dėmesį į svarbų komiteto vykdomą darbą su peticijomis dėl su negalia susijusių klausimų; primena, kad nuoroda į peticijas dėl Sąjungos lygmens asmens su negalia kortelės įtraukta į Direktyvą </w:t>
      </w:r>
      <w:r w:rsidR="00EB32BC" w:rsidRPr="00EB32BC">
        <w:t xml:space="preserve">(ES) </w:t>
      </w:r>
      <w:r w:rsidRPr="00803ED6">
        <w:t>2024/2841, kuria sukuriamos Europos asmens su negalia kortelė ir Europos asmens su negalia automobilio statymo kortelė</w:t>
      </w:r>
      <w:r w:rsidRPr="00803ED6">
        <w:rPr>
          <w:rStyle w:val="FootnoteReference"/>
        </w:rPr>
        <w:footnoteReference w:id="4"/>
      </w:r>
      <w:r w:rsidRPr="00803ED6">
        <w:t>; pažymi, kad peticijos gali svariai prisidėti prie teisėkūros proceso;</w:t>
      </w:r>
    </w:p>
    <w:p w14:paraId="7C975FF4" w14:textId="77777777" w:rsidR="004E2F1D" w:rsidRPr="00803ED6" w:rsidRDefault="004E2F1D" w:rsidP="004E2F1D">
      <w:pPr>
        <w:pStyle w:val="NormalHanging12a"/>
        <w:rPr>
          <w:rFonts w:eastAsia="Calibri"/>
        </w:rPr>
      </w:pPr>
      <w:r w:rsidRPr="00803ED6">
        <w:t>18.</w:t>
      </w:r>
      <w:r w:rsidRPr="00803ED6">
        <w:tab/>
        <w:t>primena, kad santykiai su Europos ombudsmenu yra viena iš Parlamento darbo tvarkos taisyklėse Peticijų komitetui pavestų atsakomybės sričių; atkreipia dėmesį į Peticijų komiteto vaidmenį Europos ombudsmeno rinkimų procese, visų pirma organizuojant visų reikalavimus atitinkančių kandidatų viešus klausymus, kurie buvo surengti 2024 m. gruodžio 3 d. ir kuriuose galėjo dalyvauti visi Europos Parlamento nariai, taip suteikiant jiems demokratinę ir skaidrią galimybę apsikeisti nuomonėmis su kandidatais ir įvertinti jų nepriklausomumą, kvalifikaciją ir profesionalumą, taip pat tai, kokia yra jų Europos ombudsmeno tarnybos vizija ES institucinėje sąrangoje; palankiai vertina konstruktyvų Parlamento bendradarbiavimą su Europos ombudsmenu, su kuriuo Peticijų komitetas siekia bendrų tikslų užtikrinti ES institucijų skaidrumą, profesionalumą ir sąžiningumą ES piliečių atžvilgiu, taip pat jo dalyvavimą Europos ombudsmenų tinkle;</w:t>
      </w:r>
    </w:p>
    <w:p w14:paraId="5649114B" w14:textId="77777777" w:rsidR="004E2F1D" w:rsidRPr="00803ED6" w:rsidRDefault="004E2F1D" w:rsidP="004E2F1D">
      <w:pPr>
        <w:pStyle w:val="NormalHanging12a"/>
        <w:rPr>
          <w:rFonts w:eastAsia="Calibri"/>
        </w:rPr>
      </w:pPr>
      <w:r w:rsidRPr="00803ED6">
        <w:t>19.</w:t>
      </w:r>
      <w:r w:rsidRPr="00803ED6">
        <w:tab/>
        <w:t>skatina nuolatinį reguliarų visus metus matomą Europos ombudsmeno indėlį į Peticijų komiteto darbą; yra tvirtai įsitikinęs, kad Sąjungos institucijos, organai ir agentūros turi užtikrinti, kad būtų imamasi nuoseklių ir veiksmingų tolesnių veiksmų, atsižvelgiant į ombudsmeno rekomendacijas; pabrėžia svarbų Europos ombudsmeno vaidmenį skatinant skaidrumą, gerą administravimą ir piliečių teisių apsaugą; ragina Peticijų komitetą ir Europos ombudsmeno tarnybą glaudžiau bendradarbiauti;</w:t>
      </w:r>
    </w:p>
    <w:p w14:paraId="4C295B9D" w14:textId="77777777" w:rsidR="004E2F1D" w:rsidRPr="00803ED6" w:rsidRDefault="004E2F1D" w:rsidP="004E2F1D">
      <w:pPr>
        <w:pStyle w:val="NormalHanging12a"/>
        <w:rPr>
          <w:b/>
          <w:i/>
        </w:rPr>
      </w:pPr>
      <w:r w:rsidRPr="00803ED6">
        <w:t>20.</w:t>
      </w:r>
      <w:r w:rsidRPr="00803ED6">
        <w:tab/>
        <w:t>pažymi, kad, nepaisant Parlamento darbo pertraukos dėl Europos Parlamento rinkimų, Peticijų komitetas išreiškė savo poziciją ir pateikė rekomendacijas dėl svarbių peticijose iškeltų klausimų, įskaitant dviejų komandiruočių ataskaitų priėmimą po apsilankymų informacijos rinkimo tikslu, kurie vyko 2023 m. antrąjį pusmetį, t. y. po komandiruotės į Airiją dėl pastatų, kuriuose naudojamas žėrutis, ir komandiruotės į Ispaniją dėl kalbinės imersijos Katalonijoje; pabrėžia, jog svarbu, kad Katalonijos švietimo institucijos įgyvendintų Peticijų komiteto 2024 m. kovo 19 d. ataskaitoje pateiktas rekomendacijas, kurių tikslas yra užtikrinti besimokančiųjų ir jų šeimų kalbines teises;</w:t>
      </w:r>
    </w:p>
    <w:p w14:paraId="69AC690E" w14:textId="77777777" w:rsidR="004E2F1D" w:rsidRPr="00803ED6" w:rsidRDefault="004E2F1D" w:rsidP="004E2F1D">
      <w:pPr>
        <w:pStyle w:val="NormalHanging12a"/>
      </w:pPr>
      <w:r w:rsidRPr="00803ED6">
        <w:t>21.</w:t>
      </w:r>
      <w:r w:rsidRPr="00803ED6">
        <w:tab/>
        <w:t xml:space="preserve">atkreipia dėmesį į didėjantį peticijų, susijusių su švietimo politika, visų pirma mokytojų kvalifikacijų pripažinimu valstybėse narėse, skaičių; atsižvelgdamas į tai, atkreipia </w:t>
      </w:r>
      <w:r w:rsidRPr="00803ED6">
        <w:lastRenderedPageBreak/>
        <w:t>dėmesį į Peticijų komiteto klausimą, į kurį atsakoma žodžiu, Komisijai dėl mokytojų darbo sąlygų ES; yra sunerimęs dėl Komisijos atsakymo žodžiu, kuriame patvirtinama, kad mokytojų trūkumas yra rimtas iššūkis, kuris taip pat atsispindi naujausiuose Tarptautinio moksleivių vertinimo programos (PISA) rezultatuose, iš kurių matyti, kad nėra nė vienos valstybės narės, kuri imtųsi veiksmų savo rezultatams pagerinti pagrindinių įgūdžių ugdymo srityje; šiuo atžvilgiu ragina Komisiją ir valstybes nares gerokai padidinti savo pastangas tobulinti mokyklinio ugdymo sistemas kartu didinant mokytojo profesijos patrauklumą, be kita ko, pasitelkiant finansavimą ir programas;</w:t>
      </w:r>
    </w:p>
    <w:p w14:paraId="164721D2" w14:textId="77777777" w:rsidR="004E2F1D" w:rsidRPr="00803ED6" w:rsidRDefault="004E2F1D" w:rsidP="004E2F1D">
      <w:pPr>
        <w:pStyle w:val="NormalHanging12a"/>
      </w:pPr>
      <w:r w:rsidRPr="00803ED6">
        <w:t>22.</w:t>
      </w:r>
      <w:r w:rsidRPr="00803ED6">
        <w:tab/>
        <w:t>palankiai vertina, kad buvo priimta 2024 m. balandžio 10 d. Parlamento rezoliucija dėl sunkiųjų krovininių transporto priemonių tikrinimo sienos kirtimo punktuose, remiantis peticija Nr. 0146/2023</w:t>
      </w:r>
      <w:r w:rsidRPr="00803ED6">
        <w:rPr>
          <w:rStyle w:val="FootnoteReference"/>
        </w:rPr>
        <w:footnoteReference w:id="5"/>
      </w:r>
      <w:r w:rsidRPr="00803ED6">
        <w:t xml:space="preserve">; </w:t>
      </w:r>
    </w:p>
    <w:p w14:paraId="41E91FB3" w14:textId="77777777" w:rsidR="004E2F1D" w:rsidRPr="00803ED6" w:rsidRDefault="004E2F1D" w:rsidP="004E2F1D">
      <w:pPr>
        <w:pStyle w:val="NormalHanging12a"/>
      </w:pPr>
      <w:r w:rsidRPr="00803ED6">
        <w:t>23.</w:t>
      </w:r>
      <w:r w:rsidRPr="00803ED6">
        <w:tab/>
        <w:t>pabrėžia, kad peticijų interneto portalas yra nepaprastai svarbi priemonė sklandžiam, veiksmingam ir skaidriam peticijų procesui užtikrinti; palankiai vertina portalo patobulinimus atsižvelgiant į patogumą peticijų pateikėjams ir pabrėžia, kad reikia toliau dėti pastangas, kad portalas taptų prieinamesnis, be kita ko, kad jis taptų prieinamesnis gestų kalbos vartotojams, kaip prašyta peticijoje Nr. 1056/2016, ir asmenims su negalia; pažymi, kad peticijų interneto portalas yra viena iš labiausiai lankomų Parlamento interneto svetainių, todėl daugeliui ES piliečių tai yra pirmasis kontaktinis punktas bandant susisiekti su Europos Parlamentu;</w:t>
      </w:r>
    </w:p>
    <w:p w14:paraId="2771E886" w14:textId="77777777" w:rsidR="004E2F1D" w:rsidRPr="00803ED6" w:rsidRDefault="004E2F1D" w:rsidP="004E2F1D">
      <w:pPr>
        <w:pStyle w:val="NormalHanging12a"/>
      </w:pPr>
      <w:r w:rsidRPr="00803ED6">
        <w:t>24.</w:t>
      </w:r>
      <w:r w:rsidRPr="00803ED6">
        <w:tab/>
        <w:t>paveda Pirmininkei perduoti šią rezoliuciją ir Peticijų komiteto pranešimą Tarybai, Komisijai, Europos ombudsmenei, valstybių narių vyriausybėms ir parlamentams, jų Peticijų komitetams ir nacionaliniams ombudsmenams arba panašioms kompetentingoms įstaigoms.</w:t>
      </w:r>
    </w:p>
    <w:p w14:paraId="774F6047" w14:textId="5FFB226C" w:rsidR="00E365E1" w:rsidRPr="00803ED6" w:rsidRDefault="00E365E1" w:rsidP="00C019D6"/>
    <w:sectPr w:rsidR="00E365E1" w:rsidRPr="00803ED6" w:rsidSect="00803E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842D4" w14:textId="77777777" w:rsidR="00C019D6" w:rsidRPr="00803ED6" w:rsidRDefault="00C019D6">
      <w:r w:rsidRPr="00803ED6">
        <w:separator/>
      </w:r>
    </w:p>
  </w:endnote>
  <w:endnote w:type="continuationSeparator" w:id="0">
    <w:p w14:paraId="2E93A008" w14:textId="77777777" w:rsidR="00C019D6" w:rsidRPr="00803ED6" w:rsidRDefault="00C019D6">
      <w:r w:rsidRPr="00803E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63B0B" w14:textId="77777777" w:rsidR="00064002" w:rsidRPr="00803E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43A43" w14:textId="77777777" w:rsidR="00064002" w:rsidRPr="00803E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D6E4" w14:textId="77777777" w:rsidR="00064002" w:rsidRPr="00803E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8F932" w14:textId="77777777" w:rsidR="00C019D6" w:rsidRPr="00803ED6" w:rsidRDefault="00C019D6">
      <w:r w:rsidRPr="00803ED6">
        <w:separator/>
      </w:r>
    </w:p>
  </w:footnote>
  <w:footnote w:type="continuationSeparator" w:id="0">
    <w:p w14:paraId="07770FBF" w14:textId="77777777" w:rsidR="00C019D6" w:rsidRPr="00803ED6" w:rsidRDefault="00C019D6">
      <w:r w:rsidRPr="00803ED6">
        <w:continuationSeparator/>
      </w:r>
    </w:p>
  </w:footnote>
  <w:footnote w:id="1">
    <w:p w14:paraId="778FA710" w14:textId="55D1A881" w:rsidR="004E2F1D" w:rsidRPr="00803ED6" w:rsidRDefault="004E2F1D" w:rsidP="00803ED6">
      <w:pPr>
        <w:pStyle w:val="FootnoteText"/>
        <w:ind w:left="567" w:hanging="567"/>
        <w:rPr>
          <w:sz w:val="24"/>
          <w:lang w:val="lt-LT"/>
        </w:rPr>
      </w:pPr>
      <w:r w:rsidRPr="00803ED6">
        <w:rPr>
          <w:rStyle w:val="FootnoteReference"/>
          <w:sz w:val="24"/>
          <w:lang w:val="lt-LT"/>
        </w:rPr>
        <w:footnoteRef/>
      </w:r>
      <w:r w:rsidR="00803ED6" w:rsidRPr="00803ED6">
        <w:rPr>
          <w:sz w:val="24"/>
          <w:lang w:val="lt-LT"/>
        </w:rPr>
        <w:t xml:space="preserve"> </w:t>
      </w:r>
      <w:r w:rsidR="00803ED6" w:rsidRPr="00803ED6">
        <w:rPr>
          <w:sz w:val="24"/>
          <w:lang w:val="lt-LT"/>
        </w:rPr>
        <w:tab/>
      </w:r>
      <w:r w:rsidRPr="00803ED6">
        <w:rPr>
          <w:sz w:val="24"/>
          <w:lang w:val="lt-LT"/>
        </w:rPr>
        <w:t xml:space="preserve">OL L 304, 2010 11 20, p. 47, ELI: </w:t>
      </w:r>
      <w:hyperlink r:id="rId1" w:history="1">
        <w:r w:rsidRPr="00803ED6">
          <w:rPr>
            <w:rStyle w:val="Hyperlink"/>
            <w:sz w:val="24"/>
            <w:lang w:val="lt-LT"/>
          </w:rPr>
          <w:t>http://data.europa.eu/eli/agree_interinstit/2010/1120/oj</w:t>
        </w:r>
      </w:hyperlink>
      <w:r w:rsidRPr="00803ED6">
        <w:rPr>
          <w:sz w:val="24"/>
          <w:lang w:val="lt-LT"/>
        </w:rPr>
        <w:t xml:space="preserve">. </w:t>
      </w:r>
    </w:p>
  </w:footnote>
  <w:footnote w:id="2">
    <w:p w14:paraId="5D0902C8" w14:textId="3FCFE35F" w:rsidR="004E2F1D" w:rsidRPr="00803ED6" w:rsidRDefault="004E2F1D" w:rsidP="00803ED6">
      <w:pPr>
        <w:pStyle w:val="FootnoteText"/>
        <w:ind w:left="567" w:hanging="567"/>
        <w:rPr>
          <w:sz w:val="24"/>
          <w:lang w:val="lt-LT"/>
        </w:rPr>
      </w:pPr>
      <w:r w:rsidRPr="00803ED6">
        <w:rPr>
          <w:rStyle w:val="FootnoteReference"/>
          <w:sz w:val="24"/>
          <w:lang w:val="lt-LT"/>
        </w:rPr>
        <w:footnoteRef/>
      </w:r>
      <w:r w:rsidR="00803ED6" w:rsidRPr="00803ED6">
        <w:rPr>
          <w:sz w:val="24"/>
          <w:lang w:val="lt-LT"/>
        </w:rPr>
        <w:t xml:space="preserve"> </w:t>
      </w:r>
      <w:r w:rsidR="00803ED6" w:rsidRPr="00803ED6">
        <w:rPr>
          <w:sz w:val="24"/>
          <w:lang w:val="lt-LT"/>
        </w:rPr>
        <w:tab/>
      </w:r>
      <w:r w:rsidRPr="00803ED6">
        <w:rPr>
          <w:sz w:val="24"/>
          <w:lang w:val="lt-LT"/>
        </w:rPr>
        <w:t xml:space="preserve">2024 m. balandžio 24 d. Europos Parlamento ir Tarybos direktyva (ES) 2024/1785, kuria iš dalies keičiamos Europos Parlamento ir Tarybos direktyva 2010/75/ES dėl pramoninių išmetamų teršalų (taršos integruotos prevencijos ir kontrolės) ir Tarybos direktyva 1999/31/EB dėl atliekų sąvartynų (OL L, 2024/1785, 2024 7 15, ELI: </w:t>
      </w:r>
      <w:hyperlink r:id="rId2" w:history="1">
        <w:r w:rsidRPr="00803ED6">
          <w:rPr>
            <w:rStyle w:val="Hyperlink"/>
            <w:sz w:val="24"/>
            <w:lang w:val="lt-LT"/>
          </w:rPr>
          <w:t>http://data.europa.eu/eli/dir/2024/1785/oj</w:t>
        </w:r>
      </w:hyperlink>
      <w:r w:rsidRPr="00803ED6">
        <w:rPr>
          <w:sz w:val="24"/>
          <w:lang w:val="lt-LT"/>
        </w:rPr>
        <w:t xml:space="preserve">). </w:t>
      </w:r>
    </w:p>
  </w:footnote>
  <w:footnote w:id="3">
    <w:p w14:paraId="3DBC87B3" w14:textId="6C86B609" w:rsidR="004E2F1D" w:rsidRPr="00803ED6" w:rsidRDefault="004E2F1D" w:rsidP="00803ED6">
      <w:pPr>
        <w:pStyle w:val="FootnoteText"/>
        <w:ind w:left="567" w:hanging="567"/>
        <w:rPr>
          <w:sz w:val="24"/>
          <w:lang w:val="lt-LT"/>
        </w:rPr>
      </w:pPr>
      <w:r w:rsidRPr="00803ED6">
        <w:rPr>
          <w:rStyle w:val="FootnoteReference"/>
          <w:sz w:val="24"/>
          <w:lang w:val="lt-LT"/>
        </w:rPr>
        <w:footnoteRef/>
      </w:r>
      <w:r w:rsidR="00803ED6" w:rsidRPr="00803ED6">
        <w:rPr>
          <w:sz w:val="24"/>
          <w:lang w:val="lt-LT"/>
        </w:rPr>
        <w:t xml:space="preserve"> </w:t>
      </w:r>
      <w:r w:rsidR="00803ED6" w:rsidRPr="00803ED6">
        <w:rPr>
          <w:sz w:val="24"/>
          <w:lang w:val="lt-LT"/>
        </w:rPr>
        <w:tab/>
      </w:r>
      <w:r w:rsidRPr="00803ED6">
        <w:rPr>
          <w:sz w:val="24"/>
          <w:lang w:val="lt-LT"/>
        </w:rPr>
        <w:t xml:space="preserve">2016 m. balandžio 27 d. Europos Parlamento ir Tarybos reglamentas (ES) 2016/679 dėl fizinių asmenų apsaugos tvarkant asmens duomenis ir dėl laisvo tokių duomenų judėjimo ir kuriuo panaikinama Direktyva 95/46/EB (Bendrasis duomenų apsaugos reglamentas) (OL L 119, 2016 5 4, p. 1, ELI: </w:t>
      </w:r>
      <w:hyperlink r:id="rId3" w:history="1">
        <w:r w:rsidRPr="00803ED6">
          <w:rPr>
            <w:rStyle w:val="Hyperlink"/>
            <w:sz w:val="24"/>
            <w:lang w:val="lt-LT"/>
          </w:rPr>
          <w:t>http://data.europa.eu/eli/reg/2016/679/oj</w:t>
        </w:r>
      </w:hyperlink>
      <w:r w:rsidRPr="00803ED6">
        <w:rPr>
          <w:sz w:val="24"/>
          <w:lang w:val="lt-LT"/>
        </w:rPr>
        <w:t>).</w:t>
      </w:r>
    </w:p>
  </w:footnote>
  <w:footnote w:id="4">
    <w:p w14:paraId="04AEBE17" w14:textId="0258499C" w:rsidR="004E2F1D" w:rsidRPr="00803ED6" w:rsidRDefault="004E2F1D" w:rsidP="00803ED6">
      <w:pPr>
        <w:pStyle w:val="FootnoteText"/>
        <w:ind w:left="567" w:hanging="567"/>
        <w:rPr>
          <w:sz w:val="24"/>
          <w:lang w:val="lt-LT"/>
        </w:rPr>
      </w:pPr>
      <w:r w:rsidRPr="00803ED6">
        <w:rPr>
          <w:rStyle w:val="FootnoteReference"/>
          <w:sz w:val="24"/>
          <w:lang w:val="lt-LT"/>
        </w:rPr>
        <w:footnoteRef/>
      </w:r>
      <w:r w:rsidR="00803ED6" w:rsidRPr="00803ED6">
        <w:rPr>
          <w:sz w:val="24"/>
          <w:lang w:val="lt-LT"/>
        </w:rPr>
        <w:t xml:space="preserve"> </w:t>
      </w:r>
      <w:r w:rsidR="00803ED6" w:rsidRPr="00803ED6">
        <w:rPr>
          <w:sz w:val="24"/>
          <w:lang w:val="lt-LT"/>
        </w:rPr>
        <w:tab/>
      </w:r>
      <w:r w:rsidRPr="00803ED6">
        <w:rPr>
          <w:sz w:val="24"/>
          <w:lang w:val="lt-LT"/>
        </w:rPr>
        <w:t>2024 m. spalio 23 d. Europos Parlamento ir Tarybos direktyva (ES) 2024/2841, kuria sukuriamos Europos asmens su negalia kortelė ir Europos asmens su negalia automobilio statymo kortelė (OL L, 2024/2841, 2024 11 14, ELI: </w:t>
      </w:r>
      <w:hyperlink r:id="rId4" w:tgtFrame="_blank" w:tooltip="Prieiga prie šio dokumento suteikiama per ELI sistemoje jam suteiktą URI." w:history="1">
        <w:r w:rsidRPr="00803ED6">
          <w:rPr>
            <w:rStyle w:val="Hyperlink"/>
            <w:sz w:val="24"/>
            <w:lang w:val="lt-LT"/>
          </w:rPr>
          <w:t>http://data.europa.eu/eli/dir/2024/2841/oj</w:t>
        </w:r>
      </w:hyperlink>
      <w:r w:rsidRPr="00803ED6">
        <w:rPr>
          <w:sz w:val="24"/>
          <w:lang w:val="lt-LT"/>
        </w:rPr>
        <w:t>).</w:t>
      </w:r>
    </w:p>
  </w:footnote>
  <w:footnote w:id="5">
    <w:p w14:paraId="3EBF2696" w14:textId="4B9058AE" w:rsidR="004E2F1D" w:rsidRPr="00803ED6" w:rsidRDefault="004E2F1D" w:rsidP="00803ED6">
      <w:pPr>
        <w:pStyle w:val="FootnoteText"/>
        <w:ind w:left="567" w:hanging="567"/>
        <w:rPr>
          <w:sz w:val="24"/>
          <w:lang w:val="lt-LT"/>
        </w:rPr>
      </w:pPr>
      <w:r w:rsidRPr="00803ED6">
        <w:rPr>
          <w:rStyle w:val="FootnoteReference"/>
          <w:sz w:val="24"/>
          <w:lang w:val="lt-LT"/>
        </w:rPr>
        <w:footnoteRef/>
      </w:r>
      <w:r w:rsidR="00803ED6" w:rsidRPr="00803ED6">
        <w:rPr>
          <w:sz w:val="24"/>
          <w:lang w:val="lt-LT"/>
        </w:rPr>
        <w:t xml:space="preserve"> </w:t>
      </w:r>
      <w:r w:rsidR="00803ED6" w:rsidRPr="00803ED6">
        <w:rPr>
          <w:sz w:val="24"/>
          <w:lang w:val="lt-LT"/>
        </w:rPr>
        <w:tab/>
      </w:r>
      <w:r w:rsidRPr="00803ED6">
        <w:rPr>
          <w:sz w:val="24"/>
          <w:lang w:val="lt-LT"/>
        </w:rPr>
        <w:t xml:space="preserve">OL C, C/2025/1278, 2025 3 13, ELI: </w:t>
      </w:r>
      <w:hyperlink r:id="rId5" w:history="1">
        <w:r w:rsidRPr="00803ED6">
          <w:rPr>
            <w:rStyle w:val="Hyperlink"/>
            <w:sz w:val="24"/>
            <w:lang w:val="lt-LT"/>
          </w:rPr>
          <w:t>http://data.europa.eu/eli/C/2025/1278/oj</w:t>
        </w:r>
      </w:hyperlink>
      <w:r w:rsidRPr="00803ED6">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DA401" w14:textId="77777777" w:rsidR="00064002" w:rsidRPr="00803E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9419A" w14:textId="77777777" w:rsidR="00064002" w:rsidRPr="00803E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28247" w14:textId="77777777" w:rsidR="00064002" w:rsidRPr="00803E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7950936">
    <w:abstractNumId w:val="9"/>
  </w:num>
  <w:num w:numId="2" w16cid:durableId="476071753">
    <w:abstractNumId w:val="9"/>
  </w:num>
  <w:num w:numId="3" w16cid:durableId="1213813125">
    <w:abstractNumId w:val="7"/>
  </w:num>
  <w:num w:numId="4" w16cid:durableId="1804735259">
    <w:abstractNumId w:val="7"/>
  </w:num>
  <w:num w:numId="5" w16cid:durableId="72703405">
    <w:abstractNumId w:val="6"/>
  </w:num>
  <w:num w:numId="6" w16cid:durableId="293876495">
    <w:abstractNumId w:val="6"/>
  </w:num>
  <w:num w:numId="7" w16cid:durableId="511531248">
    <w:abstractNumId w:val="5"/>
  </w:num>
  <w:num w:numId="8" w16cid:durableId="1504079328">
    <w:abstractNumId w:val="5"/>
  </w:num>
  <w:num w:numId="9" w16cid:durableId="1344896924">
    <w:abstractNumId w:val="4"/>
  </w:num>
  <w:num w:numId="10" w16cid:durableId="1577591826">
    <w:abstractNumId w:val="4"/>
  </w:num>
  <w:num w:numId="11" w16cid:durableId="455414883">
    <w:abstractNumId w:val="8"/>
  </w:num>
  <w:num w:numId="12" w16cid:durableId="1977370701">
    <w:abstractNumId w:val="8"/>
  </w:num>
  <w:num w:numId="13" w16cid:durableId="1649046214">
    <w:abstractNumId w:val="3"/>
  </w:num>
  <w:num w:numId="14" w16cid:durableId="1034501709">
    <w:abstractNumId w:val="3"/>
  </w:num>
  <w:num w:numId="15" w16cid:durableId="1722169828">
    <w:abstractNumId w:val="2"/>
  </w:num>
  <w:num w:numId="16" w16cid:durableId="2077821528">
    <w:abstractNumId w:val="2"/>
  </w:num>
  <w:num w:numId="17" w16cid:durableId="556362798">
    <w:abstractNumId w:val="1"/>
  </w:num>
  <w:num w:numId="18" w16cid:durableId="1989900618">
    <w:abstractNumId w:val="1"/>
  </w:num>
  <w:num w:numId="19" w16cid:durableId="1979651702">
    <w:abstractNumId w:val="0"/>
  </w:num>
  <w:num w:numId="20" w16cid:durableId="668488614">
    <w:abstractNumId w:val="0"/>
  </w:num>
  <w:num w:numId="21" w16cid:durableId="1500928554">
    <w:abstractNumId w:val="9"/>
  </w:num>
  <w:num w:numId="22" w16cid:durableId="498277847">
    <w:abstractNumId w:val="7"/>
  </w:num>
  <w:num w:numId="23" w16cid:durableId="179978984">
    <w:abstractNumId w:val="6"/>
  </w:num>
  <w:num w:numId="24" w16cid:durableId="1799489799">
    <w:abstractNumId w:val="5"/>
  </w:num>
  <w:num w:numId="25" w16cid:durableId="1047149012">
    <w:abstractNumId w:val="4"/>
  </w:num>
  <w:num w:numId="26" w16cid:durableId="801389166">
    <w:abstractNumId w:val="8"/>
  </w:num>
  <w:num w:numId="27" w16cid:durableId="1485046450">
    <w:abstractNumId w:val="3"/>
  </w:num>
  <w:num w:numId="28" w16cid:durableId="305017353">
    <w:abstractNumId w:val="2"/>
  </w:num>
  <w:num w:numId="29" w16cid:durableId="228001397">
    <w:abstractNumId w:val="1"/>
  </w:num>
  <w:num w:numId="30" w16cid:durableId="973487740">
    <w:abstractNumId w:val="0"/>
  </w:num>
  <w:num w:numId="31" w16cid:durableId="2034183948">
    <w:abstractNumId w:val="9"/>
  </w:num>
  <w:num w:numId="32" w16cid:durableId="1362363565">
    <w:abstractNumId w:val="7"/>
  </w:num>
  <w:num w:numId="33" w16cid:durableId="107045824">
    <w:abstractNumId w:val="6"/>
  </w:num>
  <w:num w:numId="34" w16cid:durableId="851913304">
    <w:abstractNumId w:val="5"/>
  </w:num>
  <w:num w:numId="35" w16cid:durableId="758329607">
    <w:abstractNumId w:val="4"/>
  </w:num>
  <w:num w:numId="36" w16cid:durableId="1995596947">
    <w:abstractNumId w:val="8"/>
  </w:num>
  <w:num w:numId="37" w16cid:durableId="721950516">
    <w:abstractNumId w:val="3"/>
  </w:num>
  <w:num w:numId="38" w16cid:durableId="1257446216">
    <w:abstractNumId w:val="2"/>
  </w:num>
  <w:num w:numId="39" w16cid:durableId="413860310">
    <w:abstractNumId w:val="1"/>
  </w:num>
  <w:num w:numId="40" w16cid:durableId="1739479011">
    <w:abstractNumId w:val="0"/>
  </w:num>
  <w:num w:numId="41" w16cid:durableId="1194078427">
    <w:abstractNumId w:val="10"/>
  </w:num>
  <w:num w:numId="42" w16cid:durableId="871648860">
    <w:abstractNumId w:val="10"/>
  </w:num>
  <w:num w:numId="43" w16cid:durableId="837580479">
    <w:abstractNumId w:val="10"/>
  </w:num>
  <w:num w:numId="44" w16cid:durableId="1506944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LT"/>
    <w:docVar w:name="dvnumam" w:val="0"/>
    <w:docVar w:name="dvpe" w:val="773.363"/>
    <w:docVar w:name="dvrapporteur" w:val="Pranešėjas: "/>
    <w:docVar w:name="dvtitre" w:val="Europos Parlamento rezoliucija dėl Peticijų komiteto svarstymų 2024 m.(2025/2114(INI))"/>
  </w:docVars>
  <w:rsids>
    <w:rsidRoot w:val="00C019D6"/>
    <w:rsid w:val="00002272"/>
    <w:rsid w:val="00027BA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F1D"/>
    <w:rsid w:val="0050519A"/>
    <w:rsid w:val="005072A1"/>
    <w:rsid w:val="00514517"/>
    <w:rsid w:val="00545827"/>
    <w:rsid w:val="00560270"/>
    <w:rsid w:val="005C2568"/>
    <w:rsid w:val="005C5ABC"/>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ED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456"/>
    <w:rsid w:val="00A778C7"/>
    <w:rsid w:val="00AB441E"/>
    <w:rsid w:val="00AB6293"/>
    <w:rsid w:val="00AE0928"/>
    <w:rsid w:val="00AF3B82"/>
    <w:rsid w:val="00B12E95"/>
    <w:rsid w:val="00B22876"/>
    <w:rsid w:val="00B558F0"/>
    <w:rsid w:val="00BD48FE"/>
    <w:rsid w:val="00BD7BD8"/>
    <w:rsid w:val="00BE6ADC"/>
    <w:rsid w:val="00C019D6"/>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32BC"/>
    <w:rsid w:val="00EB4772"/>
    <w:rsid w:val="00ED169E"/>
    <w:rsid w:val="00ED4235"/>
    <w:rsid w:val="00F04346"/>
    <w:rsid w:val="00F075DC"/>
    <w:rsid w:val="00F149E9"/>
    <w:rsid w:val="00F20F32"/>
    <w:rsid w:val="00F5134D"/>
    <w:rsid w:val="00F74202"/>
    <w:rsid w:val="00F87713"/>
    <w:rsid w:val="00FA41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3130E"/>
  <w15:chartTrackingRefBased/>
  <w15:docId w15:val="{04A41A18-AE66-4C3E-B573-452815216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E2F1D"/>
    <w:pPr>
      <w:spacing w:after="240"/>
      <w:ind w:left="567" w:hanging="567"/>
    </w:pPr>
  </w:style>
  <w:style w:type="paragraph" w:customStyle="1" w:styleId="EPComma">
    <w:name w:val="EPComma"/>
    <w:basedOn w:val="Normal"/>
    <w:uiPriority w:val="99"/>
    <w:rsid w:val="004E2F1D"/>
    <w:pPr>
      <w:spacing w:before="480" w:after="240"/>
    </w:pPr>
  </w:style>
  <w:style w:type="character" w:styleId="Hyperlink">
    <w:name w:val="Hyperlink"/>
    <w:basedOn w:val="DefaultParagraphFont"/>
    <w:rsid w:val="004E2F1D"/>
    <w:rPr>
      <w:color w:val="0563C1" w:themeColor="hyperlink"/>
      <w:u w:val="single"/>
    </w:rPr>
  </w:style>
  <w:style w:type="character" w:customStyle="1" w:styleId="NormalHanging12aChar">
    <w:name w:val="NormalHanging12a Char"/>
    <w:basedOn w:val="DefaultParagraphFont"/>
    <w:link w:val="NormalHanging12a"/>
    <w:rsid w:val="004E2F1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3573</Words>
  <Characters>24284</Characters>
  <Application>Microsoft Office Word</Application>
  <DocSecurity>4</DocSecurity>
  <Lines>202</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GOROPECNIK Tina</cp:lastModifiedBy>
  <cp:revision>2</cp:revision>
  <cp:lastPrinted>2004-11-19T15:42:00Z</cp:lastPrinted>
  <dcterms:created xsi:type="dcterms:W3CDTF">2026-01-14T15:30:00Z</dcterms:created>
  <dcterms:modified xsi:type="dcterms:W3CDTF">2026-01-14T15:30:00Z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A10-0170/2025</vt:lpwstr>
  </property>
  <property fmtid="{D5CDD505-2E9C-101B-9397-08002B2CF9AE}" pid="4" name="&lt;Type&gt;">
    <vt:lpwstr>RR</vt:lpwstr>
  </property>
</Properties>
</file>