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0F55" w14:paraId="0FD4AD24" w14:textId="77777777" w:rsidTr="0010095E">
        <w:trPr>
          <w:trHeight w:hRule="exact" w:val="1418"/>
        </w:trPr>
        <w:tc>
          <w:tcPr>
            <w:tcW w:w="6804" w:type="dxa"/>
            <w:shd w:val="clear" w:color="auto" w:fill="auto"/>
            <w:vAlign w:val="center"/>
          </w:tcPr>
          <w:p w14:paraId="42548147" w14:textId="25C75318" w:rsidR="00751A4A" w:rsidRPr="00780F55" w:rsidRDefault="00217FAF" w:rsidP="0010095E">
            <w:pPr>
              <w:pStyle w:val="EPName"/>
            </w:pPr>
            <w:r w:rsidRPr="00780F55">
              <w:t>Parlament Europejski</w:t>
            </w:r>
          </w:p>
          <w:p w14:paraId="3EF06220" w14:textId="77777777" w:rsidR="00751A4A" w:rsidRPr="00780F55" w:rsidRDefault="005F1B17" w:rsidP="005F1B17">
            <w:pPr>
              <w:pStyle w:val="EPTerm"/>
              <w:rPr>
                <w:rStyle w:val="HideTWBExt"/>
                <w:noProof w:val="0"/>
                <w:vanish w:val="0"/>
                <w:color w:val="auto"/>
              </w:rPr>
            </w:pPr>
            <w:r w:rsidRPr="00780F55">
              <w:t>2024</w:t>
            </w:r>
            <w:r w:rsidR="00817416" w:rsidRPr="00780F55">
              <w:t>-202</w:t>
            </w:r>
            <w:r w:rsidRPr="00780F55">
              <w:t>9</w:t>
            </w:r>
          </w:p>
        </w:tc>
        <w:tc>
          <w:tcPr>
            <w:tcW w:w="2268" w:type="dxa"/>
            <w:shd w:val="clear" w:color="auto" w:fill="auto"/>
          </w:tcPr>
          <w:p w14:paraId="26F13D98" w14:textId="77777777" w:rsidR="00751A4A" w:rsidRPr="00780F55" w:rsidRDefault="00187494" w:rsidP="0010095E">
            <w:pPr>
              <w:pStyle w:val="EPLogo"/>
            </w:pPr>
            <w:r w:rsidRPr="00780F55">
              <w:rPr>
                <w:noProof/>
                <w:lang w:eastAsia="ja-JP"/>
              </w:rPr>
              <w:drawing>
                <wp:inline distT="0" distB="0" distL="0" distR="0" wp14:anchorId="75CC10D9" wp14:editId="30AF39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02E50A" w14:textId="77777777" w:rsidR="00D058B8" w:rsidRPr="00780F55" w:rsidRDefault="00D058B8" w:rsidP="004C5D52">
      <w:pPr>
        <w:pStyle w:val="LineTop"/>
      </w:pPr>
    </w:p>
    <w:p w14:paraId="23199BDB" w14:textId="1C2B7E86" w:rsidR="00680577" w:rsidRPr="00780F55" w:rsidRDefault="00217FAF" w:rsidP="00680577">
      <w:pPr>
        <w:pStyle w:val="EPBodyTA1"/>
      </w:pPr>
      <w:r w:rsidRPr="00780F55">
        <w:t>TEKSTY PRZYJĘTE</w:t>
      </w:r>
    </w:p>
    <w:p w14:paraId="287CF7B4" w14:textId="77777777" w:rsidR="00D058B8" w:rsidRPr="00780F55" w:rsidRDefault="00D058B8" w:rsidP="00D058B8">
      <w:pPr>
        <w:pStyle w:val="LineBottom"/>
      </w:pPr>
    </w:p>
    <w:p w14:paraId="15B175AC" w14:textId="4709330C" w:rsidR="00217FAF" w:rsidRPr="00780F55" w:rsidRDefault="00217FAF" w:rsidP="00217FAF">
      <w:pPr>
        <w:pStyle w:val="ATHeading1"/>
      </w:pPr>
      <w:bookmarkStart w:id="0" w:name="TANumber"/>
      <w:r w:rsidRPr="00780F55">
        <w:t>P10_TA(2025)0</w:t>
      </w:r>
      <w:bookmarkEnd w:id="0"/>
      <w:r w:rsidR="007B7533">
        <w:t>228</w:t>
      </w:r>
    </w:p>
    <w:p w14:paraId="307C91DD" w14:textId="77777777" w:rsidR="00217FAF" w:rsidRPr="00780F55" w:rsidRDefault="00217FAF" w:rsidP="00217FAF">
      <w:pPr>
        <w:pStyle w:val="ATHeading2"/>
      </w:pPr>
      <w:bookmarkStart w:id="1" w:name="title"/>
      <w:r w:rsidRPr="00780F55">
        <w:t>Działalność Komisji Petycji w roku 2024</w:t>
      </w:r>
      <w:bookmarkEnd w:id="1"/>
    </w:p>
    <w:p w14:paraId="1B6E7094" w14:textId="77777777" w:rsidR="00217FAF" w:rsidRPr="00780F55" w:rsidRDefault="00217FAF" w:rsidP="00217FAF">
      <w:pPr>
        <w:rPr>
          <w:i/>
          <w:vanish/>
        </w:rPr>
      </w:pPr>
      <w:r w:rsidRPr="00780F55">
        <w:rPr>
          <w:i/>
        </w:rPr>
        <w:fldChar w:fldCharType="begin"/>
      </w:r>
      <w:r w:rsidRPr="00780F55">
        <w:rPr>
          <w:i/>
        </w:rPr>
        <w:instrText xml:space="preserve"> TC"(</w:instrText>
      </w:r>
      <w:bookmarkStart w:id="2" w:name="DocNumber"/>
      <w:r w:rsidRPr="00780F55">
        <w:rPr>
          <w:i/>
        </w:rPr>
        <w:instrText>A10-0170/2025</w:instrText>
      </w:r>
      <w:bookmarkEnd w:id="2"/>
      <w:r w:rsidRPr="00780F55">
        <w:rPr>
          <w:i/>
        </w:rPr>
        <w:instrText xml:space="preserve"> - Sprawozdawca: Fredis Beleris)"\l3 \n&gt; \* MERGEFORMAT </w:instrText>
      </w:r>
      <w:r w:rsidRPr="00780F55">
        <w:rPr>
          <w:i/>
        </w:rPr>
        <w:fldChar w:fldCharType="end"/>
      </w:r>
    </w:p>
    <w:p w14:paraId="33F216C8" w14:textId="77777777" w:rsidR="00217FAF" w:rsidRPr="00780F55" w:rsidRDefault="00217FAF" w:rsidP="00217FAF">
      <w:pPr>
        <w:rPr>
          <w:vanish/>
        </w:rPr>
      </w:pPr>
      <w:bookmarkStart w:id="3" w:name="Commission"/>
      <w:r w:rsidRPr="00780F55">
        <w:rPr>
          <w:vanish/>
        </w:rPr>
        <w:t>Komisja Petycji</w:t>
      </w:r>
      <w:bookmarkEnd w:id="3"/>
    </w:p>
    <w:p w14:paraId="575B5883" w14:textId="77777777" w:rsidR="00217FAF" w:rsidRPr="00780F55" w:rsidRDefault="00217FAF" w:rsidP="00217FAF">
      <w:pPr>
        <w:rPr>
          <w:vanish/>
        </w:rPr>
      </w:pPr>
      <w:bookmarkStart w:id="4" w:name="PE"/>
      <w:r w:rsidRPr="00780F55">
        <w:rPr>
          <w:vanish/>
        </w:rPr>
        <w:t>PE773.363</w:t>
      </w:r>
      <w:bookmarkEnd w:id="4"/>
    </w:p>
    <w:p w14:paraId="4BD06963" w14:textId="72E1AB6A" w:rsidR="00217FAF" w:rsidRPr="00780F55" w:rsidRDefault="00217FAF" w:rsidP="00217FAF">
      <w:pPr>
        <w:pStyle w:val="ATHeading3"/>
      </w:pPr>
      <w:bookmarkStart w:id="5" w:name="Sujet"/>
      <w:r w:rsidRPr="00780F55">
        <w:t xml:space="preserve">Rezolucja Parlamentu Europejskiego z dnia </w:t>
      </w:r>
      <w:r w:rsidR="00B00715">
        <w:t>9 października</w:t>
      </w:r>
      <w:r w:rsidRPr="00780F55">
        <w:t xml:space="preserve"> 2025 r. w sprawie działalności Komisji Petycji w roku 2024</w:t>
      </w:r>
      <w:bookmarkEnd w:id="5"/>
      <w:r w:rsidRPr="00780F55">
        <w:t xml:space="preserve"> </w:t>
      </w:r>
      <w:bookmarkStart w:id="6" w:name="References"/>
      <w:r w:rsidRPr="00780F55">
        <w:t>(2025/2114(INI))</w:t>
      </w:r>
      <w:bookmarkEnd w:id="6"/>
    </w:p>
    <w:p w14:paraId="3CF6DF28" w14:textId="77777777" w:rsidR="0025117C" w:rsidRPr="00780F55" w:rsidRDefault="0025117C" w:rsidP="0025117C">
      <w:pPr>
        <w:pStyle w:val="EPComma"/>
      </w:pPr>
      <w:r w:rsidRPr="00780F55">
        <w:rPr>
          <w:i/>
        </w:rPr>
        <w:t>Parlament Europejski</w:t>
      </w:r>
      <w:r w:rsidRPr="00780F55">
        <w:t>,</w:t>
      </w:r>
    </w:p>
    <w:p w14:paraId="65DBCCE8" w14:textId="77777777" w:rsidR="0025117C" w:rsidRPr="00780F55" w:rsidRDefault="0025117C" w:rsidP="0025117C">
      <w:pPr>
        <w:pStyle w:val="NormalHanging12a"/>
      </w:pPr>
      <w:r w:rsidRPr="00780F55">
        <w:t>–</w:t>
      </w:r>
      <w:r w:rsidRPr="00780F55">
        <w:tab/>
        <w:t>uwzględniając swoje wcześniejsze rezolucje w sprawie działalności Komisji Petycji,</w:t>
      </w:r>
    </w:p>
    <w:p w14:paraId="3C50D625" w14:textId="77777777" w:rsidR="0025117C" w:rsidRPr="00780F55" w:rsidRDefault="0025117C" w:rsidP="0025117C">
      <w:pPr>
        <w:pStyle w:val="NormalHanging12a"/>
      </w:pPr>
      <w:r w:rsidRPr="00780F55">
        <w:t>–</w:t>
      </w:r>
      <w:r w:rsidRPr="00780F55">
        <w:tab/>
        <w:t>uwzględniając art. 10 i 11 Traktatu o Unii Europejskiej,</w:t>
      </w:r>
    </w:p>
    <w:p w14:paraId="04341892" w14:textId="77777777" w:rsidR="0025117C" w:rsidRPr="00780F55" w:rsidRDefault="0025117C" w:rsidP="0025117C">
      <w:pPr>
        <w:pStyle w:val="NormalHanging12a"/>
      </w:pPr>
      <w:r w:rsidRPr="00780F55">
        <w:t>–</w:t>
      </w:r>
      <w:r w:rsidRPr="00780F55">
        <w:tab/>
        <w:t>uwzględniając art. 20, 24 i 227 Traktatu o funkcjonowaniu Unii Europejskiej (TFUE) dotyczące prawa obywateli UE i osób mających miejsce zamieszkania w UE do kierowania petycji do Parlamentu Europejskiego,</w:t>
      </w:r>
    </w:p>
    <w:p w14:paraId="5D9F4552" w14:textId="77777777" w:rsidR="0025117C" w:rsidRPr="00780F55" w:rsidRDefault="0025117C" w:rsidP="0025117C">
      <w:pPr>
        <w:pStyle w:val="NormalHanging12a"/>
      </w:pPr>
      <w:r w:rsidRPr="00780F55">
        <w:t>–</w:t>
      </w:r>
      <w:r w:rsidRPr="00780F55">
        <w:tab/>
        <w:t>uwzględniając art. 228 TFUE dotyczący roli i funkcji Europejskiego Rzecznika Praw Obywatelskich,</w:t>
      </w:r>
    </w:p>
    <w:p w14:paraId="4233420A" w14:textId="77777777" w:rsidR="0025117C" w:rsidRPr="00780F55" w:rsidRDefault="0025117C" w:rsidP="0025117C">
      <w:pPr>
        <w:pStyle w:val="NormalHanging12a"/>
      </w:pPr>
      <w:r w:rsidRPr="00780F55">
        <w:t>–</w:t>
      </w:r>
      <w:r w:rsidRPr="00780F55">
        <w:tab/>
        <w:t>uwzględniając art. 44 Karty praw podstawowych Unii Europejskiej, w którym mowa jest o prawie do składania petycji do Parlamentu Europejskiego,</w:t>
      </w:r>
    </w:p>
    <w:p w14:paraId="43795F03" w14:textId="77777777" w:rsidR="0025117C" w:rsidRPr="00780F55" w:rsidRDefault="0025117C" w:rsidP="0025117C">
      <w:pPr>
        <w:pStyle w:val="NormalHanging12a"/>
      </w:pPr>
      <w:r w:rsidRPr="00780F55">
        <w:t>–</w:t>
      </w:r>
      <w:r w:rsidRPr="00780F55">
        <w:tab/>
        <w:t>uwzględniając postanowienia TFUE dotyczące postępowania w sprawie uchybienia zobowiązaniom państwa członkowskiego, w szczególności jego art. 258 i 260,</w:t>
      </w:r>
    </w:p>
    <w:p w14:paraId="223EC6B7" w14:textId="77777777" w:rsidR="0025117C" w:rsidRPr="00780F55" w:rsidRDefault="0025117C" w:rsidP="0025117C">
      <w:pPr>
        <w:pStyle w:val="NormalHanging12a"/>
      </w:pPr>
      <w:r w:rsidRPr="00780F55">
        <w:t>–</w:t>
      </w:r>
      <w:r w:rsidRPr="00780F55">
        <w:tab/>
        <w:t>uwzględniając art. 55 i art. 233 ust. 7 Regulaminu,</w:t>
      </w:r>
    </w:p>
    <w:p w14:paraId="5D5A1F0A" w14:textId="77777777" w:rsidR="0025117C" w:rsidRPr="00780F55" w:rsidRDefault="0025117C" w:rsidP="0025117C">
      <w:pPr>
        <w:pStyle w:val="NormalHanging12a"/>
      </w:pPr>
      <w:r w:rsidRPr="00780F55">
        <w:t>–</w:t>
      </w:r>
      <w:r w:rsidRPr="00780F55">
        <w:tab/>
        <w:t>uwzględniając sprawozdanie Komisji Petycji (A10-0170/2025),</w:t>
      </w:r>
    </w:p>
    <w:p w14:paraId="6565A430" w14:textId="77777777" w:rsidR="0025117C" w:rsidRPr="00780F55" w:rsidRDefault="0025117C" w:rsidP="0025117C">
      <w:pPr>
        <w:pStyle w:val="NormalHanging12a"/>
      </w:pPr>
      <w:r w:rsidRPr="00780F55">
        <w:t>A.</w:t>
      </w:r>
      <w:r w:rsidRPr="00780F55">
        <w:tab/>
        <w:t xml:space="preserve">mając na uwadze, że po wyborach do Parlamentu Europejskiego, które odbyły się w dniach 6–9 czerwca 2024 r., oraz po ukonstytuowaniu się nowego parlamentu w dniu 16 lipca 2024 r. Komisja Petycji odbyła posiedzenie inauguracyjne w dniu 23 lipca 2024 r.; </w:t>
      </w:r>
    </w:p>
    <w:p w14:paraId="0758B250" w14:textId="77777777" w:rsidR="0025117C" w:rsidRPr="00780F55" w:rsidRDefault="0025117C" w:rsidP="0025117C">
      <w:pPr>
        <w:pStyle w:val="NormalHanging12a"/>
      </w:pPr>
      <w:r w:rsidRPr="00780F55">
        <w:t>B.</w:t>
      </w:r>
      <w:r w:rsidRPr="00780F55">
        <w:tab/>
        <w:t>mając na uwadze, że celem rocznego sprawozdania w sprawie działalności Komisji Petycji jest przedstawienie analizy dotyczącej petycji otrzymanych w 2024 r. i stosunków z innymi instytucjami, a także przedstawienie wiernego obrazu celów osiągniętych w roku 2024;</w:t>
      </w:r>
    </w:p>
    <w:p w14:paraId="70BD579D" w14:textId="77777777" w:rsidR="0025117C" w:rsidRPr="00780F55" w:rsidRDefault="0025117C" w:rsidP="0025117C">
      <w:pPr>
        <w:pStyle w:val="NormalHanging12a"/>
      </w:pPr>
      <w:r w:rsidRPr="00780F55">
        <w:t>C.</w:t>
      </w:r>
      <w:r w:rsidRPr="00780F55">
        <w:tab/>
        <w:t xml:space="preserve">mając na uwadze, że w 2024 r. do Parlamentu wpłynęło 1 518 petycji, co stanowi wzrost o 4,3 % względem 1 452 petycji złożonych w 2023 r. oraz spadek o 19,8 % </w:t>
      </w:r>
      <w:r w:rsidRPr="00780F55">
        <w:lastRenderedPageBreak/>
        <w:t>względem 1 217 petycji złożonych w 2022 r.; mając na uwadze, że łączna liczba otrzymanych petycji jest nadal znacznie niższa od rekordowych liczb odnotowanych w latach 2013 i 2014, kiedy Parlament otrzymał odpowiednio 2891 i 2715 petycji;</w:t>
      </w:r>
    </w:p>
    <w:p w14:paraId="2AD716DA" w14:textId="77777777" w:rsidR="0025117C" w:rsidRPr="00780F55" w:rsidRDefault="0025117C" w:rsidP="0025117C">
      <w:pPr>
        <w:pStyle w:val="NormalHanging12a"/>
      </w:pPr>
      <w:r w:rsidRPr="00780F55">
        <w:t>D.</w:t>
      </w:r>
      <w:r w:rsidRPr="00780F55">
        <w:tab/>
        <w:t>mając na uwadze, że w 2024 r. w internetowym portalu petycji Parlamentu petycje poparło 15 661 użytkowników, co stanowi znaczny spadek w porównaniu z 26 331 w 2023 r. i 22 441 w 2022 r.; mając na uwadze, że liczba kliknięć na poparcie petycji również spadła do 17 745 w 2024 r. w porównaniu z 29 287 w 2023 r. i 27 927 w 2022 r.;</w:t>
      </w:r>
    </w:p>
    <w:p w14:paraId="18946391" w14:textId="77777777" w:rsidR="0025117C" w:rsidRPr="00780F55" w:rsidRDefault="0025117C" w:rsidP="0025117C">
      <w:pPr>
        <w:pStyle w:val="NormalHanging12a"/>
      </w:pPr>
      <w:r w:rsidRPr="00780F55">
        <w:t>E.</w:t>
      </w:r>
      <w:r w:rsidRPr="00780F55">
        <w:tab/>
        <w:t>mając na uwadze, że ogólna liczba petycji jest nadal niewielka, jeśli uwzględnić całkowitą liczbę ludności UE, co pokazuje, że wciąż należy zwiększać starania na rzecz podnoszenia świadomości obywateli na temat ich prawa do składania petycji oraz potencjalnej użyteczności petycji jako sposobu zwrócenia uwagi instytucji UE i państw członkowskich na kwestie, które bezpośrednio dotyczą obywateli i mają na nich wpływ; mając na uwadze, że Komisja Petycji, która jest bardzo popularna wśród młodzieży podczas wydarzeń takich jak Europejskie Spotkanie Młodzieży (EYE) w Strasburgu, stanowi skuteczny sposób promowania tego prawa i podnoszenia świadomości jego znaczenia wśród obywateli, w szczególności młodszych pokoleń; mając na uwadze, że w związku z tym zasadnicze znaczenie ma zapewnienie aktywnej i systematycznej obecności Komisji Petycji w każdej edycji EYE, aby zwiększyć jej widoczność i dostępność; mając na uwadze, że obywatele korzystający z prawa do składania petycji oczekują, iż instytucje UE wniosą wartość dodaną w rozwiązanie ich problemów; mając na uwadze, że to prawo do składania petycji musi również promować podstawowe zasady, takie jak dobre administrowanie instytucjami europejskimi, wolność wypowiedzi lub poszanowanie demokratycznej wypowiedzi;</w:t>
      </w:r>
    </w:p>
    <w:p w14:paraId="0FBC7843" w14:textId="77777777" w:rsidR="0025117C" w:rsidRPr="00780F55" w:rsidRDefault="0025117C" w:rsidP="0025117C">
      <w:pPr>
        <w:pStyle w:val="NormalHanging12a"/>
      </w:pPr>
      <w:r w:rsidRPr="00780F55">
        <w:t>F.</w:t>
      </w:r>
      <w:r w:rsidRPr="00780F55">
        <w:tab/>
        <w:t>mając na uwadze, że kryteria dopuszczalności petycji są określone w art. 227 TFUE i art. 232 ust. 1 Regulaminu Parlamentu, zgodnie z którymi petycje mogą składać – indywidualnie albo wspólnie z innymi osobami – obywatele Unii lub osoby fizyczne lub prawne mające miejsce zamieszkania lub statutową siedzibę w państwie członkowskim, w sprawach objętych zakresem działalności Unii Europejskiej i bezpośrednio dotyczących osób składających petycje, przy czym ten ostatni warunek ma bardzo szeroką wykładnię;</w:t>
      </w:r>
    </w:p>
    <w:p w14:paraId="4C5E59DC" w14:textId="77777777" w:rsidR="0025117C" w:rsidRPr="00780F55" w:rsidRDefault="0025117C" w:rsidP="0025117C">
      <w:pPr>
        <w:pStyle w:val="NormalHanging12a"/>
      </w:pPr>
      <w:r w:rsidRPr="00780F55">
        <w:t>G.</w:t>
      </w:r>
      <w:r w:rsidRPr="00780F55">
        <w:tab/>
        <w:t xml:space="preserve">mając na uwadze, że spośród 1 518 petycji złożonych w 2024 r. 611 uznano za niedopuszczalne, a 31 wycofano; mając na uwadze, że odnotowany w 2024 r. wysoki i nadal rosnący odsetek petycji niedopuszczalnych (40,25 %) potwierdza wciąż powszechny brak zrozumienia zakresu obszarów odpowiedzialności Unii; mając na uwadze, że aby zmniejszyć liczbę petycji niedopuszczalnych, należy wciąż podejmować działania w celu dalszego doprecyzowania zakresu działań UE; </w:t>
      </w:r>
    </w:p>
    <w:p w14:paraId="5AAA3D9D" w14:textId="77777777" w:rsidR="0025117C" w:rsidRPr="00780F55" w:rsidRDefault="0025117C" w:rsidP="0025117C">
      <w:pPr>
        <w:pStyle w:val="NormalHanging12a"/>
      </w:pPr>
      <w:r w:rsidRPr="00780F55">
        <w:t>H.</w:t>
      </w:r>
      <w:r w:rsidRPr="00780F55">
        <w:tab/>
        <w:t xml:space="preserve">mając na uwadze, że prawo do kierowania petycji do Parlamentu jest podstawowym prawem obywateli UE, oferującym zarówno obywatelom, jak i mieszkańcom UE otwarty, demokratyczny i przejrzysty mechanizm bezpośredniego zwracania się do wybranych przedstawicieli; mając na uwadze, że wiele osób z niepełnosprawnościami nie ma równego dostępu do informacji i komunikacji ze względu na ograniczoną dostępność dostosowanych formatów oraz z powodu faktu, że krajowe języki migowe nie są uznawane za element wielojęzyczności UE; mając na uwadze, że to podstawowe narzędzie umożliwia obywatelom aktywne i skuteczne uczestnictwo w życiu Unii; mając na uwadze, że petycje umożliwiają obywatelom Unii zgłaszanie </w:t>
      </w:r>
      <w:r w:rsidRPr="00780F55">
        <w:lastRenderedPageBreak/>
        <w:t>nieprawidłowości w stosowaniu prawa UE oraz pomagają wykrywać przypadki naruszeń prawa UE, przy jednoczesnym poszanowaniu suwerenności państw członkowskich i stosowania traktatów UE;</w:t>
      </w:r>
    </w:p>
    <w:p w14:paraId="500A9111" w14:textId="77777777" w:rsidR="0025117C" w:rsidRPr="00780F55" w:rsidRDefault="0025117C" w:rsidP="0025117C">
      <w:pPr>
        <w:pStyle w:val="NormalHanging12a"/>
      </w:pPr>
      <w:r w:rsidRPr="00780F55">
        <w:t>I.</w:t>
      </w:r>
      <w:r w:rsidRPr="00780F55">
        <w:tab/>
        <w:t>mając na uwadze, że Parlament od dawna odgrywa pierwszoplanową rolę w rozwoju procesu rozpatrywania petycji na płaszczyźnie międzynarodowej i stosuje najbardziej otwartą i przejrzystą procedurę składania i rozpatrywania petycji w Europie, umożliwiającą składającym petycje pełne uczestnictwo w jego działaniach; mając na uwadze, że internetowa platforma petycji mogłaby stać się bardziej intuicyjna, aby ułatwić użytkownikom nawigację; mając na uwadze, że włączenie technologii sztucznej inteligencji mogłoby uprościć wyszukiwanie i poprawić dostępność petycji, oferując bardziej zaawansowane funkcje niż te dozwolone w obecnym formacie;</w:t>
      </w:r>
    </w:p>
    <w:p w14:paraId="406C1BA2" w14:textId="77777777" w:rsidR="0025117C" w:rsidRPr="00780F55" w:rsidRDefault="0025117C" w:rsidP="0025117C">
      <w:pPr>
        <w:pStyle w:val="NormalHanging12a"/>
      </w:pPr>
      <w:r w:rsidRPr="00780F55">
        <w:t>J.</w:t>
      </w:r>
      <w:r w:rsidRPr="00780F55">
        <w:tab/>
        <w:t>mając na uwadze, że Komisja Petycji podkreśla, że istotna jest większa przejrzystość w rozpatrywaniu petycji, w tym systematyczne przekazywanie składającym petycje informacji zwrotnych na kluczowych etapach procedury oraz jasny harmonogram działań następczych podejmowanych przez instytucje UE;</w:t>
      </w:r>
    </w:p>
    <w:p w14:paraId="0E6CE341" w14:textId="77777777" w:rsidR="0025117C" w:rsidRPr="00780F55" w:rsidRDefault="0025117C" w:rsidP="0025117C">
      <w:pPr>
        <w:pStyle w:val="NormalHanging12a"/>
      </w:pPr>
      <w:r w:rsidRPr="00780F55">
        <w:t>K.</w:t>
      </w:r>
      <w:r w:rsidRPr="00780F55">
        <w:tab/>
        <w:t>mając na uwadze, że działalność Komisji Petycji opiera się na wiedzy pochodzącej od składających petycje i informacjach przez nich przekazywanych; mając na uwadze, że informacje te oraz wiedza ekspercka Komisji Europejskiej, państw członkowskich i innych organów są niezbędne w pracy Komisji Petycji; mając na uwadze, że dopuszczalne petycje często stanowią cenny wkład w prace innych komisji parlamentarnych; mając na uwadze, że w związku z tym petycje mogą również odgrywać rolę w procesie legislacyjnym, zapewniając konkretne informacje zwrotne na temat wpływu polityki UE i umożliwiając odpowiedź polityczną na pojawiające się potrzeby;</w:t>
      </w:r>
    </w:p>
    <w:p w14:paraId="02570072" w14:textId="77777777" w:rsidR="0025117C" w:rsidRPr="00780F55" w:rsidRDefault="0025117C" w:rsidP="0025117C">
      <w:pPr>
        <w:pStyle w:val="NormalHanging12a"/>
      </w:pPr>
      <w:r w:rsidRPr="00780F55">
        <w:t>L.</w:t>
      </w:r>
      <w:r w:rsidRPr="00780F55">
        <w:tab/>
        <w:t>mając na uwadze, że prawo do składania petycji zwiększa zdolność Parlamentu do reagowania na skargi i obawy związane z poszanowaniem unijnych praw podstawowych i przestrzeganiem przepisów Unii w państwach członkowskich; mając na uwadze, że petycje mogą być użytecznym źródłem informacji na temat przypadków błędnego stosowania lub naruszeń prawa Unii oraz umożliwiać Parlamentowi i innym instytucjom ocenę transpozycji i stosowania prawa Unii oraz jego wpływu na prawa obywateli Unii i osób mających miejsce zamieszkania w Unii;</w:t>
      </w:r>
    </w:p>
    <w:p w14:paraId="5EB8C1FF" w14:textId="3EEDBF22" w:rsidR="0025117C" w:rsidRPr="00780F55" w:rsidRDefault="0025117C" w:rsidP="0025117C">
      <w:pPr>
        <w:pStyle w:val="NormalHanging12a"/>
      </w:pPr>
      <w:r w:rsidRPr="00780F55">
        <w:t>M.</w:t>
      </w:r>
      <w:r w:rsidRPr="00780F55">
        <w:tab/>
        <w:t xml:space="preserve">mając na uwadze, że każda petycja jest rozpatrywana i badana uważnie, efektywnie i w przejrzysty sposób; mając na uwadze, że wszyscy składający petycję mają prawo do otrzymania odpowiedzi i informacji na temat decyzji w sprawie dopuszczalności oraz działań następczych podjętych przez komisję w rozsądnym terminie, we własnym języku lub w języku użytym w petycji; mając na uwadze, że w petycji nr 1056/2016 omówionej 19 marca 2024 r. zwrócono się do Parlamentu o </w:t>
      </w:r>
      <w:r w:rsidR="00055D25">
        <w:t>umożliwienie</w:t>
      </w:r>
      <w:r w:rsidRPr="00780F55">
        <w:t xml:space="preserve"> składania petycji w krajowych językach migowych używanych w UE;</w:t>
      </w:r>
    </w:p>
    <w:p w14:paraId="70F73066" w14:textId="77777777" w:rsidR="0025117C" w:rsidRPr="00780F55" w:rsidRDefault="0025117C" w:rsidP="0025117C">
      <w:pPr>
        <w:pStyle w:val="NormalHanging12a"/>
      </w:pPr>
      <w:r w:rsidRPr="00780F55">
        <w:t>N.</w:t>
      </w:r>
      <w:r w:rsidRPr="00780F55">
        <w:tab/>
        <w:t>mając na uwadze, że Komisja Petycji przywiązuje olbrzymią wagę do rozpatrywania i publicznego omawiania petycji na swoich posiedzeniach; mając na uwadze, że składający petycje mają prawo przedstawić swoje petycje oraz często zabierają głos w dyskusji, biorąc tym samym aktywny udział w pracach komisji; mając na uwadze, że w 2024 r. odbyło się</w:t>
      </w:r>
      <w:r w:rsidRPr="00780F55">
        <w:rPr>
          <w:color w:val="FF0000"/>
        </w:rPr>
        <w:t xml:space="preserve"> </w:t>
      </w:r>
      <w:r w:rsidRPr="00780F55">
        <w:t>osiem posiedzeń Komisji Petycji, oprócz posiedzenia inauguracyjnego, na których omówiono 106 petycji w obecności</w:t>
      </w:r>
      <w:r w:rsidRPr="00780F55">
        <w:rPr>
          <w:color w:val="FF0000"/>
        </w:rPr>
        <w:t xml:space="preserve"> </w:t>
      </w:r>
      <w:r w:rsidRPr="00780F55">
        <w:t>106 składających petycje,</w:t>
      </w:r>
      <w:r w:rsidRPr="00780F55">
        <w:rPr>
          <w:color w:val="FF0000"/>
        </w:rPr>
        <w:t xml:space="preserve"> </w:t>
      </w:r>
      <w:r w:rsidRPr="00780F55">
        <w:t>którzy uczestniczyli aktywnie w posiedzeniach, zabierając głos;</w:t>
      </w:r>
    </w:p>
    <w:p w14:paraId="5608A4F3" w14:textId="77777777" w:rsidR="0025117C" w:rsidRPr="00780F55" w:rsidRDefault="0025117C" w:rsidP="0025117C">
      <w:pPr>
        <w:pStyle w:val="NormalHanging12a"/>
      </w:pPr>
      <w:r w:rsidRPr="00780F55">
        <w:lastRenderedPageBreak/>
        <w:t>O.</w:t>
      </w:r>
      <w:r w:rsidRPr="00780F55">
        <w:tab/>
        <w:t>mając na uwadze, że główne tematy poruszane w petycjach złożonych w 2024 r. dotyczyły środowiska, praw podstawowych, praworządności (w tym prawa do dobrej administracji, prawa dostępu do dokumentów oraz wolności wypowiedzi i informacji), rynku wewnętrznego, wymiaru sprawiedliwości, praw konsumentów i zdrowia;</w:t>
      </w:r>
    </w:p>
    <w:p w14:paraId="24ACEDB3" w14:textId="77777777" w:rsidR="0025117C" w:rsidRPr="00780F55" w:rsidRDefault="0025117C" w:rsidP="0025117C">
      <w:pPr>
        <w:pStyle w:val="NormalHanging12a"/>
      </w:pPr>
      <w:r w:rsidRPr="00780F55">
        <w:t>P.</w:t>
      </w:r>
      <w:r w:rsidRPr="00780F55">
        <w:tab/>
        <w:t>mając na uwadze, że kiedy Komisja Petycji przyjmuje porządek obrad, dąży do tego, aby omawiać petycje i tematy o dużym znaczeniu dla dyskusji na szczeblu UE, oraz do utrzymania zrównoważonego zasięgu geograficznego tematów zgodnie z otrzymanymi petycjami;</w:t>
      </w:r>
    </w:p>
    <w:p w14:paraId="1927A354" w14:textId="77777777" w:rsidR="0025117C" w:rsidRPr="00780F55" w:rsidRDefault="0025117C" w:rsidP="0025117C">
      <w:pPr>
        <w:pStyle w:val="NormalHanging12a"/>
      </w:pPr>
      <w:r w:rsidRPr="00780F55">
        <w:t>Q.</w:t>
      </w:r>
      <w:r w:rsidRPr="00780F55">
        <w:tab/>
        <w:t>mając na uwadze, że 82 % petycji skierowanych do Parlamentu w 2024 r. złożono za pośrednictwem internetowego portalu petycji Parlamentu – niemal identyczny odsetek jak w 2023 r. (82,4 %) – co potwierdza, że portal ten jest zdecydowanie najczęściej wykorzystywanym przez obywateli kanałem składania petycji do Parlamentu;</w:t>
      </w:r>
    </w:p>
    <w:p w14:paraId="20B182F1" w14:textId="77777777" w:rsidR="0025117C" w:rsidRPr="00780F55" w:rsidRDefault="0025117C" w:rsidP="0025117C">
      <w:pPr>
        <w:pStyle w:val="NormalHanging12a"/>
      </w:pPr>
      <w:r w:rsidRPr="00780F55">
        <w:t>R.</w:t>
      </w:r>
      <w:r w:rsidRPr="00780F55">
        <w:tab/>
        <w:t>mając na uwadze, że w zmodernizowanym internetowym portalu petycji automatycznie publikowane są informacje o przyjęciu petycji i zmianach statusu, dodatkowe informacje (np. państwo, tematy) i streszczenia we wszystkich 24 językach urzędowych UE; mając na uwadze, że w 2024 r. wszystkie petycje opracowano i opublikowano terminowo w ciągu kilku dni od ich przyjęcia oraz że na wszystkie wewnętrzne i zewnętrzne wnioski o pomoc w korzystaniu z internetowego portalu petycji i jego treści udzielono odpowiedzi w terminie i w językach urzędowych UE;</w:t>
      </w:r>
    </w:p>
    <w:p w14:paraId="54F91E95" w14:textId="77777777" w:rsidR="0025117C" w:rsidRPr="00780F55" w:rsidRDefault="0025117C" w:rsidP="0025117C">
      <w:pPr>
        <w:pStyle w:val="NormalHanging12a"/>
      </w:pPr>
      <w:r w:rsidRPr="00780F55">
        <w:t>S.</w:t>
      </w:r>
      <w:r w:rsidRPr="00780F55">
        <w:tab/>
        <w:t>mając na uwadze, że w 2024 r. ze względu na okres przerwy, związanej z wyborami do Parlamentu Europejskiego, w odniesieniu do rozpatrywanych petycji nie odbywały się wizyty informacyjne; mając na uwadze, że komisja przeprowadziła ocenę działań następczych i przyjęła dwa sprawozdania z poprzednich wizyt informacyjnych, które odbyły się w 2023 r.; mając na uwadze, że na pierwszą połowę 2025 r. zaplanowano dwie wizyty informacyjne;</w:t>
      </w:r>
    </w:p>
    <w:p w14:paraId="74171B75" w14:textId="77777777" w:rsidR="0025117C" w:rsidRPr="00780F55" w:rsidRDefault="0025117C" w:rsidP="0025117C">
      <w:pPr>
        <w:pStyle w:val="NormalHanging12a"/>
      </w:pPr>
      <w:r w:rsidRPr="00780F55">
        <w:t>T.</w:t>
      </w:r>
      <w:r w:rsidRPr="00780F55">
        <w:tab/>
        <w:t xml:space="preserve">mając na uwadze, że 4 listopada 2024 r. Komisja Petycji uczestniczyła jako komisja zaproszona w wysłuchaniu potwierdzającym kandydata na komisarza ds. handlu i bezpieczeństwa gospodarczego, stosunków międzyinstytucjonalnych i przejrzystości </w:t>
      </w:r>
      <w:proofErr w:type="spellStart"/>
      <w:r w:rsidRPr="00780F55">
        <w:t>Maroša</w:t>
      </w:r>
      <w:proofErr w:type="spellEnd"/>
      <w:r w:rsidRPr="00780F55">
        <w:t xml:space="preserve"> </w:t>
      </w:r>
      <w:proofErr w:type="spellStart"/>
      <w:r w:rsidRPr="00780F55">
        <w:t>Šefčoviča</w:t>
      </w:r>
      <w:proofErr w:type="spellEnd"/>
      <w:r w:rsidRPr="00780F55">
        <w:t xml:space="preserve">; mając na uwadze, że w odpowiedzi na pisemne i ustne pytania zadane przez Komisję Petycji w kontekście wysłuchania potwierdzającego </w:t>
      </w:r>
      <w:proofErr w:type="spellStart"/>
      <w:r w:rsidRPr="00780F55">
        <w:t>Maroš</w:t>
      </w:r>
      <w:proofErr w:type="spellEnd"/>
      <w:r w:rsidRPr="00780F55">
        <w:t xml:space="preserve"> </w:t>
      </w:r>
      <w:proofErr w:type="spellStart"/>
      <w:r w:rsidRPr="00780F55">
        <w:t>Šefčovič</w:t>
      </w:r>
      <w:proofErr w:type="spellEnd"/>
      <w:r w:rsidRPr="00780F55">
        <w:t xml:space="preserve"> podjął szereg zobowiązań dotyczących procesu rozpatrywania petycji i przejrzystości egzekwowania prawa przez Komisję Europejską; </w:t>
      </w:r>
    </w:p>
    <w:p w14:paraId="358555D5" w14:textId="77777777" w:rsidR="0025117C" w:rsidRPr="00780F55" w:rsidRDefault="0025117C" w:rsidP="0025117C">
      <w:pPr>
        <w:pStyle w:val="NormalHanging12a"/>
      </w:pPr>
      <w:r w:rsidRPr="00780F55">
        <w:t>U.</w:t>
      </w:r>
      <w:r w:rsidRPr="00780F55">
        <w:tab/>
        <w:t xml:space="preserve">mając na uwadze, że zgodnie z Regulaminem Parlamentu Europejskiego Komisja Petycji odpowiada również za kontakty z Europejskim Rzecznikiem Praw Obywatelskich, do którego zadań należy rozpatrywanie skarg wnoszonych w związku z niewłaściwym administrowaniem w instytucjach i organach UE; mając na uwadze, że w 2024 r. Komisja Petycji odegrała ważną rolę w organizacji wyboru Europejskiego Rzecznika Praw Obywatelskich, przeprowadzając publiczne wysłuchanie kandydatów zgodnie z art. 237 Regulaminu Parlamentu; mając na uwadze, że w dniu 17 grudnia 2024 r. na stanowisko Europejskiego Rzecznika Praw Obywatelskich w kadencji parlamentarnej 2024–2029 wybrana została Teresa </w:t>
      </w:r>
      <w:proofErr w:type="spellStart"/>
      <w:r w:rsidRPr="00780F55">
        <w:t>Anjinho</w:t>
      </w:r>
      <w:proofErr w:type="spellEnd"/>
      <w:r w:rsidRPr="00780F55">
        <w:t xml:space="preserve">; </w:t>
      </w:r>
    </w:p>
    <w:p w14:paraId="573AAFCF" w14:textId="77777777" w:rsidR="0025117C" w:rsidRPr="00780F55" w:rsidRDefault="0025117C" w:rsidP="0025117C">
      <w:pPr>
        <w:pStyle w:val="NormalHanging12a"/>
      </w:pPr>
      <w:r w:rsidRPr="00780F55">
        <w:t>V.</w:t>
      </w:r>
      <w:r w:rsidRPr="00780F55">
        <w:tab/>
        <w:t xml:space="preserve">mając na uwadze, że w 2024 r. stosunki między Komisją Petycji a Europejskim Rzecznikiem Praw Obywatelskich pozostały konstruktywne, o czym świadczy aktywny udział poprzedniej rzecznik </w:t>
      </w:r>
      <w:proofErr w:type="spellStart"/>
      <w:r w:rsidRPr="00780F55">
        <w:t>Emily</w:t>
      </w:r>
      <w:proofErr w:type="spellEnd"/>
      <w:r w:rsidRPr="00780F55">
        <w:t xml:space="preserve"> </w:t>
      </w:r>
      <w:proofErr w:type="spellStart"/>
      <w:r w:rsidRPr="00780F55">
        <w:t>O’Reilly</w:t>
      </w:r>
      <w:proofErr w:type="spellEnd"/>
      <w:r w:rsidRPr="00780F55">
        <w:t xml:space="preserve"> w posiedzeniach komisji; mając na uwadze, </w:t>
      </w:r>
      <w:r w:rsidRPr="00780F55">
        <w:lastRenderedPageBreak/>
        <w:t xml:space="preserve">że na posiedzeniu w dniu 4 września 2024 r. </w:t>
      </w:r>
      <w:proofErr w:type="spellStart"/>
      <w:r w:rsidRPr="00780F55">
        <w:t>Emily</w:t>
      </w:r>
      <w:proofErr w:type="spellEnd"/>
      <w:r w:rsidRPr="00780F55">
        <w:t xml:space="preserve"> </w:t>
      </w:r>
      <w:proofErr w:type="spellStart"/>
      <w:r w:rsidRPr="00780F55">
        <w:t>O’Reilly</w:t>
      </w:r>
      <w:proofErr w:type="spellEnd"/>
      <w:r w:rsidRPr="00780F55">
        <w:t xml:space="preserve"> przedstawiła Komisji Petycji swoje sprawozdanie roczne za 2023 r., a w dniu 2 grudnia 2024 r. wzięła udział w jej dorocznych warsztatach poświęconych prawom osób z niepełnosprawnościami; </w:t>
      </w:r>
    </w:p>
    <w:p w14:paraId="01777377" w14:textId="77777777" w:rsidR="0025117C" w:rsidRPr="00780F55" w:rsidRDefault="0025117C" w:rsidP="0025117C">
      <w:pPr>
        <w:pStyle w:val="NormalHanging12a"/>
      </w:pPr>
      <w:r w:rsidRPr="00780F55">
        <w:t>W.</w:t>
      </w:r>
      <w:r w:rsidRPr="00780F55">
        <w:tab/>
        <w:t>mając na uwadze, że Komisja Petycji jest członkiem europejskiej sieci rzeczników praw obywatelskich, w której skład wchodzą także Europejski Rzecznik Praw Obywatelskich, rzecznicy krajowi i regionalni oraz podobne organy z państw członkowskich UE, krajów kandydujących i z innych państw należących do Europejskiego Obszaru Gospodarczego; mając na uwadze, że sieć ta ma na celu promowanie wymiany informacji o prawie i polityce UE oraz wymianę najlepszych praktyk;</w:t>
      </w:r>
    </w:p>
    <w:p w14:paraId="5E9558D9" w14:textId="77777777" w:rsidR="0025117C" w:rsidRPr="00780F55" w:rsidRDefault="0025117C" w:rsidP="0025117C">
      <w:pPr>
        <w:pStyle w:val="NormalHanging12a"/>
      </w:pPr>
      <w:r w:rsidRPr="00780F55">
        <w:t>1.</w:t>
      </w:r>
      <w:r w:rsidRPr="00780F55">
        <w:tab/>
        <w:t>przypomina, że Komisja Petycji odgrywa ważną rolę w ochronie i propagowaniu praw obywateli i mieszkańców Unii, i zaznacza, że musi ona dbać, by obawy i skargi składających petycje rozpatrywano w sposób terminowy, skuteczny, dostępny i odpowiedni oraz by składający petycje byli należycie informowani o podjętych działaniach i postępach poczynionych w związku z ich petycjami; ubolewa jednak, że nie zawsze dzieje się tak w praktyce; przypomina, że wszystkie petycje muszą być rozpatrywane w drodze otwartej, demokratycznej i przejrzystej procedury składania petycji i że od Komisji Petycji oczekuje się jej konsekwentnego przestrzegania; zaleca przegląd procedur wewnętrznych w celu zapewnienia, aby podobne lub powtarzające się petycje były grupowane razem i rozpatrywane bardziej efektywnie, przy jednoczesnym zagwarantowaniu prawa każdej osoby składającej petycję do indywidualnego wysłuchania;</w:t>
      </w:r>
    </w:p>
    <w:p w14:paraId="227E54A7" w14:textId="77777777" w:rsidR="0025117C" w:rsidRPr="00780F55" w:rsidRDefault="0025117C" w:rsidP="0025117C">
      <w:pPr>
        <w:pStyle w:val="NormalHanging12a"/>
      </w:pPr>
      <w:r w:rsidRPr="00780F55">
        <w:t>2.</w:t>
      </w:r>
      <w:r w:rsidRPr="00780F55">
        <w:tab/>
        <w:t>ponownie podkreśla znaczenie ciągłej debaty publicznej na temat obszarów działalności UE, mającej zapewnić odpowiednie informowanie obywateli o zakresie kompetencji Unii i poszczególnych szczeblach podejmowania decyzji w celu ograniczenia liczby petycji niedopuszczalnych; ponawia apel o przeprowadzenie szerzej zakrojonych kampanii informacyjnych, zwłaszcza w regionach oddalonych i wśród niedostatecznie reprezentowanych grup obywateli, w tym młodzieży, kobiet, społeczności wiejskich i wyspiarskich, przy aktywnym udziale istniejących służb komunikacyjnych UE, aby pomóc w poszerzaniu wiedzy obywateli na temat ich prawa do składania petycji oraz na temat zakresu odpowiedzialności UE i uprawnień Komisji Petycji; wzywa do jaśniejszej i wolnej od żargonu komunikacji ze składającymi petycje oraz do lepszego publicznego objaśniania roli i ograniczeń Komisji Petycji, zwłaszcza użytkownikom potrzebującym szczególnego traktowania lub składającym petycję po raz pierwszy;</w:t>
      </w:r>
    </w:p>
    <w:p w14:paraId="6382451C" w14:textId="77777777" w:rsidR="0025117C" w:rsidRPr="00780F55" w:rsidRDefault="0025117C" w:rsidP="0025117C">
      <w:pPr>
        <w:pStyle w:val="NormalHanging12a"/>
      </w:pPr>
      <w:r w:rsidRPr="00780F55">
        <w:t>3.</w:t>
      </w:r>
      <w:r w:rsidRPr="00780F55">
        <w:tab/>
        <w:t>przypomina o europejskim wymiarze Komisji Petycji, do której mogą zwracać się obywatele ze wszystkich 27 państw członkowskich w sprawach wchodzących w zakres traktatów UE i prawa UE; uważa, że na Komisji Petycji spoczywa szczególna odpowiedzialność za utrzymanie, przy poszanowaniu suwerenności i specyfiki narodowej, tego europejskiego wymiaru i pokazanie obywatelom wartości dodanej europejskiej jedności i integracji;</w:t>
      </w:r>
    </w:p>
    <w:p w14:paraId="17A23717" w14:textId="77777777" w:rsidR="0025117C" w:rsidRPr="00780F55" w:rsidRDefault="0025117C" w:rsidP="0025117C">
      <w:pPr>
        <w:pStyle w:val="NormalHanging12a"/>
      </w:pPr>
      <w:r w:rsidRPr="00780F55">
        <w:t>4.</w:t>
      </w:r>
      <w:r w:rsidRPr="00780F55">
        <w:tab/>
        <w:t xml:space="preserve">zwraca uwagę, że petycje dają Parlamentowi i innym instytucjom Unii wyjątkową szansę na nawiązanie bezpośredniego kontaktu z obywatelami Unii i prowadzenie z nimi regularnego dialogu, w szczególności w sytuacjach, gdy odczuwają oni skutki niewłaściwego stosowania lub naruszania prawa UE; podkreśla potrzebę ściślejszej współpracy między instytucjami Unii a władzami krajowymi, regionalnymi i lokalnymi w kwestii dochodzeń dotyczących wdrażania i przestrzegania prawa UE; uważa, że taka </w:t>
      </w:r>
      <w:r w:rsidRPr="00780F55">
        <w:lastRenderedPageBreak/>
        <w:t>współpraca ma kluczowe znaczenie, jeśli chodzi o rozpatrywanie i rozwiązywanie zgłaszanych przez obywateli problemów dotyczących stosowania prawa UE, oraz przyczynia się do wzmocnienia legitymacji demokratycznej i odpowiedzialności Unii; apeluje zatem o znaczący udział przedstawicieli państw członkowskich w posiedzeniach Komisji Petycji oraz o terminowe udzielanie szczegółowych odpowiedzi na kierowane do organów krajowych wnioski Komisji Petycji o wyjaśnienia lub informacje, tak aby móc podejmować odpowiednie działania następcze w związku z petycjami;</w:t>
      </w:r>
    </w:p>
    <w:p w14:paraId="452820C2" w14:textId="77777777" w:rsidR="0025117C" w:rsidRPr="00780F55" w:rsidRDefault="0025117C" w:rsidP="0025117C">
      <w:pPr>
        <w:pStyle w:val="NormalHanging12a"/>
      </w:pPr>
      <w:r w:rsidRPr="00780F55">
        <w:t>5.</w:t>
      </w:r>
      <w:r w:rsidRPr="00780F55">
        <w:tab/>
        <w:t>przypomina, że na początku 2024 r. do Komisji Petycji wpłynęła znaczna liczba petycji od obywateli obawiających się, że praworządność w Hiszpanii jest zagrożona; odnotowuje wspólną debatę ze stycznia 2024 r. na temat kilku petycji dotyczących wydarzeń w Hiszpanii, w szczególności rządowego projektu ustawy o amnestii i jego potencjalnych skutków dla hiszpańskich i unijnych ram prawnych;</w:t>
      </w:r>
    </w:p>
    <w:p w14:paraId="2F7D7D2E" w14:textId="77777777" w:rsidR="0025117C" w:rsidRPr="00780F55" w:rsidRDefault="0025117C" w:rsidP="0025117C">
      <w:pPr>
        <w:pStyle w:val="NormalHanging12a"/>
      </w:pPr>
      <w:r w:rsidRPr="00780F55">
        <w:t>6.</w:t>
      </w:r>
      <w:r w:rsidRPr="00780F55">
        <w:tab/>
        <w:t xml:space="preserve">przypomina, że petycje znacznie pomagają Komisji Europejskiej w odgrywaniu roli strażniczki traktatów i dają obywatelom dodatkowe narzędzia do zgłaszania zarzucanych naruszeń prawa UE; podkreśla, że konstruktywna współpraca między Komisją Petycji a Komisją Europejską, wyrażająca się terminowym i szczegółowym udzielaniem przez tę drugą odpowiedzi opartych na wnikliwych analizach kwestii poruszonych w petycjach, ma zasadnicze znaczenie dla zagwarantowania skutecznego procesu rozpatrywania petycji; powtarza, że odpowiedzi przekazywane składającym petycje powinny być jasne, proste i empatyczne, aby umożliwić ich lepsze zrozumienie; </w:t>
      </w:r>
    </w:p>
    <w:p w14:paraId="7C382B38" w14:textId="77777777" w:rsidR="0025117C" w:rsidRPr="00780F55" w:rsidRDefault="0025117C" w:rsidP="0025117C">
      <w:pPr>
        <w:pStyle w:val="NormalHanging12a"/>
      </w:pPr>
      <w:r w:rsidRPr="00780F55">
        <w:t>7.</w:t>
      </w:r>
      <w:r w:rsidRPr="00780F55">
        <w:tab/>
        <w:t xml:space="preserve">z zadowoleniem przyjmuje utworzenie nowej strony internetowej Komisji na temat postępowań w sprawie uchybienia zobowiązaniom państwa członkowskiego, transpozycji dyrektyw i dialogu w ramach EU Pilot; ponownie zwraca się jednak do Komisji o regularne przekazywanie Komisji Petycji aktualnych informacji na temat postępowań w sprawie uchybienia zobowiązaniom państwa członkowskiego oraz zapewnienie jej dostępu do odpowiednich informacji dotyczących tego rodzaju postępowań i procedur EU Pilot, które odnoszą się do petycji otwartych; przypomina o potrzebie poprawy przejrzystości postępowań w sprawie uchybienia zobowiązaniom państwa członkowskiego, a także komunikacji ze składającymi petycje na temat stanu zaawansowania takich postępowań i podkreśla, że byłoby to korzystne dla procesu rozpatrywania petycji; z zadowoleniem przyjmuje inicjatywę Komisji Europejskiej dotyczącą publikowania petycji w publicznym rejestrze decyzji Komisji w sprawie uchybienia zobowiązaniom państwa członkowskiego, a także zamieszczenia na portalu petycji linku do publicznego rejestru Komisji; z zadowoleniem przyjmuje zobowiązanie komisarza </w:t>
      </w:r>
      <w:proofErr w:type="spellStart"/>
      <w:r w:rsidRPr="00780F55">
        <w:t>Maroša</w:t>
      </w:r>
      <w:proofErr w:type="spellEnd"/>
      <w:r w:rsidRPr="00780F55">
        <w:t xml:space="preserve"> </w:t>
      </w:r>
      <w:proofErr w:type="spellStart"/>
      <w:r w:rsidRPr="00780F55">
        <w:t>Šefčoviča</w:t>
      </w:r>
      <w:proofErr w:type="spellEnd"/>
      <w:r w:rsidRPr="00780F55">
        <w:t xml:space="preserve"> do rozwoju powiązań między publicznym rejestrem Komisji i portalem petycji Parlamentu; ponawia apel do Komisji o uwzględnienie wszystkich tych wymogów w porozumieniu ramowym w sprawie stosunków między Parlamentem Europejskim a Komisją Europejską</w:t>
      </w:r>
      <w:r w:rsidRPr="00780F55">
        <w:rPr>
          <w:rStyle w:val="FootnoteReference"/>
        </w:rPr>
        <w:footnoteReference w:id="1"/>
      </w:r>
      <w:r w:rsidRPr="00780F55">
        <w:t>;</w:t>
      </w:r>
    </w:p>
    <w:p w14:paraId="11DEF790" w14:textId="77777777" w:rsidR="0025117C" w:rsidRPr="00780F55" w:rsidRDefault="0025117C" w:rsidP="0025117C">
      <w:pPr>
        <w:pStyle w:val="NormalHanging12a"/>
      </w:pPr>
      <w:r w:rsidRPr="00780F55">
        <w:t>8.</w:t>
      </w:r>
      <w:r w:rsidRPr="00780F55">
        <w:tab/>
        <w:t>apeluje o niezależną okresową ocenę jakości i jasności odpowiedzi Komisji Europejskiej na petycje, ze szczególnym uwzględnieniem czytelności, przydatności i wrażliwości na kontekst, do którego odnoszą się składający petycje, tak by kontakt z obywatelami był konstruktywny i oparty na szacunku;</w:t>
      </w:r>
    </w:p>
    <w:p w14:paraId="31CBF84D" w14:textId="77777777" w:rsidR="0025117C" w:rsidRPr="00780F55" w:rsidRDefault="0025117C" w:rsidP="0025117C">
      <w:pPr>
        <w:pStyle w:val="NormalHanging12a"/>
      </w:pPr>
      <w:r w:rsidRPr="00780F55">
        <w:t>9.</w:t>
      </w:r>
      <w:r w:rsidRPr="00780F55">
        <w:tab/>
        <w:t xml:space="preserve">uważa, że przydatna może być bardziej aktywna współpraca między państwami </w:t>
      </w:r>
      <w:r w:rsidRPr="00780F55">
        <w:lastRenderedPageBreak/>
        <w:t>członkowskimi a Komisją Petycji, aby odblokować petycje, które wymagają szybkiej odpowiedzi i reakcji ze strony organów krajowych;</w:t>
      </w:r>
    </w:p>
    <w:p w14:paraId="79016328" w14:textId="77777777" w:rsidR="0025117C" w:rsidRPr="00780F55" w:rsidRDefault="0025117C" w:rsidP="0025117C">
      <w:pPr>
        <w:pStyle w:val="NormalHanging12a"/>
      </w:pPr>
      <w:r w:rsidRPr="00780F55">
        <w:t>10.</w:t>
      </w:r>
      <w:r w:rsidRPr="00780F55">
        <w:tab/>
        <w:t>przypomina, że internetowa baza danych petycji (e-</w:t>
      </w:r>
      <w:proofErr w:type="spellStart"/>
      <w:r w:rsidRPr="00780F55">
        <w:t>Petition</w:t>
      </w:r>
      <w:proofErr w:type="spellEnd"/>
      <w:r w:rsidRPr="00780F55">
        <w:t>) jest nieodzownym narzędziem wewnętrznym, które umożliwia członkom i członkiniom Komisji Petycji dostęp do niezbędnych informacji w celu śledzenia stanu zaawansowania prac nad poszczególnymi petycjami i podejmowania świadomych decyzji dotyczących rozpatrywania petycji; zauważa, że baza danych e-</w:t>
      </w:r>
      <w:proofErr w:type="spellStart"/>
      <w:r w:rsidRPr="00780F55">
        <w:t>Petition</w:t>
      </w:r>
      <w:proofErr w:type="spellEnd"/>
      <w:r w:rsidRPr="00780F55">
        <w:t xml:space="preserve"> odgrywa również ważną rolę w komunikacji ze składającymi petycje; podkreśla potrzebę dalszej modernizacji narzędzi cyfrowych Komisji Petycji i sugeruje, aby zbadać możliwość odpowiedzialnego korzystania ze sztucznej inteligencji pod nadzorem człowieka, aby jeszcze bardziej usprawnić rozpatrywanie petycji;</w:t>
      </w:r>
    </w:p>
    <w:p w14:paraId="4545F6C8" w14:textId="77777777" w:rsidR="0025117C" w:rsidRPr="00780F55" w:rsidRDefault="0025117C" w:rsidP="0025117C">
      <w:pPr>
        <w:pStyle w:val="NormalHanging12a"/>
      </w:pPr>
      <w:r w:rsidRPr="00780F55">
        <w:t>11.</w:t>
      </w:r>
      <w:r w:rsidRPr="00780F55">
        <w:tab/>
        <w:t>przypomina o zobowiązaniu Komisji Europejskiej do utworzenia międzyinstytucjonalnego narzędzia informatycznego do wymiany między nią i Parlamentem informacji i dokumentów na temat działań następczych podjętych w związku z petycjami, takich jak: postępowania w sprawie uchybienia zobowiązaniom państwa członkowskiego, wnioski ustawodawcze lub odpowiedzi władz krajowych, które pozwoli na zwiększenie przejrzystości i wydajności procesu rozpatrywania petycji, a w szerszym kontekście przyczyni się do zwiększenia zaufania obywateli do instytucji UE i projektu europejskiego; wzywa do szybkiego wdrożenia wspomnianego międzyinstytucjonalnego narzędzia informatycznego;</w:t>
      </w:r>
    </w:p>
    <w:p w14:paraId="28193D3C" w14:textId="77777777" w:rsidR="0025117C" w:rsidRPr="00780F55" w:rsidRDefault="0025117C" w:rsidP="0025117C">
      <w:pPr>
        <w:pStyle w:val="NormalHanging12a"/>
      </w:pPr>
      <w:r w:rsidRPr="00780F55">
        <w:t>12.</w:t>
      </w:r>
      <w:r w:rsidRPr="00780F55">
        <w:tab/>
        <w:t>przypomina, że zasadnicze znaczenie dla kompleksowego rozpatrywania petycji ma współpraca z innymi komisjami w Parlamencie; zauważa, że w 2024 r. do innych komisji wysłano 30 wniosków o wydanie opinii i 450 wniosków o udzielenie informacji; odnotowuje, że do końca 2024 r. otrzymano 26 opinii;</w:t>
      </w:r>
      <w:r w:rsidRPr="00780F55">
        <w:rPr>
          <w:color w:val="FF0000"/>
        </w:rPr>
        <w:t xml:space="preserve"> </w:t>
      </w:r>
      <w:r w:rsidRPr="00780F55">
        <w:t>przypomina, że składający petycje są informowani, iż zwrócono się do innych komisji o wydanie opinii na potrzeby rozpatrzenia ich petycji; podkreśla, że komisje parlamentarne powinny zwiększyć starania na rzecz aktywnego udziału w rozpatrywaniu petycji – przez dzielenie się swoją wiedzą specjalistyczną – aby umożliwić Parlamentowi szybszą i bardziej kompleksową reakcję na problemy obywateli;</w:t>
      </w:r>
    </w:p>
    <w:p w14:paraId="6B4EF3D2" w14:textId="77777777" w:rsidR="0025117C" w:rsidRPr="00780F55" w:rsidRDefault="0025117C" w:rsidP="0025117C">
      <w:pPr>
        <w:pStyle w:val="NormalHanging12a"/>
      </w:pPr>
      <w:r w:rsidRPr="00780F55">
        <w:t>13.</w:t>
      </w:r>
      <w:r w:rsidRPr="00780F55">
        <w:tab/>
        <w:t xml:space="preserve">uważa, że sieć ds. petycji jest użytecznym narzędziem w pracy parlamentarnej i ustawodawczej, ułatwiającym podejmowanie działań następczych w odpowiedzi na petycje; jest przekonany, że regularne posiedzenia sieci ds. petycji mają kluczowe znaczenie dla zwiększenia widoczności działalności Komisji Petycji oraz lepszego zrozumienia jej pracy i misji, a także dla zacieśnienia współpracy z pozostałymi komisjami parlamentarnymi; </w:t>
      </w:r>
    </w:p>
    <w:p w14:paraId="4EECB500" w14:textId="77777777" w:rsidR="0025117C" w:rsidRPr="00780F55" w:rsidRDefault="0025117C" w:rsidP="0025117C">
      <w:pPr>
        <w:pStyle w:val="NormalHanging12a"/>
      </w:pPr>
      <w:r w:rsidRPr="00780F55">
        <w:t>14.</w:t>
      </w:r>
      <w:r w:rsidRPr="00780F55">
        <w:tab/>
        <w:t xml:space="preserve">odnotowuje, że w 2024 r. głównym obszarem zainteresowania składających petycje nadal było środowisko – ponad 20 % petycji dotyczyło kwestii środowiskowych; odnotowuje znaczną liczbę petycji potępiających naruszenia prawodawstwa UE w zakresie środowiska w kilku państwach członkowskich; zauważa, że kwestie zgłaszane przez osoby składające petycje i omawiane przez komisję obejmują ochronę wilków w UE, długofalowe toksyczne skutki stosowania pestycydów i naruszenie dyrektywy w </w:t>
      </w:r>
      <w:r w:rsidRPr="00780F55">
        <w:lastRenderedPageBreak/>
        <w:t>sprawie emisji przemysłowych</w:t>
      </w:r>
      <w:r w:rsidRPr="00780F55">
        <w:rPr>
          <w:rStyle w:val="FootnoteReference"/>
        </w:rPr>
        <w:footnoteReference w:id="2"/>
      </w:r>
      <w:r w:rsidRPr="00780F55">
        <w:t xml:space="preserve"> wynikające z zarządzania stalownią; podkreśla znaczenie spełnienia oczekiwań obywateli UE w związku z ochroną środowiska i wzywa Komisję, by wraz z państwami członkowskimi zapewniła prawidłowe wdrażanie prawodawstwa UE w tej dziedzinie;</w:t>
      </w:r>
    </w:p>
    <w:p w14:paraId="69E8A8A0" w14:textId="77777777" w:rsidR="0025117C" w:rsidRPr="00780F55" w:rsidRDefault="0025117C" w:rsidP="0025117C">
      <w:pPr>
        <w:pStyle w:val="NormalHanging12a"/>
      </w:pPr>
      <w:r w:rsidRPr="00780F55">
        <w:t>15.</w:t>
      </w:r>
      <w:r w:rsidRPr="00780F55">
        <w:tab/>
        <w:t xml:space="preserve">zauważa, że Komisja Petycji zajmowała się też innymi zagadnieniami, takimi jak ochrona praw dziecka, w tym bezpieczeństwo w </w:t>
      </w:r>
      <w:proofErr w:type="spellStart"/>
      <w:r w:rsidRPr="00780F55">
        <w:t>internecie</w:t>
      </w:r>
      <w:proofErr w:type="spellEnd"/>
      <w:r w:rsidRPr="00780F55">
        <w:t>, czy też poprawa dobrostanu zwierząt; zwraca uwagę na petycje dotyczące naruszania praw pasażerów; zauważa również, że w licznych petycjach wyrażano obawy dotyczące ochrony danych, a w szczególności egzekwowania ogólnego rozporządzenia o ochronie danych</w:t>
      </w:r>
      <w:r w:rsidRPr="00780F55">
        <w:rPr>
          <w:rStyle w:val="FootnoteReference"/>
        </w:rPr>
        <w:footnoteReference w:id="3"/>
      </w:r>
      <w:r w:rsidRPr="00780F55">
        <w:t>; zwraca również uwagę na znaczną liczbę petycji dotyczących kryzysu mieszkaniowego w państwach członkowskich; zauważa, że Komisja Petycji zajmowała się kwestią obowiązków przedsiębiorstw działających w sektorze paliw kopalnych w związku z kryzysem kosztów utrzymania, a także obawami dotyczącymi bezpieczeństwa kolei i ochroną praw pracowniczych; odnotowuje, że komisja rozpatrzyła petycje w sprawie kultury i dziedzictwa narodowego; przypomina, że Komisja Petycji omówiła kilka petycji w sprawie unieważnienia zezwoleń na pobyt stały obywateli rosyjskich; zauważa, że Komisja Petycji otrzymała znaczną liczbę petycji w sprawie praworządności w państwach członkowskich, które omówiła; odnotowuje petycje złożone w sprawie warunków przyjmowania imigrantów i osób ubiegających się o azyl w państwach członkowskich oraz zwraca uwagę na petycje dotyczące przypadków dyskryminacji; oczekuje od Komisji należytych działań następczych i aktualnych informacji w odniesieniu do wszystkich tych petycji;</w:t>
      </w:r>
    </w:p>
    <w:p w14:paraId="1D99E3FC" w14:textId="499E4E82" w:rsidR="0025117C" w:rsidRPr="00780F55" w:rsidRDefault="0025117C" w:rsidP="0025117C">
      <w:pPr>
        <w:pStyle w:val="NormalHanging12a"/>
      </w:pPr>
      <w:r w:rsidRPr="00780F55">
        <w:t>16.</w:t>
      </w:r>
      <w:r w:rsidRPr="00780F55">
        <w:tab/>
        <w:t xml:space="preserve">podkreśla istotny wkład Komisji Petycji w ochronę praw osób z niepełnosprawnościami, o czym świadczy rozpatrywanie przez nią szeregu petycji na ten temat, w tym petycji </w:t>
      </w:r>
      <w:r w:rsidR="00055D25">
        <w:t xml:space="preserve">nr </w:t>
      </w:r>
      <w:r w:rsidRPr="00780F55">
        <w:t xml:space="preserve">1056/2016 w sprawie składania petycji w krajowych językach migowych; uznaje w tym kontekście działania służb Parlamentu i zauważa, że należy znaleźć nie tylko najlepsze rozwiązanie techniczne, lecz także najbardziej dostępne dla głuchych obywateli, aby móc komunikować się z nimi w ich języku ojczystym – w krajowych językach migowych; zwraca się o zmianę Regulaminu w ścisłej współpracy z Komisją Spraw Konstytucyjnych, aby wyeliminować obowiązkową wyłącznie pisemną komunikację z obywatelami, którzy są użytkownikami języka migowego, osobami głuchymi lub niedosłyszącymi, tak aby na ich wniosek mogli oni używać języka migowego w trakcie procedury; zauważa, że edukacja uczniów z niepełnosprawnościami, odmowa świadczenia usług opieki zdrowotnej osobom z niepełnosprawnościami oraz dostępność przestrzeni publicznej i usług publicznych były przedmiotem dalszych obaw składających petycje w 2024 r.; przypomina o dorocznych warsztatach Komisji Petycji poświęconych prawom osób z niepełnosprawnościami, które to wydarzenie odbyło się w dniu 2 grudnia 2024 r. i </w:t>
      </w:r>
      <w:r w:rsidRPr="00780F55">
        <w:lastRenderedPageBreak/>
        <w:t>dotyczyło stanu realizacji strategii na rzecz praw osób z niepełnosprawnościami na lata 2021–2030, i wzywa do szybkiego włączenia ustaleń pochodzących z petycji do śródokresowego przeglądu strategii na rzecz praw osób z niepełnosprawnościami na lata 2021–2030, wraz z wymiernymi celami i zobowiązaniami budżetowymi;</w:t>
      </w:r>
    </w:p>
    <w:p w14:paraId="33CBF691" w14:textId="77777777" w:rsidR="0025117C" w:rsidRPr="00780F55" w:rsidRDefault="0025117C" w:rsidP="0025117C">
      <w:pPr>
        <w:pStyle w:val="NormalHanging12a"/>
      </w:pPr>
      <w:r w:rsidRPr="00780F55">
        <w:t>17.</w:t>
      </w:r>
      <w:r w:rsidRPr="00780F55">
        <w:tab/>
        <w:t>akcentuje szczególną rolę ochronną, jaką Komisja Petycji odgrywa w UE w ramach Konwencji ONZ o prawach osób niepełnosprawnych; zwraca uwagę na ważną bieżącą pracę komisji w związku z petycjami dotyczącymi zagadnień związanych z niepełnosprawnościami; przypomina, że w dyrektywie (UE) 2024/2841 ustanawiającej europejską kartę osoby z niepełnosprawnością i europejską kartę parkingową dla osób z niepełnosprawnościami zawarto odniesienie do petycji w sprawie potrzeby unijnej karty osoby z niepełnosprawnością</w:t>
      </w:r>
      <w:r w:rsidRPr="00780F55">
        <w:rPr>
          <w:rStyle w:val="FootnoteReference"/>
        </w:rPr>
        <w:footnoteReference w:id="4"/>
      </w:r>
      <w:r w:rsidRPr="00780F55">
        <w:t>; podkreśla, że petycje mogą znacząco przyczynić się do procesu legislacyjnego;</w:t>
      </w:r>
    </w:p>
    <w:p w14:paraId="32BEDF1C" w14:textId="77777777" w:rsidR="0025117C" w:rsidRPr="00780F55" w:rsidRDefault="0025117C" w:rsidP="0025117C">
      <w:pPr>
        <w:pStyle w:val="NormalHanging12a"/>
        <w:rPr>
          <w:rFonts w:eastAsia="Calibri"/>
        </w:rPr>
      </w:pPr>
      <w:r w:rsidRPr="00780F55">
        <w:t>18.</w:t>
      </w:r>
      <w:r w:rsidRPr="00780F55">
        <w:tab/>
        <w:t>przypomina, że kontakty z Europejskim Rzecznikiem Praw Obywatelskich stanowią jeden z obowiązków powierzonych Komisji Petycji na podstawie Regulaminu Parlamentu; podkreśla rolę Komisji Petycji w procesie wyboru Europejskiego Rzecznika Praw Obywatelskich, zwłaszcza w organizacji wysłuchania publicznego z udziałem wszystkich zakwalifikowanych kandydatów, które odbyło się 3 grudnia 2024 r., było otwarte dla wszystkich posłów do Parlamentu Europejskiego oraz zapewniło im demokratyczną i przejrzystą okazję do wymiany poglądów z osobami kandydującymi, oceny ich niezależności, kwalifikacji i profesjonalizmu, a także wizji urzędu Europejskiego Rzecznika Praw Obywatelskich w strukturze instytucjonalnej UE; z zadowoleniem przyjmuje konstruktywną współpracę Parlamentu z Europejskim Rzecznikiem Praw Obywatelskich, z którym Komisja Petycji podziela cele polegające na zapewnieniu przejrzystości, profesjonalizmu i uczciwości instytucji UE wobec obywateli europejskich, a także zaangażowanie w europejską sieć rzeczników praw obywatelskich;</w:t>
      </w:r>
    </w:p>
    <w:p w14:paraId="5F82051E" w14:textId="77777777" w:rsidR="0025117C" w:rsidRPr="00780F55" w:rsidRDefault="0025117C" w:rsidP="0025117C">
      <w:pPr>
        <w:pStyle w:val="NormalHanging12a"/>
        <w:rPr>
          <w:rFonts w:eastAsia="Calibri"/>
        </w:rPr>
      </w:pPr>
      <w:r w:rsidRPr="00780F55">
        <w:t>19.</w:t>
      </w:r>
      <w:r w:rsidRPr="00780F55">
        <w:tab/>
        <w:t>zachęca Europejskiego Rzecznika Praw Obywatelskich do stałego, regularnego wkładu w prace Komisji Petycji przez cały rok; zdecydowanie uważa, że instytucje, organy i agencje Unii muszą zapewnić spójne i skuteczne stosowanie się do zaleceń Europejskiego Rzecznika Praw Obywatelskich; podkreśla zasadniczą rolę Europejskiego Rzecznika Praw Obywatelskich w promowaniu przejrzystości, dobrej administracji i ochrony praw obywateli; wzywa do ściślejszej współpracy między Komisją Petycji a biurem Europejskiego Rzecznika Praw Obywatelskich;</w:t>
      </w:r>
    </w:p>
    <w:p w14:paraId="1A0B48D6" w14:textId="77777777" w:rsidR="0025117C" w:rsidRPr="00780F55" w:rsidRDefault="0025117C" w:rsidP="0025117C">
      <w:pPr>
        <w:pStyle w:val="NormalHanging12a"/>
        <w:rPr>
          <w:b/>
          <w:i/>
        </w:rPr>
      </w:pPr>
      <w:r w:rsidRPr="00780F55">
        <w:t>20.</w:t>
      </w:r>
      <w:r w:rsidRPr="00780F55">
        <w:tab/>
        <w:t xml:space="preserve">zauważa, że pomimo przerwy w pracach Parlamentu spowodowanej wyborami europejskimi Komisja Petycji wyraziła swoje stanowisko i wydała zalecenia dotyczące ważnych kwestii poruszonych w petycjach, w tym przyjęła dwa sprawozdania z wizyt informacyjnych, które odbyły się w drugiej połowie 2023 r., a mianowicie z wyjazdu do Irlandii poświęconego wadliwym bloczkom zawierającym mikę w budynkach w Irlandii oraz z wyjazdu do Hiszpanii poświęconego immersji językowej w Katalonii; podkreśla, jak ważne jest, aby władze katalońskie wdrożyły zalecenia zawarte w sprawozdaniu Komisji Petycji z 19 marca 2024 r., gdyż mają one zagwarantować ochronę praw </w:t>
      </w:r>
      <w:r w:rsidRPr="00780F55">
        <w:lastRenderedPageBreak/>
        <w:t>językowych uczniów i ich rodzin;</w:t>
      </w:r>
    </w:p>
    <w:p w14:paraId="3DF5F3AA" w14:textId="77777777" w:rsidR="0025117C" w:rsidRPr="00780F55" w:rsidRDefault="0025117C" w:rsidP="0025117C">
      <w:pPr>
        <w:pStyle w:val="NormalHanging12a"/>
      </w:pPr>
      <w:r w:rsidRPr="00780F55">
        <w:t>21.</w:t>
      </w:r>
      <w:r w:rsidRPr="00780F55">
        <w:tab/>
        <w:t>odnotowuje rosnącą liczbę petycji dotyczących polityki edukacyjnej, w szczególności uznawania kwalifikacji dydaktycznych w państwach członkowskich; podkreśla w związku z tym pytanie Komisji Petycji wymagające odpowiedzi ustnej od Komisji w sprawie warunków pracy nauczycieli w UE; jest zaniepokojony ustną odpowiedzią Komisji potwierdzającą, że niedobór nauczycieli jest poważnym powodem do niepokoju, co znajduje również odzwierciedlenie w najnowszych wynikach testów PISA, w których ani jedno państwo członkowskie nie zdołało poprawić swoich wyników w zakresie umiejętności podstawowych; w związku z tym wzywa Komisję i państwa członkowskie do znacznego zwiększenia wysiłków na rzecz poprawy systemów edukacji szkolnej przy jednoczesnym zwiększeniu atrakcyjności zawodu nauczyciela, w tym poprzez finansowanie i programy;</w:t>
      </w:r>
    </w:p>
    <w:p w14:paraId="1F9183E5" w14:textId="77777777" w:rsidR="0025117C" w:rsidRPr="00780F55" w:rsidRDefault="0025117C" w:rsidP="0025117C">
      <w:pPr>
        <w:pStyle w:val="NormalHanging12a"/>
      </w:pPr>
      <w:r w:rsidRPr="00780F55">
        <w:t>22.</w:t>
      </w:r>
      <w:r w:rsidRPr="00780F55">
        <w:tab/>
        <w:t>wyraża zadowolenie z powodu przyjęcia rezolucji Parlamentu z dnia 10 kwietnia 2024 r. w sprawie obsługi pojazdów ciężarowych na przejściach granicznych na podstawie petycji nr 0146/2023</w:t>
      </w:r>
      <w:r w:rsidRPr="00780F55">
        <w:rPr>
          <w:rStyle w:val="FootnoteReference"/>
        </w:rPr>
        <w:footnoteReference w:id="5"/>
      </w:r>
      <w:r w:rsidRPr="00780F55">
        <w:t xml:space="preserve">; </w:t>
      </w:r>
    </w:p>
    <w:p w14:paraId="2C7DB871" w14:textId="77777777" w:rsidR="0025117C" w:rsidRPr="00780F55" w:rsidRDefault="0025117C" w:rsidP="0025117C">
      <w:pPr>
        <w:pStyle w:val="NormalHanging12a"/>
      </w:pPr>
      <w:r w:rsidRPr="00780F55">
        <w:t>23.</w:t>
      </w:r>
      <w:r w:rsidRPr="00780F55">
        <w:tab/>
        <w:t>podkreśla, że podstawowym narzędziem zapewniającym sprawny, skuteczny i przejrzysty proces składania petycji jest internetowy portal petycji; z zadowoleniem przyjmuje ulepszenia wprowadzone w portalu z korzyścią dla składających petycje i podkreśla, że należy kontynuować starania, by zwiększyć dostępność portalu dla użytkowników języka migowego, o co apelowano w petycji nr 1056/2016, oraz dla osób z niepełnosprawnościami; zauważa, że internetowy portal petycji jest jedną z najczęściej odwiedzanych stron internetowych Parlamentu, a zatem służy wielu obywatelom UE jako pierwszy punkt kontaktu z Parlamentem;</w:t>
      </w:r>
    </w:p>
    <w:p w14:paraId="6E198F21" w14:textId="77777777" w:rsidR="0025117C" w:rsidRPr="00780F55" w:rsidRDefault="0025117C" w:rsidP="0025117C">
      <w:pPr>
        <w:pStyle w:val="NormalHanging12a"/>
      </w:pPr>
      <w:r w:rsidRPr="00780F55">
        <w:t>24.</w:t>
      </w:r>
      <w:r w:rsidRPr="00780F55">
        <w:tab/>
        <w:t>zobowiązuje swoją przewodniczącą do przekazania niniejszej rezolucji oraz sprawozdania Komisji Petycji Radzie, Komisji, Europejskiemu Rzecznikowi Praw Obywatelskich, rządom i parlamentom państw członkowskich, ich komisjom petycji i rzecznikom praw obywatelskich lub odpowiadającym im właściwym organom w państwach członkowskich.</w:t>
      </w:r>
    </w:p>
    <w:sectPr w:rsidR="0025117C" w:rsidRPr="00780F55" w:rsidSect="00780F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A32F1" w14:textId="77777777" w:rsidR="00217FAF" w:rsidRPr="00780F55" w:rsidRDefault="00217FAF">
      <w:r w:rsidRPr="00780F55">
        <w:separator/>
      </w:r>
    </w:p>
  </w:endnote>
  <w:endnote w:type="continuationSeparator" w:id="0">
    <w:p w14:paraId="1B6DB547" w14:textId="77777777" w:rsidR="00217FAF" w:rsidRPr="00780F55" w:rsidRDefault="00217FAF">
      <w:r w:rsidRPr="00780F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AB95" w14:textId="77777777" w:rsidR="00064002" w:rsidRPr="00780F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09BD" w14:textId="77777777" w:rsidR="00064002" w:rsidRPr="00780F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3D68A" w14:textId="77777777" w:rsidR="00064002" w:rsidRPr="00780F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41407" w14:textId="77777777" w:rsidR="00217FAF" w:rsidRPr="00780F55" w:rsidRDefault="00217FAF">
      <w:r w:rsidRPr="00780F55">
        <w:separator/>
      </w:r>
    </w:p>
  </w:footnote>
  <w:footnote w:type="continuationSeparator" w:id="0">
    <w:p w14:paraId="61118B4A" w14:textId="77777777" w:rsidR="00217FAF" w:rsidRPr="00780F55" w:rsidRDefault="00217FAF">
      <w:r w:rsidRPr="00780F55">
        <w:continuationSeparator/>
      </w:r>
    </w:p>
  </w:footnote>
  <w:footnote w:id="1">
    <w:p w14:paraId="40A81FDE" w14:textId="514CF02A" w:rsidR="0025117C" w:rsidRPr="00780F55" w:rsidRDefault="0025117C" w:rsidP="00780F55">
      <w:pPr>
        <w:pStyle w:val="FootnoteText"/>
        <w:ind w:left="567" w:hanging="567"/>
        <w:rPr>
          <w:sz w:val="24"/>
          <w:lang w:val="pl-PL"/>
        </w:rPr>
      </w:pPr>
      <w:r w:rsidRPr="00780F55">
        <w:rPr>
          <w:rStyle w:val="FootnoteReference"/>
          <w:sz w:val="24"/>
          <w:lang w:val="pl-PL"/>
        </w:rPr>
        <w:footnoteRef/>
      </w:r>
      <w:r w:rsidR="00780F55" w:rsidRPr="00780F55">
        <w:rPr>
          <w:sz w:val="24"/>
          <w:lang w:val="pl-PL"/>
        </w:rPr>
        <w:t xml:space="preserve"> </w:t>
      </w:r>
      <w:r w:rsidR="00780F55" w:rsidRPr="00780F55">
        <w:rPr>
          <w:sz w:val="24"/>
          <w:lang w:val="pl-PL"/>
        </w:rPr>
        <w:tab/>
      </w:r>
      <w:r w:rsidRPr="00780F55">
        <w:rPr>
          <w:sz w:val="24"/>
          <w:lang w:val="pl-PL"/>
        </w:rPr>
        <w:t xml:space="preserve">Dz.U. L 304 z 20.11.2010, s. 47, ELI: </w:t>
      </w:r>
      <w:hyperlink r:id="rId1" w:history="1">
        <w:r w:rsidRPr="00780F55">
          <w:rPr>
            <w:rStyle w:val="Hyperlink"/>
            <w:sz w:val="24"/>
            <w:lang w:val="pl-PL"/>
          </w:rPr>
          <w:t>http://data.europa.eu/eli/agree_interinstit/2010/1120/oj</w:t>
        </w:r>
      </w:hyperlink>
      <w:r w:rsidRPr="00780F55">
        <w:rPr>
          <w:sz w:val="24"/>
          <w:lang w:val="pl-PL"/>
        </w:rPr>
        <w:t xml:space="preserve">. </w:t>
      </w:r>
    </w:p>
  </w:footnote>
  <w:footnote w:id="2">
    <w:p w14:paraId="0CDB6C48" w14:textId="7F09847C" w:rsidR="0025117C" w:rsidRPr="00780F55" w:rsidRDefault="0025117C" w:rsidP="00780F55">
      <w:pPr>
        <w:pStyle w:val="FootnoteText"/>
        <w:ind w:left="567" w:hanging="567"/>
        <w:rPr>
          <w:sz w:val="24"/>
          <w:lang w:val="pl-PL"/>
        </w:rPr>
      </w:pPr>
      <w:r w:rsidRPr="00780F55">
        <w:rPr>
          <w:rStyle w:val="FootnoteReference"/>
          <w:sz w:val="24"/>
          <w:lang w:val="pl-PL"/>
        </w:rPr>
        <w:footnoteRef/>
      </w:r>
      <w:r w:rsidR="00780F55" w:rsidRPr="00780F55">
        <w:rPr>
          <w:sz w:val="24"/>
          <w:lang w:val="pl-PL"/>
        </w:rPr>
        <w:t xml:space="preserve"> </w:t>
      </w:r>
      <w:r w:rsidR="00780F55" w:rsidRPr="00780F55">
        <w:rPr>
          <w:sz w:val="24"/>
          <w:lang w:val="pl-PL"/>
        </w:rPr>
        <w:tab/>
      </w:r>
      <w:r w:rsidRPr="00780F55">
        <w:rPr>
          <w:sz w:val="24"/>
          <w:lang w:val="pl-PL"/>
        </w:rPr>
        <w:t xml:space="preserve">Dyrektywa Parlamentu Europejskiego i Rady (UE) 2024/1785 z dnia 24 kwietnia 2024 r. zmieniająca dyrektywę Parlamentu Europejskiego i Rady 2010/75/UE w sprawie emisji przemysłowych (zintegrowane zapobieganie zanieczyszczeniom i ich kontrola) oraz dyrektywę Rady 1999/31/WE w sprawie składowania odpadów (Dz.U. L, 2024/1785, </w:t>
      </w:r>
      <w:proofErr w:type="gramStart"/>
      <w:r w:rsidRPr="00780F55">
        <w:rPr>
          <w:sz w:val="24"/>
          <w:lang w:val="pl-PL"/>
        </w:rPr>
        <w:t>15.7.2024</w:t>
      </w:r>
      <w:proofErr w:type="gramEnd"/>
      <w:r w:rsidRPr="00780F55">
        <w:rPr>
          <w:sz w:val="24"/>
          <w:lang w:val="pl-PL"/>
        </w:rPr>
        <w:t xml:space="preserve">, ELI: </w:t>
      </w:r>
      <w:hyperlink r:id="rId2" w:history="1">
        <w:r w:rsidRPr="00780F55">
          <w:rPr>
            <w:rStyle w:val="Hyperlink"/>
            <w:sz w:val="24"/>
            <w:lang w:val="pl-PL"/>
          </w:rPr>
          <w:t>http://data.europa.eu/eli/dir/2024/1785/oj</w:t>
        </w:r>
      </w:hyperlink>
      <w:r w:rsidRPr="00780F55">
        <w:rPr>
          <w:sz w:val="24"/>
          <w:lang w:val="pl-PL"/>
        </w:rPr>
        <w:t xml:space="preserve">). </w:t>
      </w:r>
    </w:p>
  </w:footnote>
  <w:footnote w:id="3">
    <w:p w14:paraId="58D5B775" w14:textId="68D91421" w:rsidR="0025117C" w:rsidRPr="00780F55" w:rsidRDefault="0025117C" w:rsidP="00780F55">
      <w:pPr>
        <w:pStyle w:val="FootnoteText"/>
        <w:ind w:left="567" w:hanging="567"/>
        <w:rPr>
          <w:sz w:val="24"/>
          <w:lang w:val="pl-PL"/>
        </w:rPr>
      </w:pPr>
      <w:r w:rsidRPr="00780F55">
        <w:rPr>
          <w:rStyle w:val="FootnoteReference"/>
          <w:sz w:val="24"/>
          <w:lang w:val="pl-PL"/>
        </w:rPr>
        <w:footnoteRef/>
      </w:r>
      <w:r w:rsidR="00780F55" w:rsidRPr="00780F55">
        <w:rPr>
          <w:sz w:val="24"/>
          <w:lang w:val="pl-PL"/>
        </w:rPr>
        <w:t xml:space="preserve"> </w:t>
      </w:r>
      <w:r w:rsidR="00780F55" w:rsidRPr="00780F55">
        <w:rPr>
          <w:sz w:val="24"/>
          <w:lang w:val="pl-PL"/>
        </w:rPr>
        <w:tab/>
      </w:r>
      <w:r w:rsidRPr="00780F55">
        <w:rPr>
          <w:sz w:val="24"/>
          <w:lang w:val="pl-PL"/>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w:t>
      </w:r>
      <w:proofErr w:type="gramStart"/>
      <w:r w:rsidRPr="00780F55">
        <w:rPr>
          <w:sz w:val="24"/>
          <w:lang w:val="pl-PL"/>
        </w:rPr>
        <w:t>4.5.2016</w:t>
      </w:r>
      <w:proofErr w:type="gramEnd"/>
      <w:r w:rsidRPr="00780F55">
        <w:rPr>
          <w:sz w:val="24"/>
          <w:lang w:val="pl-PL"/>
        </w:rPr>
        <w:t xml:space="preserve">, s. 1, ELI: </w:t>
      </w:r>
      <w:hyperlink r:id="rId3" w:history="1">
        <w:r w:rsidRPr="00780F55">
          <w:rPr>
            <w:rStyle w:val="Hyperlink"/>
            <w:sz w:val="24"/>
            <w:lang w:val="pl-PL"/>
          </w:rPr>
          <w:t>http://data.europa.eu/eli/reg/2016/679/oj</w:t>
        </w:r>
      </w:hyperlink>
      <w:r w:rsidRPr="00780F55">
        <w:rPr>
          <w:sz w:val="24"/>
          <w:lang w:val="pl-PL"/>
        </w:rPr>
        <w:t>).</w:t>
      </w:r>
    </w:p>
  </w:footnote>
  <w:footnote w:id="4">
    <w:p w14:paraId="19EBF147" w14:textId="1AEAFC4C" w:rsidR="0025117C" w:rsidRPr="00780F55" w:rsidRDefault="0025117C" w:rsidP="00780F55">
      <w:pPr>
        <w:pStyle w:val="FootnoteText"/>
        <w:ind w:left="567" w:hanging="567"/>
        <w:rPr>
          <w:sz w:val="24"/>
          <w:lang w:val="pl-PL"/>
        </w:rPr>
      </w:pPr>
      <w:r w:rsidRPr="00780F55">
        <w:rPr>
          <w:rStyle w:val="FootnoteReference"/>
          <w:sz w:val="24"/>
          <w:lang w:val="pl-PL"/>
        </w:rPr>
        <w:footnoteRef/>
      </w:r>
      <w:r w:rsidR="00780F55" w:rsidRPr="00780F55">
        <w:rPr>
          <w:sz w:val="24"/>
          <w:lang w:val="pl-PL"/>
        </w:rPr>
        <w:t xml:space="preserve"> </w:t>
      </w:r>
      <w:r w:rsidR="00780F55" w:rsidRPr="00780F55">
        <w:rPr>
          <w:sz w:val="24"/>
          <w:lang w:val="pl-PL"/>
        </w:rPr>
        <w:tab/>
      </w:r>
      <w:r w:rsidRPr="00780F55">
        <w:rPr>
          <w:sz w:val="24"/>
          <w:lang w:val="pl-PL"/>
        </w:rPr>
        <w:t>Dyrektywa Parlamentu Europejskiego i Rady (UE) 2024/2841 z dnia 23 października 2024 r. ustanawiająca europejską kartę osoby z niepełnosprawnością i europejską kartę parkingową dla osób z niepełnosprawnościami (Dz.U. L, 2024/2841, 14.11.2024, ELI:  </w:t>
      </w:r>
      <w:hyperlink r:id="rId4" w:tgtFrame="_blank" w:tooltip="Dostęp do dokumentu poprzez identyfikator URI w systemie ELI." w:history="1">
        <w:r w:rsidRPr="00780F55">
          <w:rPr>
            <w:rStyle w:val="Hyperlink"/>
            <w:sz w:val="24"/>
            <w:lang w:val="pl-PL"/>
          </w:rPr>
          <w:t>http://data.europa.eu/eli/dir/2024/2841/oj</w:t>
        </w:r>
      </w:hyperlink>
      <w:r w:rsidRPr="00780F55">
        <w:rPr>
          <w:sz w:val="24"/>
          <w:lang w:val="pl-PL"/>
        </w:rPr>
        <w:t>).</w:t>
      </w:r>
    </w:p>
  </w:footnote>
  <w:footnote w:id="5">
    <w:p w14:paraId="0B93E83E" w14:textId="2A6A01C9" w:rsidR="0025117C" w:rsidRPr="007B7533" w:rsidRDefault="0025117C" w:rsidP="00780F55">
      <w:pPr>
        <w:pStyle w:val="FootnoteText"/>
        <w:ind w:left="567" w:hanging="567"/>
        <w:rPr>
          <w:sz w:val="24"/>
          <w:lang w:val="fi-FI"/>
        </w:rPr>
      </w:pPr>
      <w:r w:rsidRPr="00780F55">
        <w:rPr>
          <w:rStyle w:val="FootnoteReference"/>
          <w:sz w:val="24"/>
          <w:lang w:val="pl-PL"/>
        </w:rPr>
        <w:footnoteRef/>
      </w:r>
      <w:r w:rsidR="00780F55" w:rsidRPr="007B7533">
        <w:rPr>
          <w:sz w:val="24"/>
          <w:lang w:val="fi-FI"/>
        </w:rPr>
        <w:t xml:space="preserve"> </w:t>
      </w:r>
      <w:r w:rsidR="00780F55" w:rsidRPr="007B7533">
        <w:rPr>
          <w:sz w:val="24"/>
          <w:lang w:val="fi-FI"/>
        </w:rPr>
        <w:tab/>
      </w:r>
      <w:proofErr w:type="spellStart"/>
      <w:r w:rsidRPr="007B7533">
        <w:rPr>
          <w:sz w:val="24"/>
          <w:lang w:val="fi-FI"/>
        </w:rPr>
        <w:t>Dz.U</w:t>
      </w:r>
      <w:proofErr w:type="spellEnd"/>
      <w:r w:rsidRPr="007B7533">
        <w:rPr>
          <w:sz w:val="24"/>
          <w:lang w:val="fi-FI"/>
        </w:rPr>
        <w:t xml:space="preserve">. C, C/2025/1278, 13.3.2025, ELI: </w:t>
      </w:r>
      <w:hyperlink r:id="rId5" w:history="1">
        <w:r w:rsidRPr="007B7533">
          <w:rPr>
            <w:rStyle w:val="Hyperlink"/>
            <w:sz w:val="24"/>
            <w:lang w:val="fi-FI"/>
          </w:rPr>
          <w:t>http://data.europa.eu/eli/C/2025/1278/oj</w:t>
        </w:r>
      </w:hyperlink>
      <w:r w:rsidRPr="007B753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A49D" w14:textId="77777777" w:rsidR="00064002" w:rsidRPr="00780F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36F2" w14:textId="77777777" w:rsidR="00064002" w:rsidRPr="00780F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F068" w14:textId="77777777" w:rsidR="00064002" w:rsidRPr="00780F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382894">
    <w:abstractNumId w:val="9"/>
  </w:num>
  <w:num w:numId="2" w16cid:durableId="1003246599">
    <w:abstractNumId w:val="9"/>
  </w:num>
  <w:num w:numId="3" w16cid:durableId="1876458131">
    <w:abstractNumId w:val="7"/>
  </w:num>
  <w:num w:numId="4" w16cid:durableId="936869506">
    <w:abstractNumId w:val="7"/>
  </w:num>
  <w:num w:numId="5" w16cid:durableId="583496069">
    <w:abstractNumId w:val="6"/>
  </w:num>
  <w:num w:numId="6" w16cid:durableId="1673217496">
    <w:abstractNumId w:val="6"/>
  </w:num>
  <w:num w:numId="7" w16cid:durableId="1938172451">
    <w:abstractNumId w:val="5"/>
  </w:num>
  <w:num w:numId="8" w16cid:durableId="156116419">
    <w:abstractNumId w:val="5"/>
  </w:num>
  <w:num w:numId="9" w16cid:durableId="1026515349">
    <w:abstractNumId w:val="4"/>
  </w:num>
  <w:num w:numId="10" w16cid:durableId="146554621">
    <w:abstractNumId w:val="4"/>
  </w:num>
  <w:num w:numId="11" w16cid:durableId="569269903">
    <w:abstractNumId w:val="8"/>
  </w:num>
  <w:num w:numId="12" w16cid:durableId="1933270870">
    <w:abstractNumId w:val="8"/>
  </w:num>
  <w:num w:numId="13" w16cid:durableId="596137512">
    <w:abstractNumId w:val="3"/>
  </w:num>
  <w:num w:numId="14" w16cid:durableId="224292620">
    <w:abstractNumId w:val="3"/>
  </w:num>
  <w:num w:numId="15" w16cid:durableId="305940973">
    <w:abstractNumId w:val="2"/>
  </w:num>
  <w:num w:numId="16" w16cid:durableId="1072582227">
    <w:abstractNumId w:val="2"/>
  </w:num>
  <w:num w:numId="17" w16cid:durableId="1916549123">
    <w:abstractNumId w:val="1"/>
  </w:num>
  <w:num w:numId="18" w16cid:durableId="2059085284">
    <w:abstractNumId w:val="1"/>
  </w:num>
  <w:num w:numId="19" w16cid:durableId="646587420">
    <w:abstractNumId w:val="0"/>
  </w:num>
  <w:num w:numId="20" w16cid:durableId="1700202184">
    <w:abstractNumId w:val="0"/>
  </w:num>
  <w:num w:numId="21" w16cid:durableId="1877891406">
    <w:abstractNumId w:val="9"/>
  </w:num>
  <w:num w:numId="22" w16cid:durableId="34546293">
    <w:abstractNumId w:val="7"/>
  </w:num>
  <w:num w:numId="23" w16cid:durableId="1756588607">
    <w:abstractNumId w:val="6"/>
  </w:num>
  <w:num w:numId="24" w16cid:durableId="1509636201">
    <w:abstractNumId w:val="5"/>
  </w:num>
  <w:num w:numId="25" w16cid:durableId="2043896869">
    <w:abstractNumId w:val="4"/>
  </w:num>
  <w:num w:numId="26" w16cid:durableId="2016301909">
    <w:abstractNumId w:val="8"/>
  </w:num>
  <w:num w:numId="27" w16cid:durableId="783883975">
    <w:abstractNumId w:val="3"/>
  </w:num>
  <w:num w:numId="28" w16cid:durableId="1834223283">
    <w:abstractNumId w:val="2"/>
  </w:num>
  <w:num w:numId="29" w16cid:durableId="389422039">
    <w:abstractNumId w:val="1"/>
  </w:num>
  <w:num w:numId="30" w16cid:durableId="1104347632">
    <w:abstractNumId w:val="0"/>
  </w:num>
  <w:num w:numId="31" w16cid:durableId="1766916977">
    <w:abstractNumId w:val="9"/>
  </w:num>
  <w:num w:numId="32" w16cid:durableId="33308262">
    <w:abstractNumId w:val="7"/>
  </w:num>
  <w:num w:numId="33" w16cid:durableId="872840679">
    <w:abstractNumId w:val="6"/>
  </w:num>
  <w:num w:numId="34" w16cid:durableId="585650868">
    <w:abstractNumId w:val="5"/>
  </w:num>
  <w:num w:numId="35" w16cid:durableId="873470418">
    <w:abstractNumId w:val="4"/>
  </w:num>
  <w:num w:numId="36" w16cid:durableId="1851145005">
    <w:abstractNumId w:val="8"/>
  </w:num>
  <w:num w:numId="37" w16cid:durableId="1132862221">
    <w:abstractNumId w:val="3"/>
  </w:num>
  <w:num w:numId="38" w16cid:durableId="1955210779">
    <w:abstractNumId w:val="2"/>
  </w:num>
  <w:num w:numId="39" w16cid:durableId="812792517">
    <w:abstractNumId w:val="1"/>
  </w:num>
  <w:num w:numId="40" w16cid:durableId="968971380">
    <w:abstractNumId w:val="0"/>
  </w:num>
  <w:num w:numId="41" w16cid:durableId="159273220">
    <w:abstractNumId w:val="10"/>
  </w:num>
  <w:num w:numId="42" w16cid:durableId="1941795110">
    <w:abstractNumId w:val="10"/>
  </w:num>
  <w:num w:numId="43" w16cid:durableId="489954772">
    <w:abstractNumId w:val="10"/>
  </w:num>
  <w:num w:numId="44" w16cid:durableId="1351223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PL"/>
    <w:docVar w:name="dvnumam" w:val="0"/>
    <w:docVar w:name="dvpe" w:val="773.363"/>
    <w:docVar w:name="dvrapporteur" w:val="Sprawozdawca: "/>
    <w:docVar w:name="dvtitre" w:val="Rezolucja Parlamentu Europejskiego z dnia  2025 r. w sprawie działalności Komisji Petycji w roku 2024(2025/2114(INI))"/>
  </w:docVars>
  <w:rsids>
    <w:rsidRoot w:val="00217FAF"/>
    <w:rsid w:val="00002272"/>
    <w:rsid w:val="00055D25"/>
    <w:rsid w:val="00064002"/>
    <w:rsid w:val="000677B9"/>
    <w:rsid w:val="000831BA"/>
    <w:rsid w:val="000A42CC"/>
    <w:rsid w:val="000E7DD9"/>
    <w:rsid w:val="0010095E"/>
    <w:rsid w:val="00125B37"/>
    <w:rsid w:val="00187494"/>
    <w:rsid w:val="001F32AE"/>
    <w:rsid w:val="00217FAF"/>
    <w:rsid w:val="0025117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0F55"/>
    <w:rsid w:val="00786EC0"/>
    <w:rsid w:val="007B753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9CC"/>
    <w:rsid w:val="00A778C7"/>
    <w:rsid w:val="00AB441E"/>
    <w:rsid w:val="00AB6293"/>
    <w:rsid w:val="00AE0928"/>
    <w:rsid w:val="00AE4564"/>
    <w:rsid w:val="00AF3B82"/>
    <w:rsid w:val="00B0071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62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2ED6A"/>
  <w15:chartTrackingRefBased/>
  <w15:docId w15:val="{F2BAB4D6-016C-4950-83A0-4D26DE56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5117C"/>
    <w:pPr>
      <w:spacing w:after="240"/>
      <w:ind w:left="567" w:hanging="567"/>
    </w:pPr>
  </w:style>
  <w:style w:type="paragraph" w:customStyle="1" w:styleId="EPComma">
    <w:name w:val="EPComma"/>
    <w:basedOn w:val="Normal"/>
    <w:uiPriority w:val="99"/>
    <w:rsid w:val="0025117C"/>
    <w:pPr>
      <w:spacing w:before="480" w:after="240"/>
    </w:pPr>
  </w:style>
  <w:style w:type="character" w:styleId="Hyperlink">
    <w:name w:val="Hyperlink"/>
    <w:basedOn w:val="DefaultParagraphFont"/>
    <w:rsid w:val="0025117C"/>
    <w:rPr>
      <w:color w:val="0563C1" w:themeColor="hyperlink"/>
      <w:u w:val="single"/>
    </w:rPr>
  </w:style>
  <w:style w:type="character" w:customStyle="1" w:styleId="NormalHanging12aChar">
    <w:name w:val="NormalHanging12a Char"/>
    <w:basedOn w:val="DefaultParagraphFont"/>
    <w:link w:val="NormalHanging12a"/>
    <w:rsid w:val="0025117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4028</Words>
  <Characters>26119</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2025-11-04T15:44:00Z</dcterms:created>
  <dcterms:modified xsi:type="dcterms:W3CDTF">2025-11-04T15:44:00Z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A10-0170/2025</vt:lpwstr>
  </property>
  <property fmtid="{D5CDD505-2E9C-101B-9397-08002B2CF9AE}" pid="4" name="&lt;Type&gt;">
    <vt:lpwstr>RR</vt:lpwstr>
  </property>
</Properties>
</file>