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53B54" w14:paraId="02BC98D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48D81C4" w14:textId="77777777" w:rsidR="00751A4A" w:rsidRPr="00353B54" w:rsidRDefault="00271BC3" w:rsidP="0010095E">
            <w:pPr>
              <w:pStyle w:val="EPName"/>
            </w:pPr>
            <w:r w:rsidRPr="00353B54">
              <w:t xml:space="preserve">Parlamento </w:t>
            </w:r>
            <w:proofErr w:type="gramStart"/>
            <w:r w:rsidRPr="00353B54">
              <w:t>Europeu</w:t>
            </w:r>
            <w:proofErr w:type="gramEnd"/>
          </w:p>
          <w:p w14:paraId="13B806C3" w14:textId="77777777" w:rsidR="00751A4A" w:rsidRPr="00353B5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53B54">
              <w:t>2024</w:t>
            </w:r>
            <w:r w:rsidR="00817416" w:rsidRPr="00353B54">
              <w:t>-202</w:t>
            </w:r>
            <w:r w:rsidRPr="00353B54">
              <w:t>9</w:t>
            </w:r>
          </w:p>
        </w:tc>
        <w:tc>
          <w:tcPr>
            <w:tcW w:w="2268" w:type="dxa"/>
            <w:shd w:val="clear" w:color="auto" w:fill="auto"/>
          </w:tcPr>
          <w:p w14:paraId="15E8100E" w14:textId="77777777" w:rsidR="00751A4A" w:rsidRPr="00353B54" w:rsidRDefault="00187494" w:rsidP="0010095E">
            <w:pPr>
              <w:pStyle w:val="EPLogo"/>
            </w:pPr>
            <w:r w:rsidRPr="00353B54">
              <w:rPr>
                <w:noProof/>
                <w:lang w:eastAsia="ja-JP"/>
              </w:rPr>
              <w:drawing>
                <wp:inline distT="0" distB="0" distL="0" distR="0" wp14:anchorId="4F70F078" wp14:editId="3AC5FBE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3F5874" w14:textId="77777777" w:rsidR="00D058B8" w:rsidRPr="00353B54" w:rsidRDefault="00D058B8" w:rsidP="004C5D52">
      <w:pPr>
        <w:pStyle w:val="LineTop"/>
      </w:pPr>
    </w:p>
    <w:p w14:paraId="51311B68" w14:textId="77777777" w:rsidR="00680577" w:rsidRPr="00353B54" w:rsidRDefault="00271BC3" w:rsidP="00680577">
      <w:pPr>
        <w:pStyle w:val="EPBodyTA1"/>
      </w:pPr>
      <w:r w:rsidRPr="00353B54">
        <w:t>TEXTOS APROVADOS</w:t>
      </w:r>
    </w:p>
    <w:p w14:paraId="63F53747" w14:textId="77777777" w:rsidR="00D058B8" w:rsidRPr="00353B54" w:rsidRDefault="00D058B8" w:rsidP="00D058B8">
      <w:pPr>
        <w:pStyle w:val="LineBottom"/>
      </w:pPr>
    </w:p>
    <w:p w14:paraId="5156781B" w14:textId="1172DDE3" w:rsidR="00271BC3" w:rsidRPr="00353B54" w:rsidRDefault="00271BC3" w:rsidP="00271BC3">
      <w:pPr>
        <w:pStyle w:val="ATHeading1"/>
      </w:pPr>
      <w:bookmarkStart w:id="0" w:name="TANumber"/>
      <w:r w:rsidRPr="00353B54">
        <w:t>P10_TA(2025)0</w:t>
      </w:r>
      <w:r w:rsidR="00C97C42" w:rsidRPr="00353B54">
        <w:t>228</w:t>
      </w:r>
      <w:bookmarkEnd w:id="0"/>
    </w:p>
    <w:p w14:paraId="7D4A916D" w14:textId="77777777" w:rsidR="00271BC3" w:rsidRPr="00353B54" w:rsidRDefault="00271BC3" w:rsidP="00271BC3">
      <w:pPr>
        <w:pStyle w:val="ATHeading2"/>
      </w:pPr>
      <w:bookmarkStart w:id="1" w:name="title"/>
      <w:r w:rsidRPr="00353B54">
        <w:t>Deliberações da Comissão das Petições em 2024</w:t>
      </w:r>
      <w:bookmarkEnd w:id="1"/>
    </w:p>
    <w:p w14:paraId="30B9F8D6" w14:textId="77777777" w:rsidR="00271BC3" w:rsidRPr="00353B54" w:rsidRDefault="00271BC3" w:rsidP="00271BC3">
      <w:pPr>
        <w:rPr>
          <w:i/>
          <w:vanish/>
        </w:rPr>
      </w:pPr>
      <w:r w:rsidRPr="00353B54">
        <w:rPr>
          <w:i/>
        </w:rPr>
        <w:fldChar w:fldCharType="begin"/>
      </w:r>
      <w:r w:rsidRPr="00353B54">
        <w:rPr>
          <w:i/>
        </w:rPr>
        <w:instrText xml:space="preserve"> TC"(</w:instrText>
      </w:r>
      <w:bookmarkStart w:id="2" w:name="DocNumber"/>
      <w:r w:rsidRPr="00353B54">
        <w:rPr>
          <w:i/>
        </w:rPr>
        <w:instrText>A10-0170/2025</w:instrText>
      </w:r>
      <w:bookmarkEnd w:id="2"/>
      <w:r w:rsidRPr="00353B54">
        <w:rPr>
          <w:i/>
        </w:rPr>
        <w:instrText xml:space="preserve"> - Relator: </w:instrText>
      </w:r>
      <w:proofErr w:type="spellStart"/>
      <w:r w:rsidRPr="00353B54">
        <w:rPr>
          <w:i/>
        </w:rPr>
        <w:instrText>Fredis</w:instrText>
      </w:r>
      <w:proofErr w:type="spellEnd"/>
      <w:r w:rsidRPr="00353B54">
        <w:rPr>
          <w:i/>
        </w:rPr>
        <w:instrText xml:space="preserve"> </w:instrText>
      </w:r>
      <w:proofErr w:type="spellStart"/>
      <w:r w:rsidRPr="00353B54">
        <w:rPr>
          <w:i/>
        </w:rPr>
        <w:instrText>Beleris</w:instrText>
      </w:r>
      <w:proofErr w:type="spellEnd"/>
      <w:r w:rsidRPr="00353B54">
        <w:rPr>
          <w:i/>
        </w:rPr>
        <w:instrText xml:space="preserve">)"\l3 \n&gt; \* MERGEFORMAT </w:instrText>
      </w:r>
      <w:r w:rsidRPr="00353B54">
        <w:rPr>
          <w:i/>
        </w:rPr>
        <w:fldChar w:fldCharType="end"/>
      </w:r>
    </w:p>
    <w:p w14:paraId="698BF57E" w14:textId="77777777" w:rsidR="00271BC3" w:rsidRPr="00353B54" w:rsidRDefault="00271BC3" w:rsidP="00271BC3">
      <w:pPr>
        <w:rPr>
          <w:vanish/>
        </w:rPr>
      </w:pPr>
      <w:bookmarkStart w:id="3" w:name="Commission"/>
      <w:r w:rsidRPr="00353B54">
        <w:rPr>
          <w:vanish/>
        </w:rPr>
        <w:t>Comissão das Petições</w:t>
      </w:r>
      <w:bookmarkEnd w:id="3"/>
    </w:p>
    <w:p w14:paraId="3955D51D" w14:textId="77777777" w:rsidR="00271BC3" w:rsidRPr="00353B54" w:rsidRDefault="00271BC3" w:rsidP="00271BC3">
      <w:pPr>
        <w:rPr>
          <w:vanish/>
        </w:rPr>
      </w:pPr>
      <w:bookmarkStart w:id="4" w:name="PE"/>
      <w:r w:rsidRPr="00353B54">
        <w:rPr>
          <w:vanish/>
        </w:rPr>
        <w:t>PE773.363</w:t>
      </w:r>
      <w:bookmarkEnd w:id="4"/>
    </w:p>
    <w:p w14:paraId="4C79CF64" w14:textId="14B04CB7" w:rsidR="00271BC3" w:rsidRPr="00353B54" w:rsidRDefault="00271BC3" w:rsidP="00271BC3">
      <w:pPr>
        <w:pStyle w:val="ATHeading3"/>
      </w:pPr>
      <w:bookmarkStart w:id="5" w:name="Sujet"/>
      <w:r w:rsidRPr="00353B54">
        <w:t xml:space="preserve">Resolução do Parlamento Europeu, de </w:t>
      </w:r>
      <w:r w:rsidR="00BC2532" w:rsidRPr="00353B54">
        <w:t xml:space="preserve">9 </w:t>
      </w:r>
      <w:r w:rsidRPr="00353B54">
        <w:t xml:space="preserve">de </w:t>
      </w:r>
      <w:r w:rsidR="00BC2532" w:rsidRPr="00353B54">
        <w:t xml:space="preserve">outubro </w:t>
      </w:r>
      <w:r w:rsidRPr="00353B54">
        <w:t>de 2025,</w:t>
      </w:r>
      <w:r w:rsidR="00BC2532" w:rsidRPr="00353B54">
        <w:t xml:space="preserve"> </w:t>
      </w:r>
      <w:r w:rsidRPr="00353B54">
        <w:t>sobre o resultado das deliberações da Comissão das Petições no ano de 2024</w:t>
      </w:r>
      <w:bookmarkEnd w:id="5"/>
      <w:r w:rsidRPr="00353B54">
        <w:t xml:space="preserve"> </w:t>
      </w:r>
      <w:bookmarkStart w:id="6" w:name="References"/>
      <w:r w:rsidRPr="00353B54">
        <w:t>(2025/2114(INI))</w:t>
      </w:r>
      <w:bookmarkEnd w:id="6"/>
    </w:p>
    <w:p w14:paraId="47D7F963" w14:textId="77777777" w:rsidR="00092F71" w:rsidRPr="00353B54" w:rsidRDefault="00092F71" w:rsidP="00092F71">
      <w:pPr>
        <w:pStyle w:val="EPComma"/>
      </w:pPr>
      <w:r w:rsidRPr="00353B54">
        <w:rPr>
          <w:i/>
          <w:iCs/>
        </w:rPr>
        <w:t>O Parlamento Europeu</w:t>
      </w:r>
      <w:r w:rsidRPr="00353B54">
        <w:t>,</w:t>
      </w:r>
    </w:p>
    <w:p w14:paraId="438735E3" w14:textId="77777777" w:rsidR="00092F71" w:rsidRPr="00353B54" w:rsidRDefault="00092F71" w:rsidP="00092F71">
      <w:pPr>
        <w:pStyle w:val="NormalHanging12a"/>
      </w:pPr>
      <w:r w:rsidRPr="00353B54">
        <w:t>–</w:t>
      </w:r>
      <w:r w:rsidRPr="00353B54">
        <w:tab/>
        <w:t>Tendo em conta as suas resoluções precedentes sobre o resultado das deliberações da Comissão das Petições,</w:t>
      </w:r>
    </w:p>
    <w:p w14:paraId="352B2706" w14:textId="77777777" w:rsidR="00092F71" w:rsidRPr="00353B54" w:rsidRDefault="00092F71" w:rsidP="00092F71">
      <w:pPr>
        <w:pStyle w:val="NormalHanging12a"/>
      </w:pPr>
      <w:r w:rsidRPr="00353B54">
        <w:t>–</w:t>
      </w:r>
      <w:r w:rsidRPr="00353B54">
        <w:tab/>
        <w:t>Tendo em conta os artigos 10.º e 11.º do Tratado da União Europeia,</w:t>
      </w:r>
    </w:p>
    <w:p w14:paraId="5384D7B0" w14:textId="77777777" w:rsidR="00092F71" w:rsidRPr="00353B54" w:rsidRDefault="00092F71" w:rsidP="00092F71">
      <w:pPr>
        <w:pStyle w:val="NormalHanging12a"/>
      </w:pPr>
      <w:r w:rsidRPr="00353B54">
        <w:t>–</w:t>
      </w:r>
      <w:r w:rsidRPr="00353B54">
        <w:tab/>
        <w:t>Tendo em conta os artigos 20.º, 24.º e 227.º do Tratado sobre o Funcionamento da União Europeia (TFUE), relativos ao direito de petição ao Parlamento Europeu dos cidadãos e dos residentes da UE,</w:t>
      </w:r>
    </w:p>
    <w:p w14:paraId="2A5351DB" w14:textId="77777777" w:rsidR="00092F71" w:rsidRPr="00353B54" w:rsidRDefault="00092F71" w:rsidP="00092F71">
      <w:pPr>
        <w:pStyle w:val="NormalHanging12a"/>
      </w:pPr>
      <w:r w:rsidRPr="00353B54">
        <w:t>–</w:t>
      </w:r>
      <w:r w:rsidRPr="00353B54">
        <w:tab/>
        <w:t>Tendo em conta o artigo 228.º do TFUE, relativo ao papel e às funções do Provedor de Justiça Europeu,</w:t>
      </w:r>
    </w:p>
    <w:p w14:paraId="59780D02" w14:textId="77777777" w:rsidR="00092F71" w:rsidRPr="00353B54" w:rsidRDefault="00092F71" w:rsidP="00092F71">
      <w:pPr>
        <w:pStyle w:val="NormalHanging12a"/>
      </w:pPr>
      <w:r w:rsidRPr="00353B54">
        <w:t>–</w:t>
      </w:r>
      <w:r w:rsidRPr="00353B54">
        <w:tab/>
        <w:t>Tendo em conta o artigo 44.º da Carta dos Direitos Fundamentais da União Europeia, sobre o direito de petição ao Parlamento Europeu,</w:t>
      </w:r>
    </w:p>
    <w:p w14:paraId="6D97E662" w14:textId="77777777" w:rsidR="00092F71" w:rsidRPr="00353B54" w:rsidRDefault="00092F71" w:rsidP="00092F71">
      <w:pPr>
        <w:pStyle w:val="NormalHanging12a"/>
      </w:pPr>
      <w:r w:rsidRPr="00353B54">
        <w:t>–</w:t>
      </w:r>
      <w:r w:rsidRPr="00353B54">
        <w:tab/>
        <w:t>Tendo em conta as disposições do TFUE relativas ao procedimento de infração, nomeadamente os artigos 258.º e 260.º,</w:t>
      </w:r>
    </w:p>
    <w:p w14:paraId="776E2393" w14:textId="77777777" w:rsidR="00092F71" w:rsidRPr="00353B54" w:rsidRDefault="00092F71" w:rsidP="00092F71">
      <w:pPr>
        <w:pStyle w:val="NormalHanging12a"/>
      </w:pPr>
      <w:r w:rsidRPr="00353B54">
        <w:t>–</w:t>
      </w:r>
      <w:r w:rsidRPr="00353B54">
        <w:tab/>
        <w:t>Tendo em conta o artigo 55.º e o artigo 233.º, n.º 7, do seu Regimento,</w:t>
      </w:r>
    </w:p>
    <w:p w14:paraId="5757C6D8" w14:textId="77777777" w:rsidR="00092F71" w:rsidRPr="00353B54" w:rsidRDefault="00092F71" w:rsidP="00092F71">
      <w:pPr>
        <w:pStyle w:val="NormalHanging12a"/>
      </w:pPr>
      <w:r w:rsidRPr="00353B54">
        <w:t>–</w:t>
      </w:r>
      <w:r w:rsidRPr="00353B54">
        <w:tab/>
        <w:t>Tendo em conta o relatório da Comissão das Petições (A10</w:t>
      </w:r>
      <w:r w:rsidRPr="00353B54">
        <w:noBreakHyphen/>
        <w:t>0170/2025),</w:t>
      </w:r>
    </w:p>
    <w:p w14:paraId="5D7443D4" w14:textId="77777777" w:rsidR="00092F71" w:rsidRPr="00353B54" w:rsidRDefault="00092F71" w:rsidP="00092F71">
      <w:pPr>
        <w:pStyle w:val="NormalHanging12a"/>
      </w:pPr>
      <w:r w:rsidRPr="00353B54">
        <w:t>A.</w:t>
      </w:r>
      <w:r w:rsidRPr="00353B54">
        <w:tab/>
        <w:t xml:space="preserve">Considerando que, na sequência das eleições europeias, que se realizaram de 6 a 9 de junho de 2024, e da constituição do novo Parlamento, em 16 de julho de 2024, a Comissão das Petições realizou a sua reunião constitutiva em 23 de julho de 2024; </w:t>
      </w:r>
    </w:p>
    <w:p w14:paraId="505B036A" w14:textId="77777777" w:rsidR="00092F71" w:rsidRPr="00353B54" w:rsidRDefault="00092F71" w:rsidP="00092F71">
      <w:pPr>
        <w:pStyle w:val="NormalHanging12a"/>
      </w:pPr>
      <w:r w:rsidRPr="00353B54">
        <w:t>B.</w:t>
      </w:r>
      <w:r w:rsidRPr="00353B54">
        <w:tab/>
        <w:t>Considerando que o relatório anual sobre o resultado das deliberações da Comissão das Petições tem como objetivo apresentar uma análise das petições recebidas em 2024, das relações com outras instituições e uma imagem fiel dos objetivos alcançados durante o ano de 2024;</w:t>
      </w:r>
    </w:p>
    <w:p w14:paraId="4E9EECD2" w14:textId="542ECDD6" w:rsidR="00092F71" w:rsidRPr="00353B54" w:rsidRDefault="00092F71" w:rsidP="00092F71">
      <w:pPr>
        <w:pStyle w:val="NormalHanging12a"/>
      </w:pPr>
      <w:r w:rsidRPr="00353B54">
        <w:lastRenderedPageBreak/>
        <w:t>C.</w:t>
      </w:r>
      <w:r w:rsidRPr="00353B54">
        <w:tab/>
        <w:t>Considerando que, em 2024, o Parlamento recebeu 1 518 petições, o que representa um aumento de 4,3 %, em comparação com as 1 452 petições recebidas em 2023, e de 19,8 %, em comparação com as 1 217 petições recebidas em 2022</w:t>
      </w:r>
      <w:r w:rsidR="003421B5" w:rsidRPr="00353B54">
        <w:t>; considerando que</w:t>
      </w:r>
      <w:r w:rsidRPr="00353B54">
        <w:t xml:space="preserve"> o número total de petições recebidas continua a ser sensivelmente inferior aos picos atingidos em 2013 e 2014, anos que o Parlamento recebeu 2 891 e 2 715 petições, respetivamente;</w:t>
      </w:r>
    </w:p>
    <w:p w14:paraId="41F02309" w14:textId="229B725F" w:rsidR="00092F71" w:rsidRPr="00353B54" w:rsidRDefault="00092F71" w:rsidP="00092F71">
      <w:pPr>
        <w:pStyle w:val="NormalHanging12a"/>
      </w:pPr>
      <w:r w:rsidRPr="00353B54">
        <w:t>D.</w:t>
      </w:r>
      <w:r w:rsidRPr="00353B54">
        <w:tab/>
        <w:t>Considerando que, em 2024, as petições foram apoiadas por 15 661 utilizadores no Portal das Petições do Parlamento, o que representa uma redução significativa em comparação com 26 331 em 2023 e 22 441 em 2022</w:t>
      </w:r>
      <w:r w:rsidR="003421B5" w:rsidRPr="00353B54">
        <w:t>; considerando que</w:t>
      </w:r>
      <w:r w:rsidRPr="00353B54">
        <w:t xml:space="preserve"> o número de cliques de apoio diminuiu igualmente para 17 745 em 2024, em comparação com 29 287 em 2023 e 27 927 em 2022;</w:t>
      </w:r>
    </w:p>
    <w:p w14:paraId="347CD594" w14:textId="7F642B3C" w:rsidR="00092F71" w:rsidRPr="00353B54" w:rsidRDefault="00092F71" w:rsidP="00092F71">
      <w:pPr>
        <w:pStyle w:val="NormalHanging12a"/>
      </w:pPr>
      <w:r w:rsidRPr="00353B54">
        <w:t>E.</w:t>
      </w:r>
      <w:r w:rsidRPr="00353B54">
        <w:tab/>
        <w:t>Considerando que o número total de petições permanece modesto em relação à população total da UE, o que revela a necessidade de continuar a intensificar esforços no sentido de aumentar a sensibilização dos cidadãos para o seu direito de petição e a possível utilidade das petições como meio de chamar a atenção das instituições da UE e dos Estados</w:t>
      </w:r>
      <w:r w:rsidRPr="00353B54">
        <w:noBreakHyphen/>
        <w:t>Membros para questões que afetam os cidadãos e são do seu interesse direto</w:t>
      </w:r>
      <w:r w:rsidR="003421B5" w:rsidRPr="00353B54">
        <w:t>; considerando que</w:t>
      </w:r>
      <w:r w:rsidRPr="00353B54">
        <w:t xml:space="preserve"> a Comissão das Petições, que é muito popular junto dos jovens em eventos como o Encontro Europeu da Juventude (EYE), em Estrasburgo, é um meio eficaz para promover esse direito e sensibilizar os cidadãos, em particular as gerações mais jovens, para a sua importância</w:t>
      </w:r>
      <w:r w:rsidR="003421B5" w:rsidRPr="00353B54">
        <w:t>; considerando que</w:t>
      </w:r>
      <w:r w:rsidRPr="00353B54">
        <w:t>, por conseguinte, é essencial assegurar uma presença ativa e sistemática da Comissão das Petições em todas as edições do EYE, a fim de aumentar a sua visibilidade e acessibilidade</w:t>
      </w:r>
      <w:r w:rsidR="003421B5" w:rsidRPr="00353B54">
        <w:t>; considerando que</w:t>
      </w:r>
      <w:r w:rsidRPr="00353B54">
        <w:t>, ao exercerem o direito de petição, os cidadãos esperam das instituições da UE um valor acrescentado na procura de uma solução para os seus problemas</w:t>
      </w:r>
      <w:r w:rsidR="003421B5" w:rsidRPr="00353B54">
        <w:t>; considerando que</w:t>
      </w:r>
      <w:r w:rsidRPr="00353B54">
        <w:t xml:space="preserve"> esse direito de petição deve igualmente promover princípios fundamentais, como a boa administração das instituições europeias, a liberdade de expressão e o respeito pela expressão democrática;</w:t>
      </w:r>
    </w:p>
    <w:p w14:paraId="341A6948" w14:textId="77777777" w:rsidR="00092F71" w:rsidRPr="00353B54" w:rsidRDefault="00092F71" w:rsidP="00092F71">
      <w:pPr>
        <w:pStyle w:val="NormalHanging12a"/>
      </w:pPr>
      <w:r w:rsidRPr="00353B54">
        <w:t>F.</w:t>
      </w:r>
      <w:r w:rsidRPr="00353B54">
        <w:tab/>
        <w:t>Considerando que os critérios de admissibilidade das petições estão estabelecidos no artigo 227.º do TFUE e no artigo 232.º, n.º 1, do Regimento do Parlamento, que exigem que as petições sejam apresentadas por cidadãos da UE ou pessoas singulares ou coletivas, a título individual ou em associação com outros, residentes ou com sede social num Estado</w:t>
      </w:r>
      <w:r w:rsidRPr="00353B54">
        <w:noBreakHyphen/>
        <w:t>Membro, sobre questões que se enquadrem no âmbito de atividades da UE e que afetem diretamente os peticionários, tendo esta última condição uma interpretação muito ampla;</w:t>
      </w:r>
    </w:p>
    <w:p w14:paraId="7445B2D0" w14:textId="430C075E" w:rsidR="00092F71" w:rsidRPr="00353B54" w:rsidRDefault="00092F71" w:rsidP="00092F71">
      <w:pPr>
        <w:pStyle w:val="NormalHanging12a"/>
      </w:pPr>
      <w:r w:rsidRPr="00353B54">
        <w:t>G.</w:t>
      </w:r>
      <w:r w:rsidRPr="00353B54">
        <w:tab/>
        <w:t>Considerando que das 1 518 petições, apresentadas em 2024, foram declaradas não admissíveis 611 e 31 foram retiradas</w:t>
      </w:r>
      <w:r w:rsidR="003421B5" w:rsidRPr="00353B54">
        <w:t>; considerando que</w:t>
      </w:r>
      <w:r w:rsidRPr="00353B54">
        <w:t xml:space="preserve"> a percentagem elevada e crescente (40,25 %) de petições não admissíveis em 2024 confirma que a falta de compreensão sobre os domínios de competência da UE é ainda corrente</w:t>
      </w:r>
      <w:r w:rsidR="003421B5" w:rsidRPr="00353B54">
        <w:t>; considerando que</w:t>
      </w:r>
      <w:r w:rsidRPr="00353B54">
        <w:t xml:space="preserve">, para reduzir o número de petições não admissíveis, continua a ser necessário envidar esforços para melhor esclarecer o âmbito de aplicação das atividades da UE; </w:t>
      </w:r>
    </w:p>
    <w:p w14:paraId="30E9D697" w14:textId="13718150" w:rsidR="00092F71" w:rsidRPr="00353B54" w:rsidRDefault="00092F71" w:rsidP="00092F71">
      <w:pPr>
        <w:pStyle w:val="NormalHanging12a"/>
      </w:pPr>
      <w:r w:rsidRPr="00353B54">
        <w:t>H.</w:t>
      </w:r>
      <w:r w:rsidRPr="00353B54">
        <w:tab/>
        <w:t>Considerando que o direito de petição ao Parlamento é um direito fundamental dos cidadãos da UE, que proporciona, tanto aos cidadãos como aos residentes, um mecanismo aberto, democrático e transparente de comunicação direta com os seus representantes eleitos</w:t>
      </w:r>
      <w:r w:rsidR="003421B5" w:rsidRPr="00353B54">
        <w:t>; considerando que</w:t>
      </w:r>
      <w:r w:rsidRPr="00353B54">
        <w:t xml:space="preserve"> muitas pessoas com deficiência carecem de igualdade de acesso à informação e à comunicação devido à escassa disponibilidade de formatos acessíveis e ao facto de as línguas gestuais nacionais não serem reconhecidas </w:t>
      </w:r>
      <w:r w:rsidRPr="00353B54">
        <w:lastRenderedPageBreak/>
        <w:t>como parte do multilinguismo da UE</w:t>
      </w:r>
      <w:r w:rsidR="003421B5" w:rsidRPr="00353B54">
        <w:t>; considerando que</w:t>
      </w:r>
      <w:r w:rsidRPr="00353B54">
        <w:t xml:space="preserve"> este instrumento essencial capacita os cidadãos para participarem ativa e eficazmente na vida da União</w:t>
      </w:r>
      <w:r w:rsidR="003421B5" w:rsidRPr="00353B54">
        <w:t>; considerando que</w:t>
      </w:r>
      <w:r w:rsidRPr="00353B54">
        <w:t>, através das petições, os cidadãos da UE podem denunciar lacunas na aplicação do direito da UE e participar na deteção de infrações ao direito da UE, respeitando a soberania dos Estados</w:t>
      </w:r>
      <w:r w:rsidRPr="00353B54">
        <w:noBreakHyphen/>
        <w:t>Membros e a aplicação dos Tratados da UE;</w:t>
      </w:r>
    </w:p>
    <w:p w14:paraId="15DA309B" w14:textId="6FC51413" w:rsidR="00092F71" w:rsidRPr="00353B54" w:rsidRDefault="00092F71" w:rsidP="00092F71">
      <w:pPr>
        <w:pStyle w:val="NormalHanging12a"/>
      </w:pPr>
      <w:r w:rsidRPr="00353B54">
        <w:t>I.</w:t>
      </w:r>
      <w:r w:rsidRPr="00353B54">
        <w:tab/>
        <w:t>Considerando que o Parlamento há muito se posiciona na primeira linha do desenvolvimento do processo de petições a nível internacional e dispõe do processo de petições mais aberto e transparente na Europa, permitindo a plena participação dos peticionários nas suas atividades</w:t>
      </w:r>
      <w:r w:rsidR="003421B5" w:rsidRPr="00353B54">
        <w:t>; considerando que</w:t>
      </w:r>
      <w:r w:rsidRPr="00353B54">
        <w:t xml:space="preserve"> a plataforma em linha das petições podia ser mais intuitiva, a fim de facilitar a navegação para os utilizadores</w:t>
      </w:r>
      <w:r w:rsidR="003421B5" w:rsidRPr="00353B54">
        <w:t>; considerando que</w:t>
      </w:r>
      <w:r w:rsidRPr="00353B54">
        <w:t xml:space="preserve"> a integração de tecnologias de inteligência artificial podia simplificar a pesquisa e melhorar a acessibilidade das petições, oferecendo funcionalidades mais avançadas do que as permitidas pelo formato atual;</w:t>
      </w:r>
    </w:p>
    <w:p w14:paraId="6E87644D" w14:textId="77777777" w:rsidR="00092F71" w:rsidRPr="00353B54" w:rsidRDefault="00092F71" w:rsidP="00092F71">
      <w:pPr>
        <w:pStyle w:val="NormalHanging12a"/>
      </w:pPr>
      <w:r w:rsidRPr="00353B54">
        <w:t>J.</w:t>
      </w:r>
      <w:r w:rsidRPr="00353B54">
        <w:tab/>
        <w:t>Considerando que a Comissão das Petições sublinha a importância de uma maior transparência no tratamento das petições, incluindo o retorno sistemático aos peticionários em fases fundamentais do procedimento e um calendário claro para as medidas de seguimento por parte das instituições da UE;</w:t>
      </w:r>
    </w:p>
    <w:p w14:paraId="5B1FCE70" w14:textId="58062F1A" w:rsidR="00092F71" w:rsidRPr="00353B54" w:rsidRDefault="00092F71" w:rsidP="00092F71">
      <w:pPr>
        <w:pStyle w:val="NormalHanging12a"/>
      </w:pPr>
      <w:r w:rsidRPr="00353B54">
        <w:t>K.</w:t>
      </w:r>
      <w:r w:rsidRPr="00353B54">
        <w:tab/>
        <w:t>Considerando que as atividades da Comissão das Petições têm por base os contributos dos peticionários e as informações que estes fornecem</w:t>
      </w:r>
      <w:r w:rsidR="003421B5" w:rsidRPr="00353B54">
        <w:t>; considerando que</w:t>
      </w:r>
      <w:r w:rsidRPr="00353B54">
        <w:t xml:space="preserve"> estas informações, a par dos conhecimentos técnicos disponibilizados pela Comissão, pelos Estados</w:t>
      </w:r>
      <w:r w:rsidRPr="00353B54">
        <w:noBreakHyphen/>
        <w:t>Membros e por outros órgãos, são fundamentais para o trabalho da Comissão das Petições</w:t>
      </w:r>
      <w:r w:rsidR="003421B5" w:rsidRPr="00353B54">
        <w:t>; considerando que</w:t>
      </w:r>
      <w:r w:rsidRPr="00353B54">
        <w:t xml:space="preserve"> as petições admissíveis dão, muitas vezes, um valioso contributo para o trabalho das outras comissões parlamentares</w:t>
      </w:r>
      <w:r w:rsidR="003421B5" w:rsidRPr="00353B54">
        <w:t>; considerando que</w:t>
      </w:r>
      <w:r w:rsidRPr="00353B54">
        <w:t xml:space="preserve"> as petições podem, por conseguinte, desempenhar igualmente um papel no processo legislativo, ao veicular informações concretas sobre as repercussões das políticas da UE e permitir que estas políticas visem necessidades emergentes;</w:t>
      </w:r>
    </w:p>
    <w:p w14:paraId="6E3F9140" w14:textId="0049D908" w:rsidR="00092F71" w:rsidRPr="00353B54" w:rsidRDefault="00092F71" w:rsidP="00092F71">
      <w:pPr>
        <w:pStyle w:val="NormalHanging12a"/>
      </w:pPr>
      <w:r w:rsidRPr="00353B54">
        <w:t>L.</w:t>
      </w:r>
      <w:r w:rsidRPr="00353B54">
        <w:tab/>
        <w:t>Considerando que o direito de petição aumenta a capacidade de resposta do Parlamento a queixas e preocupações relacionadas com o respeito pelos direitos fundamentais da UE e com o cumprimento do direito da União nos Estados</w:t>
      </w:r>
      <w:r w:rsidRPr="00353B54">
        <w:noBreakHyphen/>
        <w:t>Membros</w:t>
      </w:r>
      <w:r w:rsidR="003421B5" w:rsidRPr="00353B54">
        <w:t>; considerando que</w:t>
      </w:r>
      <w:r w:rsidRPr="00353B54">
        <w:t xml:space="preserve"> as petições podem ser uma fonte de informação útil sobre os casos de má aplicação ou de violação do direito da UE e permitem ao Parlamento e a outras instituições avaliarem a transposição e a aplicação do direito da UE e o seu impacto nos direitos dos cidadãos da UE e dos residentes na UE;</w:t>
      </w:r>
    </w:p>
    <w:p w14:paraId="17B43A0A" w14:textId="2642C75A" w:rsidR="00092F71" w:rsidRPr="00353B54" w:rsidRDefault="00092F71" w:rsidP="00092F71">
      <w:pPr>
        <w:pStyle w:val="NormalHanging12a"/>
      </w:pPr>
      <w:r w:rsidRPr="00353B54">
        <w:t>M.</w:t>
      </w:r>
      <w:r w:rsidRPr="00353B54">
        <w:tab/>
        <w:t>Considerando que cada petição é ponderada e analisada de forma cuidadosa, eficaz e transparente</w:t>
      </w:r>
      <w:r w:rsidR="003421B5" w:rsidRPr="00353B54">
        <w:t>; considerando que</w:t>
      </w:r>
      <w:r w:rsidRPr="00353B54">
        <w:t xml:space="preserve"> todos os peticionários têm o direito de receber uma resposta que informe sobre a decisão relativa à admissibilidade e ao seguimento dado pela comissão, num prazo razoável e na sua própria língua ou na língua utilizada na petição</w:t>
      </w:r>
      <w:r w:rsidR="003421B5" w:rsidRPr="00353B54">
        <w:t>; considerando que</w:t>
      </w:r>
      <w:r w:rsidRPr="00353B54">
        <w:t xml:space="preserve"> a petição n.º 1056/2016, debatida em 19 de março de 2024, solicita ao Parlamento que permita a apresentação de petições nas línguas gestuais nacionais utilizadas na UE;</w:t>
      </w:r>
    </w:p>
    <w:p w14:paraId="782359C9" w14:textId="2C87F9AD" w:rsidR="00092F71" w:rsidRPr="00353B54" w:rsidRDefault="00092F71" w:rsidP="00092F71">
      <w:pPr>
        <w:pStyle w:val="NormalHanging12a"/>
      </w:pPr>
      <w:r w:rsidRPr="00353B54">
        <w:t>N.</w:t>
      </w:r>
      <w:r w:rsidRPr="00353B54">
        <w:tab/>
        <w:t>Considerando que a Comissão das Petições atribui extrema importância ao exame e ao debate público das petições nas suas reuniões</w:t>
      </w:r>
      <w:r w:rsidR="003421B5" w:rsidRPr="00353B54">
        <w:t>; considerando que</w:t>
      </w:r>
      <w:r w:rsidRPr="00353B54">
        <w:t xml:space="preserve"> os peticionários têm o direito de apresentar as suas petições e tomam frequentemente a palavra no debate, contribuindo assim ativamente para o trabalho da comissão</w:t>
      </w:r>
      <w:r w:rsidR="003421B5" w:rsidRPr="00353B54">
        <w:t>; considerando que</w:t>
      </w:r>
      <w:r w:rsidRPr="00353B54">
        <w:t xml:space="preserve">, em 2024, a Comissão das Petições realizou oito reuniões, além da sua reunião constitutiva, </w:t>
      </w:r>
      <w:r w:rsidRPr="00353B54">
        <w:lastRenderedPageBreak/>
        <w:t>em que foram debatidas 106 petições, tendo 106 dos peticionários estado presentes e usado ativamente da palavra;</w:t>
      </w:r>
    </w:p>
    <w:p w14:paraId="7F387125" w14:textId="77777777" w:rsidR="00092F71" w:rsidRPr="00353B54" w:rsidRDefault="00092F71" w:rsidP="00092F71">
      <w:pPr>
        <w:pStyle w:val="NormalHanging12a"/>
      </w:pPr>
      <w:r w:rsidRPr="00353B54">
        <w:t>O.</w:t>
      </w:r>
      <w:r w:rsidRPr="00353B54">
        <w:tab/>
        <w:t>Considerando que as principais questões levantadas nas petições apresentadas em 2024 estão relacionadas com o ambiente, os direitos fundamentais, o Estado de direito (nomeadamente o direito a uma boa administração, o direito de acesso aos documentos e a liberdade de expressão e de informação), o mercado interno, a justiça, os direitos dos consumidores e a saúde;</w:t>
      </w:r>
    </w:p>
    <w:p w14:paraId="3359A5D5" w14:textId="77777777" w:rsidR="00092F71" w:rsidRPr="00353B54" w:rsidRDefault="00092F71" w:rsidP="00092F71">
      <w:pPr>
        <w:pStyle w:val="NormalHanging12a"/>
      </w:pPr>
      <w:r w:rsidRPr="00353B54">
        <w:t>P.</w:t>
      </w:r>
      <w:r w:rsidRPr="00353B54">
        <w:tab/>
        <w:t>Considerando que, ao adotar a ordem do dia das suas reuniões, a Comissão das Petições procura debater as petições e os temas com elevada pertinência para o debate a nível da UE e presta atenção à necessidade de manter uma abordagem dos temas geograficamente equilibrada, em função das petições recebidas;</w:t>
      </w:r>
    </w:p>
    <w:p w14:paraId="113BACEE" w14:textId="77777777" w:rsidR="00092F71" w:rsidRPr="00353B54" w:rsidRDefault="00092F71" w:rsidP="00092F71">
      <w:pPr>
        <w:pStyle w:val="NormalHanging12a"/>
      </w:pPr>
      <w:r w:rsidRPr="00353B54">
        <w:t>Q.</w:t>
      </w:r>
      <w:r w:rsidRPr="00353B54">
        <w:tab/>
        <w:t>Considerando que 82 % das petições recebidas pelo Parlamento em 2024 foram apresentadas através do Portal das Petições do Parlamento, o que configura uma percentagem quase idêntica aos 82,4 % de 2023, reconfirmando que o portal é, de longe, o canal mais utilizado pelos cidadãos para a apresentação de petições ao Parlamento;</w:t>
      </w:r>
    </w:p>
    <w:p w14:paraId="3965E40D" w14:textId="77822F3F" w:rsidR="00092F71" w:rsidRPr="00353B54" w:rsidRDefault="00092F71" w:rsidP="00092F71">
      <w:pPr>
        <w:pStyle w:val="NormalHanging12a"/>
      </w:pPr>
      <w:r w:rsidRPr="00353B54">
        <w:t>R.</w:t>
      </w:r>
      <w:r w:rsidRPr="00353B54">
        <w:tab/>
        <w:t>Considerando que a nova versão do Portal das Petições publica automaticamente informações sobre a aprovação das petições, as alterações do seu estado, bem como informações adicionais (por exemplo, o país, os temas) e resumos nas 24 línguas oficiais da UE</w:t>
      </w:r>
      <w:r w:rsidR="003421B5" w:rsidRPr="00353B54">
        <w:t>; considerando que</w:t>
      </w:r>
      <w:r w:rsidRPr="00353B54">
        <w:t>, em 2024, todas as petições foram novamente preparadas e publicadas de forma atempada, poucos dias depois da sua aprovação, e que foi dada resposta, em tempo útil e em todas as línguas oficiais da UE, a todos os pedidos de assistência, a nível interno e externo, relacionados com a utilização e o conteúdo do Portal das Petições eletrónico;</w:t>
      </w:r>
    </w:p>
    <w:p w14:paraId="14EAAC67" w14:textId="47CDB036" w:rsidR="00092F71" w:rsidRPr="00353B54" w:rsidRDefault="00092F71" w:rsidP="00092F71">
      <w:pPr>
        <w:pStyle w:val="NormalHanging12a"/>
      </w:pPr>
      <w:r w:rsidRPr="00353B54">
        <w:t>S.</w:t>
      </w:r>
      <w:r w:rsidRPr="00353B54">
        <w:tab/>
        <w:t>Considerando que, em 2024, não foram realizadas missões de recolha de informações para as petições cujo inquérito estava a decorrer, devido ao período de interrupção dos trabalhos por causa das eleições europeias</w:t>
      </w:r>
      <w:r w:rsidR="003421B5" w:rsidRPr="00353B54">
        <w:t>; considerando que</w:t>
      </w:r>
      <w:r w:rsidRPr="00353B54">
        <w:t xml:space="preserve"> a comissão realizou uma avaliação de acompanhamento e aprovou dois relatórios sobre as missões de recolha de informações realizadas em 2023</w:t>
      </w:r>
      <w:r w:rsidR="003421B5" w:rsidRPr="00353B54">
        <w:t>; considerando que</w:t>
      </w:r>
      <w:r w:rsidRPr="00353B54">
        <w:t xml:space="preserve"> foram agendadas duas missões de recolha de informações para o primeiro semestre de 2025;</w:t>
      </w:r>
    </w:p>
    <w:p w14:paraId="09E4B18E" w14:textId="38EDE461" w:rsidR="00092F71" w:rsidRPr="00353B54" w:rsidRDefault="00092F71" w:rsidP="00092F71">
      <w:pPr>
        <w:pStyle w:val="NormalHanging12a"/>
      </w:pPr>
      <w:r w:rsidRPr="00353B54">
        <w:t>T.</w:t>
      </w:r>
      <w:r w:rsidRPr="00353B54">
        <w:tab/>
        <w:t xml:space="preserve">Considerando que, em 4 de novembro de 2024, a Comissão das Petições participou na audição de confirmação do comissário indigitado responsável pelo Comércio e Segurança Económica, Relações Interinstitucionais e Transparência, </w:t>
      </w:r>
      <w:proofErr w:type="spellStart"/>
      <w:r w:rsidRPr="00353B54">
        <w:t>Maroš</w:t>
      </w:r>
      <w:proofErr w:type="spellEnd"/>
      <w:r w:rsidRPr="00353B54">
        <w:t xml:space="preserve"> </w:t>
      </w:r>
      <w:proofErr w:type="spellStart"/>
      <w:r w:rsidRPr="00353B54">
        <w:t>Šefčovič</w:t>
      </w:r>
      <w:proofErr w:type="spellEnd"/>
      <w:r w:rsidRPr="00353B54">
        <w:t>, na qualidade de comissão convidada</w:t>
      </w:r>
      <w:r w:rsidR="003421B5" w:rsidRPr="00353B54">
        <w:t>; considerando que</w:t>
      </w:r>
      <w:r w:rsidRPr="00353B54">
        <w:t xml:space="preserve">, em resposta às perguntas escritas e orais que lhe foram feitas pela Comissão das Petições no contexto da audição de confirmação, </w:t>
      </w:r>
      <w:proofErr w:type="spellStart"/>
      <w:r w:rsidRPr="00353B54">
        <w:t>Maroš</w:t>
      </w:r>
      <w:proofErr w:type="spellEnd"/>
      <w:r w:rsidRPr="00353B54">
        <w:t xml:space="preserve"> </w:t>
      </w:r>
      <w:proofErr w:type="spellStart"/>
      <w:r w:rsidRPr="00353B54">
        <w:t>Šefčovič</w:t>
      </w:r>
      <w:proofErr w:type="spellEnd"/>
      <w:r w:rsidRPr="00353B54">
        <w:t xml:space="preserve"> assumiu uma série de compromissos relativos ao exame de petições e à transparência das medidas adotadas pela Comissão a fim de fazer respeitar a legislação; </w:t>
      </w:r>
    </w:p>
    <w:p w14:paraId="257C48AA" w14:textId="74131478" w:rsidR="00092F71" w:rsidRPr="00353B54" w:rsidRDefault="00092F71" w:rsidP="00092F71">
      <w:pPr>
        <w:pStyle w:val="NormalHanging12a"/>
      </w:pPr>
      <w:r w:rsidRPr="00353B54">
        <w:t>U.</w:t>
      </w:r>
      <w:r w:rsidRPr="00353B54">
        <w:tab/>
        <w:t>Considerando que, ao abrigo do Regimento do Parlamento, a Comissão das Petições é também responsável pelas relações com a instituição do Provedor de Justiça Europeu, que investiga as queixas sobre má administração nas instituições e nos organismos da UE</w:t>
      </w:r>
      <w:r w:rsidR="003421B5" w:rsidRPr="00353B54">
        <w:t>; considerando que</w:t>
      </w:r>
      <w:r w:rsidRPr="00353B54">
        <w:t xml:space="preserve">, em 2024, a Comissão das Petições desempenhou um papel fundamental na organização da eleição do Provedor de Justiça Europeu, realizando a audição pública dos candidatos nos termos do artigo 237.º do Regimento do </w:t>
      </w:r>
      <w:r w:rsidRPr="00353B54">
        <w:lastRenderedPageBreak/>
        <w:t>Parlamento</w:t>
      </w:r>
      <w:r w:rsidR="003421B5" w:rsidRPr="00353B54">
        <w:t>; considerando que</w:t>
      </w:r>
      <w:r w:rsidRPr="00353B54">
        <w:t>, em 17 de dezembro de 2024, Teresa Anjinho foi eleita Provedora de Justiça Europeia para a legislatura de 2024</w:t>
      </w:r>
      <w:r w:rsidRPr="00353B54">
        <w:noBreakHyphen/>
        <w:t xml:space="preserve">2029; </w:t>
      </w:r>
    </w:p>
    <w:p w14:paraId="2BFC5E74" w14:textId="1B0542CC" w:rsidR="00092F71" w:rsidRPr="00353B54" w:rsidRDefault="00092F71" w:rsidP="00092F71">
      <w:pPr>
        <w:pStyle w:val="NormalHanging12a"/>
      </w:pPr>
      <w:r w:rsidRPr="00353B54">
        <w:t>V.</w:t>
      </w:r>
      <w:r w:rsidRPr="00353B54">
        <w:tab/>
        <w:t xml:space="preserve">Considerando que, em 2024, as relações entre a Comissão das Petições e a instituição do Provedor de Justiça Europeu permaneceram construtivas, tal como demonstrado pela participação ativa da anterior provedora, </w:t>
      </w:r>
      <w:proofErr w:type="spellStart"/>
      <w:r w:rsidRPr="00353B54">
        <w:t>Emily</w:t>
      </w:r>
      <w:proofErr w:type="spellEnd"/>
      <w:r w:rsidRPr="00353B54">
        <w:t xml:space="preserve"> O’Reilly, nas reuniões da comissão</w:t>
      </w:r>
      <w:r w:rsidR="003421B5" w:rsidRPr="00353B54">
        <w:t>; considerando que</w:t>
      </w:r>
      <w:r w:rsidRPr="00353B54">
        <w:t xml:space="preserve"> esta apresentou o seu relatório anual relativo a 2023 à Comissão das Petições, na sua reunião de 4 de setembro de 2024, e participou no seminário anual da comissão sobre os direitos das pessoas com deficiência, em 2 de dezembro de 2024; </w:t>
      </w:r>
    </w:p>
    <w:p w14:paraId="0BC04091" w14:textId="77777777" w:rsidR="00092F71" w:rsidRPr="00353B54" w:rsidRDefault="00092F71" w:rsidP="00092F71">
      <w:pPr>
        <w:pStyle w:val="NormalHanging12a"/>
      </w:pPr>
      <w:r w:rsidRPr="00353B54">
        <w:t>W.</w:t>
      </w:r>
      <w:r w:rsidRPr="00353B54">
        <w:tab/>
        <w:t>Considerando que a Comissão das Petições é membro da Rede Europeia de Provedores de Justiça, que inclui também o Provedor de Justiça Europeu, os provedores de justiça nacionais e regionais e os organismos análogos dos Estados</w:t>
      </w:r>
      <w:r w:rsidRPr="00353B54">
        <w:noBreakHyphen/>
        <w:t>Membros, dos países candidatos e de outros países do Espaço Económico Europeu, e tem por objetivo promover a troca de informações sobre a política e a legislação da UE e partilhar boas práticas;</w:t>
      </w:r>
    </w:p>
    <w:p w14:paraId="6979A588" w14:textId="77777777" w:rsidR="00092F71" w:rsidRPr="00353B54" w:rsidRDefault="00092F71" w:rsidP="00092F71">
      <w:pPr>
        <w:pStyle w:val="NormalHanging12a"/>
      </w:pPr>
      <w:r w:rsidRPr="00353B54">
        <w:t>1.</w:t>
      </w:r>
      <w:r w:rsidRPr="00353B54">
        <w:tab/>
        <w:t>Relembra o papel importante da Comissão das Petições na proteção e promoção dos direitos dos cidadãos da UE e dos residentes na UE, e salienta que deve garantir que as preocupações e as queixas dos peticionários sejam examinadas de forma atempada, eficaz, acessível e adequada, e que os peticionários sejam devidamente informados sobre as medidas tomadas e os progressos alcançados relativamente às suas petições; lamenta, no entanto, que tal nem sempre seja o caso na prática; recorda que todas as petições devem ser tratadas através de um processo aberto, democrático e transparente, que a Comissão das Petições deve respeitar de forma coerente; recomenda a revisão dos procedimentos internos para assegurar que petições semelhantes ou repetidas sejam agrupadas e tratadas de forma mais eficiente, salvaguardando simultaneamente o direito de cada peticionário a ser ouvido individualmente;</w:t>
      </w:r>
    </w:p>
    <w:p w14:paraId="7AD04EB6" w14:textId="77777777" w:rsidR="00092F71" w:rsidRPr="00353B54" w:rsidRDefault="00092F71" w:rsidP="00092F71">
      <w:pPr>
        <w:pStyle w:val="NormalHanging12a"/>
      </w:pPr>
      <w:r w:rsidRPr="00353B54">
        <w:t>2.</w:t>
      </w:r>
      <w:r w:rsidRPr="00353B54">
        <w:tab/>
        <w:t>Salienta a importância de um debate público permanente sobre os domínios de atividade da União, com vista a informar devidamente os cidadãos sobre o âmbito das competências da União e sobre os diferentes níveis de tomada de decisões, a fim de reduzir o número de petições não admissíveis; renova o seu pedido para realizar campanhas de sensibilização mais amplas, especialmente nas regiões remotas, bem como junto dos grupos de cidadãos sub</w:t>
      </w:r>
      <w:r w:rsidRPr="00353B54">
        <w:noBreakHyphen/>
        <w:t>representados, nomeadamente jovens, mulheres e comunidades rurais ou insulares, através da participação ativa dos serviços de comunicação da UE existentes no seu território, para ajudar a aumentar o conhecimento dos cidadãos sobre o seu direito de petição, bem como sobre o âmbito das responsabilidades da UE e das competências da Comissão das Petições; solicita que a comunicação aos peticionários seja mais clara e sem jargão e que o papel e as limitações da Comissão das Petições sejam mais bem explicados ao público, em especial aos utilizadores vulneráveis ou que fazem uma petição pela primeira vez;</w:t>
      </w:r>
    </w:p>
    <w:p w14:paraId="24688312" w14:textId="77777777" w:rsidR="00092F71" w:rsidRPr="00353B54" w:rsidRDefault="00092F71" w:rsidP="00092F71">
      <w:pPr>
        <w:pStyle w:val="NormalHanging12a"/>
      </w:pPr>
      <w:r w:rsidRPr="00353B54">
        <w:t>3.</w:t>
      </w:r>
      <w:r w:rsidRPr="00353B54">
        <w:tab/>
        <w:t>Recorda a dimensão europeia da Comissão das Petições, que pode ser interpelada por cidadãos dos 27 Estados</w:t>
      </w:r>
      <w:r w:rsidRPr="00353B54">
        <w:noBreakHyphen/>
        <w:t>Membros relativamente a questões que se encontrem dentro do âmbito dos Tratados e do direito da UE; crê que a Comissão, respeitando a soberania e as idiossincrasias nacionais, tem uma responsabilidade especial de apoiar esta dimensão europeia e de demonstrar o valor acrescentado da união e integração europeias aos seus cidadãos;</w:t>
      </w:r>
    </w:p>
    <w:p w14:paraId="58791331" w14:textId="77777777" w:rsidR="00092F71" w:rsidRPr="00353B54" w:rsidRDefault="00092F71" w:rsidP="00092F71">
      <w:pPr>
        <w:pStyle w:val="NormalHanging12a"/>
      </w:pPr>
      <w:r w:rsidRPr="00353B54">
        <w:t>4.</w:t>
      </w:r>
      <w:r w:rsidRPr="00353B54">
        <w:tab/>
        <w:t xml:space="preserve">Salienta que as petições constituem uma oportunidade única para o Parlamento e as </w:t>
      </w:r>
      <w:r w:rsidRPr="00353B54">
        <w:lastRenderedPageBreak/>
        <w:t>outras instituições da UE entrarem em contacto direto e manterem um diálogo regular com os cidadãos da UE, em particular quando estes são afetados pela má aplicação ou pela violação do direito da UE; sublinha a necessidade de uma cooperação reforçada entre as instituições da UE e os órgãos de poder central, regional e local a respeito dos pedidos de informações sobre a execução e o cumprimento do direito da UE; considera que esta cooperação é crucial para tratar e resolver as preocupações dos cidadãos quanto à aplicação da legislação da UE e contribui para reforçar a legitimidade democrática e a responsabilização da União; solicita, como tal, a participação significativa dos representantes dos Estados</w:t>
      </w:r>
      <w:r w:rsidRPr="00353B54">
        <w:noBreakHyphen/>
        <w:t>Membros nas reuniões da comissão e uma resposta atempada e pormenorizada aos pedidos de esclarecimento ou de informação enviados pela Comissão das Petições às autoridades nacionais, a fim de assegurar o seguimento adequado das petições;</w:t>
      </w:r>
    </w:p>
    <w:p w14:paraId="37E22DD8" w14:textId="77777777" w:rsidR="00092F71" w:rsidRPr="00353B54" w:rsidRDefault="00092F71" w:rsidP="00092F71">
      <w:pPr>
        <w:pStyle w:val="NormalHanging12a"/>
      </w:pPr>
      <w:r w:rsidRPr="00353B54">
        <w:t>5.</w:t>
      </w:r>
      <w:r w:rsidRPr="00353B54">
        <w:tab/>
        <w:t>Recorda que a Comissão das Petições recebeu um número significativo de petições no início de 2024 a manifestar preocupação relativamente às aparentes ameaças ao Estado de direito em Espanha; toma nota do debate conjunto, realizado em janeiro de 2024, sobre várias petições relativas à evolução da situação em Espanha, em especial no que diz respeito à proposta do Governo de uma lei de amnistia e às suas eventuais implicações para os quadros jurídicos espanhóis e da UE;</w:t>
      </w:r>
    </w:p>
    <w:p w14:paraId="7B0598A6" w14:textId="77777777" w:rsidR="00092F71" w:rsidRPr="00353B54" w:rsidRDefault="00092F71" w:rsidP="00092F71">
      <w:pPr>
        <w:pStyle w:val="NormalHanging12a"/>
      </w:pPr>
      <w:r w:rsidRPr="00353B54">
        <w:t>6.</w:t>
      </w:r>
      <w:r w:rsidRPr="00353B54">
        <w:tab/>
        <w:t xml:space="preserve">Recorda que as petições contribuem consideravelmente para o para que a Comissão possa desempenhar o seu papel de guardiã dos Tratados, ao proporcionar aos cidadãos uma ferramenta adicional para comunicarem alegadas violações do direito da UE; salienta que a cooperação construtiva entre a Comissão das Petições e a Comissão, através do fornecimento atempado pela Comissão de respostas detalhadas, baseadas num exame exaustivo das questões levantadas nas petições, é essencial para assegurar o bom tratamento das petições; reitera que estas respostas, que são transmitidas aos peticionários, devem ser claras, simples e empáticas, a fim de permitir uma melhor compreensão; </w:t>
      </w:r>
    </w:p>
    <w:p w14:paraId="20BE08B3" w14:textId="77777777" w:rsidR="00092F71" w:rsidRPr="00353B54" w:rsidRDefault="00092F71" w:rsidP="00092F71">
      <w:pPr>
        <w:pStyle w:val="NormalHanging12a"/>
      </w:pPr>
      <w:r w:rsidRPr="00353B54">
        <w:t>7.</w:t>
      </w:r>
      <w:r w:rsidRPr="00353B54">
        <w:tab/>
        <w:t>Congratula</w:t>
      </w:r>
      <w:r w:rsidRPr="00353B54">
        <w:noBreakHyphen/>
        <w:t>se com a criação de uma nova página Web da Comissão, dedicada aos procedimentos de infração, à transposição de diretivas e ao diálogo EU </w:t>
      </w:r>
      <w:proofErr w:type="spellStart"/>
      <w:r w:rsidRPr="00353B54">
        <w:t>Pilot</w:t>
      </w:r>
      <w:proofErr w:type="spellEnd"/>
      <w:r w:rsidRPr="00353B54">
        <w:t>; reitera, porém, o seu apelo à Comissão para que informe regularmente a Comissão das Petições sobre a evolução dos procedimentos de infração e garanta o acesso desta última às informações pertinentes relativas aos procedimentos de infração e aos procedimentos EU </w:t>
      </w:r>
      <w:proofErr w:type="spellStart"/>
      <w:r w:rsidRPr="00353B54">
        <w:t>Pilot</w:t>
      </w:r>
      <w:proofErr w:type="spellEnd"/>
      <w:r w:rsidRPr="00353B54">
        <w:t xml:space="preserve"> respeitantes a petições em aberto; reitera a necessidade de melhorar a transparência dos procedimentos de infração, bem como a comunicação com os peticionários no que se refere ao ponto da situação desses procedimentos, e salienta que tal beneficiaria o bom funcionamento do exame da petição; congratula</w:t>
      </w:r>
      <w:r w:rsidRPr="00353B54">
        <w:noBreakHyphen/>
        <w:t xml:space="preserve">se com a iniciativa da Comissão de incluir as petições no seu registo público dos procedimentos de infração, e com a inclusão de uma ligação para o registo público da Comissão no Portal das Petições; saúda o compromisso do comissário </w:t>
      </w:r>
      <w:proofErr w:type="spellStart"/>
      <w:r w:rsidRPr="00353B54">
        <w:t>Šefčovič</w:t>
      </w:r>
      <w:proofErr w:type="spellEnd"/>
      <w:r w:rsidRPr="00353B54">
        <w:t xml:space="preserve"> de reforçar a interligação do registo público da Comissão e do Portal das Petições do Parlamento; reitera o seu apelo à Comissão para que inclua todos estes requisitos no Acordo</w:t>
      </w:r>
      <w:r w:rsidRPr="00353B54">
        <w:noBreakHyphen/>
        <w:t>quadro sobre as relações entre o Parlamento Europeu e a Comissão Europeia</w:t>
      </w:r>
      <w:r w:rsidRPr="00353B54">
        <w:rPr>
          <w:rStyle w:val="FootnoteReference"/>
        </w:rPr>
        <w:footnoteReference w:id="1"/>
      </w:r>
      <w:r w:rsidRPr="00353B54">
        <w:t>;</w:t>
      </w:r>
    </w:p>
    <w:p w14:paraId="35608030" w14:textId="77777777" w:rsidR="00092F71" w:rsidRPr="00353B54" w:rsidRDefault="00092F71" w:rsidP="00092F71">
      <w:pPr>
        <w:pStyle w:val="NormalHanging12a"/>
      </w:pPr>
      <w:r w:rsidRPr="00353B54">
        <w:t>8.</w:t>
      </w:r>
      <w:r w:rsidRPr="00353B54">
        <w:tab/>
        <w:t xml:space="preserve">Solicita a realização de uma avaliação periódica e independente da qualidade e clareza das respostas da Comissão às petições, dando especial atenção à legibilidade, </w:t>
      </w:r>
      <w:r w:rsidRPr="00353B54">
        <w:lastRenderedPageBreak/>
        <w:t>pertinência e sensibilidade relativamente aos contextos dos peticionários, a fim de assegurar que se interage de forma significativa e respeitadora com os cidadãos;</w:t>
      </w:r>
    </w:p>
    <w:p w14:paraId="52227E03" w14:textId="77777777" w:rsidR="00092F71" w:rsidRPr="00353B54" w:rsidRDefault="00092F71" w:rsidP="00092F71">
      <w:pPr>
        <w:pStyle w:val="NormalHanging12a"/>
      </w:pPr>
      <w:r w:rsidRPr="00353B54">
        <w:t>9.</w:t>
      </w:r>
      <w:r w:rsidRPr="00353B54">
        <w:tab/>
        <w:t>Considera que pode ser útil uma cooperação mais ativa entre os Estados</w:t>
      </w:r>
      <w:r w:rsidRPr="00353B54">
        <w:noBreakHyphen/>
        <w:t>Membros e a Comissão das Petições para desbloquear as petições que exigem respostas e reações rápidas por parte das autoridades nacionais;</w:t>
      </w:r>
    </w:p>
    <w:p w14:paraId="10492B5C" w14:textId="77777777" w:rsidR="00092F71" w:rsidRPr="00353B54" w:rsidRDefault="00092F71" w:rsidP="00092F71">
      <w:pPr>
        <w:pStyle w:val="NormalHanging12a"/>
      </w:pPr>
      <w:r w:rsidRPr="00353B54">
        <w:t>10.</w:t>
      </w:r>
      <w:r w:rsidRPr="00353B54">
        <w:tab/>
        <w:t>Relembra que a base de dados E</w:t>
      </w:r>
      <w:r w:rsidRPr="00353B54">
        <w:noBreakHyphen/>
      </w:r>
      <w:proofErr w:type="spellStart"/>
      <w:r w:rsidRPr="00353B54">
        <w:t>Petition</w:t>
      </w:r>
      <w:proofErr w:type="spellEnd"/>
      <w:r w:rsidRPr="00353B54">
        <w:t xml:space="preserve"> é uma ferramenta interna essencial, que permite aos membros da Comissão das Petições aceder a todas as informações necessárias para acompanhar o estado de cada petição e tomar decisões informadas quanto ao seu tratamento; observa que a base de dados E</w:t>
      </w:r>
      <w:r w:rsidRPr="00353B54">
        <w:noBreakHyphen/>
      </w:r>
      <w:proofErr w:type="spellStart"/>
      <w:r w:rsidRPr="00353B54">
        <w:t>Petition</w:t>
      </w:r>
      <w:proofErr w:type="spellEnd"/>
      <w:r w:rsidRPr="00353B54">
        <w:t xml:space="preserve"> também desempenha um papel importante na comunicação com os peticionários; salienta a necessidade de continuar a modernizar as ferramentas digitais da Comissão das Petições e sugere que seja explorada uma utilização responsável e orientada pelo ser humano da inteligência artificial para continuar a melhorar o tratamento das petições;</w:t>
      </w:r>
    </w:p>
    <w:p w14:paraId="62111BF9" w14:textId="77777777" w:rsidR="00092F71" w:rsidRPr="00353B54" w:rsidRDefault="00092F71" w:rsidP="00092F71">
      <w:pPr>
        <w:pStyle w:val="NormalHanging12a"/>
      </w:pPr>
      <w:r w:rsidRPr="00353B54">
        <w:t>11.</w:t>
      </w:r>
      <w:r w:rsidRPr="00353B54">
        <w:tab/>
        <w:t>Recorda o compromisso assumido pela Comissão de criar uma ferramenta informática interinstitucional entre a Comissão e o Parlamento, que permita partilhar informações e documentos sobre todas as medidas de seguimento adotadas para as petições — como, por exemplo, procedimentos de infração, propostas legislativas ou respostas das autoridades nacionais —, melhorando assim a transparência e a eficiência do tratamento das petições, o que, num contexto mais amplo, pode contribuir para aumentar a confiança dos cidadãos nas instituições da UE e no projeto Europeu; apela à rápida implantação dessa ferramenta informática interinstitucional;</w:t>
      </w:r>
    </w:p>
    <w:p w14:paraId="456AF819" w14:textId="77777777" w:rsidR="00092F71" w:rsidRPr="00353B54" w:rsidRDefault="00092F71" w:rsidP="00092F71">
      <w:pPr>
        <w:pStyle w:val="NormalHanging12a"/>
      </w:pPr>
      <w:r w:rsidRPr="00353B54">
        <w:t>12.</w:t>
      </w:r>
      <w:r w:rsidRPr="00353B54">
        <w:tab/>
        <w:t>Recorda que a cooperação com outras comissões do Parlamento é essencial para um tratamento abrangente das petições; assinala que, em 2024, foram enviados 30 pedidos de parecer e 450 pedidos de informação a outras comissões; observa que foram recebidos 26 pareceres até ao final de 2024;</w:t>
      </w:r>
      <w:r w:rsidRPr="00353B54">
        <w:rPr>
          <w:color w:val="FF0000"/>
        </w:rPr>
        <w:t xml:space="preserve"> </w:t>
      </w:r>
      <w:r w:rsidRPr="00353B54">
        <w:t>recorda que os peticionários são informados das decisões de solicitar pareceres a outras comissões para o tratamento das suas petições; releva que as comissões parlamentares devem redobrar esforços para contribuir ativamente para a análise das petições – disponibilizando os seus conhecimentos especializados – com vista a permitir ao Parlamento responder de forma mais rápida e exaustiva às preocupações dos cidadãos;</w:t>
      </w:r>
    </w:p>
    <w:p w14:paraId="33BCAC5A" w14:textId="77777777" w:rsidR="00092F71" w:rsidRPr="00353B54" w:rsidRDefault="00092F71" w:rsidP="00092F71">
      <w:pPr>
        <w:pStyle w:val="NormalHanging12a"/>
      </w:pPr>
      <w:r w:rsidRPr="00353B54">
        <w:t>13.</w:t>
      </w:r>
      <w:r w:rsidRPr="00353B54">
        <w:tab/>
        <w:t xml:space="preserve">Entende que a rede de petições é um instrumento útil para facilitar o seguimento das petições nos trabalhos parlamentares e legislativos; manifesta convicção de que as reuniões da rede de petições são fundamentais para assegurar uma maior visibilidade das atividades da Comissão das Petições e um melhor entendimento do seu trabalho e da sua missão, bem como para reforçar a cooperação com as restantes comissões parlamentares; </w:t>
      </w:r>
    </w:p>
    <w:p w14:paraId="682CC74B" w14:textId="77777777" w:rsidR="00092F71" w:rsidRPr="00353B54" w:rsidRDefault="00092F71" w:rsidP="00092F71">
      <w:pPr>
        <w:pStyle w:val="NormalHanging12a"/>
      </w:pPr>
      <w:r w:rsidRPr="00353B54">
        <w:t>14.</w:t>
      </w:r>
      <w:r w:rsidRPr="00353B54">
        <w:tab/>
        <w:t>Observa que o ambiente continuou a ser o principal tema que concita preocupação aos peticionários em 2024, tendo mais de 20 % das petições levantado questões neste domínio; regista o número significativo de petições que denunciam violações da legislação ambiental da UE em vários Estados</w:t>
      </w:r>
      <w:r w:rsidRPr="00353B54">
        <w:noBreakHyphen/>
        <w:t xml:space="preserve">Membros; observa que as questões comunicadas pelos peticionários e debatidas em comissão incluem a proteção do lobo na UE, os efeitos tóxicos de longo prazo dos pesticidas e a violação da Diretiva </w:t>
      </w:r>
      <w:r w:rsidRPr="00353B54">
        <w:lastRenderedPageBreak/>
        <w:t>Emissões Industriais</w:t>
      </w:r>
      <w:r w:rsidRPr="00353B54">
        <w:rPr>
          <w:rStyle w:val="FootnoteReference"/>
        </w:rPr>
        <w:footnoteReference w:id="2"/>
      </w:r>
      <w:r w:rsidRPr="00353B54">
        <w:t xml:space="preserve"> decorrente da gestão de uma fábrica siderúrgica; salienta a importância de não defraudar as expectativas dos cidadãos da UE em matéria de proteção do ambiente e, por conseguinte, insta a Comissão, juntamente com os Estados</w:t>
      </w:r>
      <w:r w:rsidRPr="00353B54">
        <w:noBreakHyphen/>
        <w:t>Membros, a velar pela correta aplicação da legislação da UE neste domínio;</w:t>
      </w:r>
    </w:p>
    <w:p w14:paraId="18E676D8" w14:textId="77777777" w:rsidR="00092F71" w:rsidRPr="00353B54" w:rsidRDefault="00092F71" w:rsidP="00092F71">
      <w:pPr>
        <w:pStyle w:val="NormalHanging12a"/>
      </w:pPr>
      <w:r w:rsidRPr="00353B54">
        <w:t>15.</w:t>
      </w:r>
      <w:r w:rsidRPr="00353B54">
        <w:tab/>
        <w:t>Toma nota de que outros assuntos foram tratados pela Comissão das Petições, como a proteção dos direitos das crianças, incluindo a segurança em linha, e a melhoria do bem</w:t>
      </w:r>
      <w:r w:rsidRPr="00353B54">
        <w:noBreakHyphen/>
        <w:t>estar dos animais; chama a atenção para as petições que destacam as violações dos direitos dos passageiros; observa igualmente que inúmeras petições suscitaram preocupações sobre a proteção de dados e, em particular, a aplicação do Regulamento Geral sobre a Proteção de Dados</w:t>
      </w:r>
      <w:r w:rsidRPr="00353B54">
        <w:rPr>
          <w:rStyle w:val="FootnoteReference"/>
        </w:rPr>
        <w:footnoteReference w:id="3"/>
      </w:r>
      <w:r w:rsidRPr="00353B54">
        <w:t>; destaca também o número de petições sobre a crise da habitação em todos os Estados</w:t>
      </w:r>
      <w:r w:rsidRPr="00353B54">
        <w:noBreakHyphen/>
        <w:t>Membros; refere que a Comissão das Petições abordou as responsabilidades das empresas de combustíveis fósseis na crise do custo de vida, com preocupações relacionadas com a segurança ferroviária e a proteção dos direitos dos trabalhadores; toma nota da apreciação das petições sobre a cultura e o património nacional; recorda que a Comissão das Petições debateu várias petições sobre o cancelamento de autorizações de residência permanente de cidadãos russos; observa que a Comissão das Petições recebeu um número substancial de petições sobre o Estado de direito nos Estados</w:t>
      </w:r>
      <w:r w:rsidRPr="00353B54">
        <w:noBreakHyphen/>
        <w:t>Membros, que foram debatidas em comissão; toma nota das petições apresentadas sobre as condições de acolhimento dos imigrantes e requerentes de asilo nos Estados</w:t>
      </w:r>
      <w:r w:rsidRPr="00353B54">
        <w:noBreakHyphen/>
        <w:t>Membros e regista as petições que comunicam casos de discriminação; espera um acompanhamento adequado e informações atualizadas da Comissão sobre todas essas petições;</w:t>
      </w:r>
    </w:p>
    <w:p w14:paraId="5C69F3D7" w14:textId="77777777" w:rsidR="00092F71" w:rsidRPr="00353B54" w:rsidRDefault="00092F71" w:rsidP="00092F71">
      <w:pPr>
        <w:pStyle w:val="NormalHanging12a"/>
      </w:pPr>
      <w:r w:rsidRPr="00353B54">
        <w:t>16.</w:t>
      </w:r>
      <w:r w:rsidRPr="00353B54">
        <w:tab/>
        <w:t xml:space="preserve">Realça o importante contributo da Comissão das Petições para a proteção dos direitos das pessoas com deficiência, evidenciado pelo tratamento dado a várias petições sobre este tema, incluindo o exame da petição n.º 1056/2016 sobre a possibilidade de apresentar petições nas línguas gestuais nacionais; reconhece, nesse contexto, os esforços dos serviços do Parlamento Europeu e observa que é necessário encontrar não só a melhor solução técnica, mas também a solução mais acessível para os cidadãos surdos, a fim de comunicar com eles na sua própria língua materna, nas línguas gestuais nacionais; solicita a alteração do Regimento em estreita cooperação com a Comissão dos Assuntos Constitucionais, a fim de eliminar a comunicação obrigatória exclusivamente por escrito com os cidadãos que utilizam linguagem gestual, surdos ou com deficiência auditiva, para que, a seu pedido, possam utilizar a língua gestual durante o procedimento; observa que a educação dos alunos com deficiência, a recusa de serviços de saúde para pessoas com deficiência e a acessibilidade dos espaços e serviços públicos foram motivo de preocupação adicional para os peticionários em 2024; recorda o seminário anual da Comissão das Petições, em 2 de dezembro de 2024, sobre os direitos das pessoas com deficiência, centrado no ponto da situação da </w:t>
      </w:r>
      <w:r w:rsidRPr="00353B54">
        <w:lastRenderedPageBreak/>
        <w:t>estratégia sobre os direitos das pessoas com deficiência 2021</w:t>
      </w:r>
      <w:r w:rsidRPr="00353B54">
        <w:noBreakHyphen/>
        <w:t>2030, e solicita a integração rápida das conclusões da petição na revisão intercalar da estratégia sobre os direitos das pessoas com deficiência 2021</w:t>
      </w:r>
      <w:r w:rsidRPr="00353B54">
        <w:noBreakHyphen/>
        <w:t>2030, com metas mensuráveis e compromissos orçamentais;</w:t>
      </w:r>
    </w:p>
    <w:p w14:paraId="67BC61DC" w14:textId="77777777" w:rsidR="00092F71" w:rsidRPr="00353B54" w:rsidRDefault="00092F71" w:rsidP="00092F71">
      <w:pPr>
        <w:pStyle w:val="NormalHanging12a"/>
      </w:pPr>
      <w:r w:rsidRPr="00353B54">
        <w:t>17.</w:t>
      </w:r>
      <w:r w:rsidRPr="00353B54">
        <w:tab/>
        <w:t>Realça o papel específico de proteção desempenhado pela Comissão das Petições na UE no contexto da Convenção das Nações Unidas sobre os Direitos das Pessoas com Deficiência; destaca o importante trabalho contínuo desenvolvido pela comissão a propósito das petições sobre temas relativos à deficiência; recorda que a referência a petições sobre a necessidade do cartão de deficiência à escala da UE foi incluída na Diretiva (UE) 2024/2841 que cria o cartão europeu de deficiência e o cartão europeu de estacionamento</w:t>
      </w:r>
      <w:r w:rsidRPr="00353B54">
        <w:rPr>
          <w:rStyle w:val="FootnoteReference"/>
        </w:rPr>
        <w:footnoteReference w:id="4"/>
      </w:r>
      <w:r w:rsidRPr="00353B54">
        <w:t>; sublinha que as petições podem contribuir significativamente para o processo legislativo;</w:t>
      </w:r>
    </w:p>
    <w:p w14:paraId="41031E32" w14:textId="77777777" w:rsidR="00092F71" w:rsidRPr="00353B54" w:rsidRDefault="00092F71" w:rsidP="00092F71">
      <w:pPr>
        <w:pStyle w:val="NormalHanging12a"/>
        <w:rPr>
          <w:rFonts w:eastAsia="Calibri"/>
        </w:rPr>
      </w:pPr>
      <w:r w:rsidRPr="00353B54">
        <w:t>18.</w:t>
      </w:r>
      <w:r w:rsidRPr="00353B54">
        <w:tab/>
        <w:t>Recorda que as relações com o Provedor de Justiça Europeu representam uma das competências atribuídas à Comissão das Petições pelo Regimento do Parlamento; destaca o papel da Comissão das Petições no processo de eleição do Provedor de Justiça Europeu, em especial na organização da audição pública com todos os candidatos elegíveis, realizada em 3 de dezembro de 2024, que foi aberta a todos os deputados ao Parlamento Europeu, dando</w:t>
      </w:r>
      <w:r w:rsidRPr="00353B54">
        <w:noBreakHyphen/>
        <w:t>lhes assim a oportunidade democrática e transparente de trocar pontos de vista com os candidatos e avaliar a sua independência, qualificações e profissionalismo, bem como a sua visão para o cargo de Provedor de Justiça Europeu no âmbito da arquitetura institucional da UE; congratula</w:t>
      </w:r>
      <w:r w:rsidRPr="00353B54">
        <w:noBreakHyphen/>
        <w:t>se com a cooperação construtiva entre o Parlamento e o Provedor de Justiça Europeu, com o qual a Comissão das Petições partilha os objetivos de garantir a transparência, o profissionalismo e a integridade das instituições da UE perante os cidadãos europeus, bem como a participação na Rede Europeia de Provedores de Justiça;</w:t>
      </w:r>
    </w:p>
    <w:p w14:paraId="2FAA45DF" w14:textId="77777777" w:rsidR="00092F71" w:rsidRPr="00353B54" w:rsidRDefault="00092F71" w:rsidP="00092F71">
      <w:pPr>
        <w:pStyle w:val="NormalHanging12a"/>
        <w:rPr>
          <w:rFonts w:eastAsia="Calibri"/>
        </w:rPr>
      </w:pPr>
      <w:r w:rsidRPr="00353B54">
        <w:t>19.</w:t>
      </w:r>
      <w:r w:rsidRPr="00353B54">
        <w:tab/>
        <w:t>Encoraja os contributos regulares contínuos do Provedor de Justiça Europeu para o trabalho desenvolvido pela Comissão das Petições ao longo do ano; manifesta a firme convicção de que as instituições, os órgãos e os organismos da União têm de garantir um seguimento coerente e efetivo das recomendações do Provedor de Justiça; salienta o papel essencial do Provedor de Justiça Europeu na promoção da transparência, da boa administração e da proteção dos direitos dos cidadãos; apela a uma cooperação mais estreita entre a Comissão das Petições e o gabinete do Provedor de Justiça;</w:t>
      </w:r>
    </w:p>
    <w:p w14:paraId="32475075" w14:textId="77777777" w:rsidR="00092F71" w:rsidRPr="00353B54" w:rsidRDefault="00092F71" w:rsidP="00092F71">
      <w:pPr>
        <w:pStyle w:val="NormalHanging12a"/>
        <w:rPr>
          <w:b/>
          <w:i/>
        </w:rPr>
      </w:pPr>
      <w:r w:rsidRPr="00353B54">
        <w:t>20.</w:t>
      </w:r>
      <w:r w:rsidRPr="00353B54">
        <w:tab/>
        <w:t>Observa que, apesar do período de interrupção dos trabalhos parlamentares devido às eleições europeias, a Comissão das Petições manifestou a sua posição e formulou recomendações sobre questões importantes suscitadas nas petições, incluindo a adoção de dois relatórios sobre as missões de recolha de informações realizadas no segundo semestre de 2023, nomeadamente uma missão à Irlanda sobre os edifícios em mica e uma missão a Espanha sobre imersão linguística na Catalunha; sublinha a importância da aplicação, pelas autoridades catalãs, das recomendações formuladas pela Comissão das Petições no seu relatório de 19 de março de 2024, destinadas a salvaguardar os direitos linguísticos dos estudantes e das suas famílias;</w:t>
      </w:r>
    </w:p>
    <w:p w14:paraId="74E6672D" w14:textId="77777777" w:rsidR="00092F71" w:rsidRPr="00353B54" w:rsidRDefault="00092F71" w:rsidP="00092F71">
      <w:pPr>
        <w:pStyle w:val="NormalHanging12a"/>
      </w:pPr>
      <w:r w:rsidRPr="00353B54">
        <w:lastRenderedPageBreak/>
        <w:t>21.</w:t>
      </w:r>
      <w:r w:rsidRPr="00353B54">
        <w:tab/>
        <w:t>Toma nota do número crescente de petições relacionadas com a política de educação, em particular com o reconhecimento das qualificações de ensino entre Estados</w:t>
      </w:r>
      <w:r w:rsidRPr="00353B54">
        <w:noBreakHyphen/>
        <w:t>Membros; destaca, a esse respeito, a pergunta oral da Comissão das Petições dirigida à Comissão sobre as condições de trabalho dos professores na UE; manifesta</w:t>
      </w:r>
      <w:r w:rsidRPr="00353B54">
        <w:noBreakHyphen/>
        <w:t>se alarmado com a resposta oral da Comissão, que confirma que a escassez de professores é um desafio grave, que também se reflete nos resultados recentes do PISA, uma vez que nem um único Estado</w:t>
      </w:r>
      <w:r w:rsidRPr="00353B54">
        <w:noBreakHyphen/>
        <w:t>Membro consegue melhorar o seu desempenho em matéria de competências básicas; insta, a esse respeito, a Comissão e os Estados</w:t>
      </w:r>
      <w:r w:rsidRPr="00353B54">
        <w:noBreakHyphen/>
        <w:t>Membros a intensificarem significativamente os seus esforços para melhorar os seus sistemas de ensino escolar, aumentando simultaneamente a atratividade da profissão de docente, nomeadamente através de financiamento e de programas;</w:t>
      </w:r>
    </w:p>
    <w:p w14:paraId="46111EE9" w14:textId="77777777" w:rsidR="00092F71" w:rsidRPr="00353B54" w:rsidRDefault="00092F71" w:rsidP="00092F71">
      <w:pPr>
        <w:pStyle w:val="NormalHanging12a"/>
      </w:pPr>
      <w:r w:rsidRPr="00353B54">
        <w:t>22.</w:t>
      </w:r>
      <w:r w:rsidRPr="00353B54">
        <w:tab/>
        <w:t>Congratula</w:t>
      </w:r>
      <w:r w:rsidRPr="00353B54">
        <w:noBreakHyphen/>
        <w:t>se com a Resolução do Parlamento Europeu, de 10 de abril de 2024, sobre o tratamento de veículos pesados de mercadorias nos pontos de passagem de fronteira, com base na petição n.º 0146/2023</w:t>
      </w:r>
      <w:r w:rsidRPr="00353B54">
        <w:rPr>
          <w:rStyle w:val="FootnoteReference"/>
        </w:rPr>
        <w:footnoteReference w:id="5"/>
      </w:r>
      <w:r w:rsidRPr="00353B54">
        <w:t xml:space="preserve">; </w:t>
      </w:r>
    </w:p>
    <w:p w14:paraId="19DBAA56" w14:textId="77777777" w:rsidR="00092F71" w:rsidRPr="00353B54" w:rsidRDefault="00092F71" w:rsidP="00092F71">
      <w:pPr>
        <w:pStyle w:val="NormalHanging12a"/>
      </w:pPr>
      <w:r w:rsidRPr="00353B54">
        <w:t>23.</w:t>
      </w:r>
      <w:r w:rsidRPr="00353B54">
        <w:tab/>
        <w:t>Recorda que o Portal das Petições é um instrumento essencial para garantir um processo de petição harmonioso, eficiente e transparente; congratula</w:t>
      </w:r>
      <w:r w:rsidRPr="00353B54">
        <w:noBreakHyphen/>
        <w:t>se com as melhorias do portal que beneficiam os peticionários e salienta que devem continuar a ser envidados esforços para tornar o portal mais acessível, nomeadamente para os utilizadores de linguagem gestual, tal como solicitado na petição n.º 1056/2016, e para as pessoas com deficiência; observa que o Portal das Petições é um dos sítios Web mais visitados do Parlamento, servindo como primeiro ponto de contacto com o Parlamento para muitos cidadãos da UE;</w:t>
      </w:r>
    </w:p>
    <w:p w14:paraId="1B2268FB" w14:textId="77777777" w:rsidR="00092F71" w:rsidRPr="00353B54" w:rsidRDefault="00092F71" w:rsidP="00092F71">
      <w:pPr>
        <w:pStyle w:val="NormalHanging12a"/>
      </w:pPr>
      <w:r w:rsidRPr="00353B54">
        <w:t>24.</w:t>
      </w:r>
      <w:r w:rsidRPr="00353B54">
        <w:tab/>
        <w:t>Encarrega a sua Presidente de transmitir a presente resolução e o relatório da Comissão das Petições ao Conselho, à Comissão, ao Provedor de Justiça Europeu, aos governos e parlamentos dos Estados</w:t>
      </w:r>
      <w:r w:rsidRPr="00353B54">
        <w:noBreakHyphen/>
        <w:t>Membros, às suas comissões das petições e aos seus provedores de Justiça ou órgãos com competências similares.</w:t>
      </w:r>
    </w:p>
    <w:p w14:paraId="729454E8" w14:textId="49BC31A1" w:rsidR="00E365E1" w:rsidRPr="00353B54" w:rsidRDefault="00E365E1" w:rsidP="00BC2532">
      <w:pPr>
        <w:widowControl/>
      </w:pPr>
    </w:p>
    <w:sectPr w:rsidR="00E365E1" w:rsidRPr="00353B54" w:rsidSect="00055B3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36C79" w14:textId="77777777" w:rsidR="00271BC3" w:rsidRPr="00055B3C" w:rsidRDefault="00271BC3">
      <w:r w:rsidRPr="00055B3C">
        <w:separator/>
      </w:r>
    </w:p>
  </w:endnote>
  <w:endnote w:type="continuationSeparator" w:id="0">
    <w:p w14:paraId="37AAD6E9" w14:textId="77777777" w:rsidR="00271BC3" w:rsidRPr="00055B3C" w:rsidRDefault="00271BC3">
      <w:r w:rsidRPr="00055B3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28C84" w14:textId="77777777" w:rsidR="00064002" w:rsidRPr="00055B3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F0CF5" w14:textId="77777777" w:rsidR="00064002" w:rsidRPr="00055B3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DA7A2" w14:textId="77777777" w:rsidR="00064002" w:rsidRPr="00055B3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343BEA" w14:textId="77777777" w:rsidR="00271BC3" w:rsidRPr="00055B3C" w:rsidRDefault="00271BC3">
      <w:r w:rsidRPr="00055B3C">
        <w:separator/>
      </w:r>
    </w:p>
  </w:footnote>
  <w:footnote w:type="continuationSeparator" w:id="0">
    <w:p w14:paraId="4BC38F75" w14:textId="77777777" w:rsidR="00271BC3" w:rsidRPr="00055B3C" w:rsidRDefault="00271BC3">
      <w:r w:rsidRPr="00055B3C">
        <w:continuationSeparator/>
      </w:r>
    </w:p>
  </w:footnote>
  <w:footnote w:id="1">
    <w:p w14:paraId="3E80B332" w14:textId="113F9795" w:rsidR="00092F71" w:rsidRPr="00055B3C" w:rsidRDefault="00092F71" w:rsidP="00055B3C">
      <w:pPr>
        <w:pStyle w:val="FootnoteText"/>
        <w:ind w:left="567" w:hanging="567"/>
        <w:rPr>
          <w:sz w:val="24"/>
          <w:lang w:val="pt-PT"/>
        </w:rPr>
      </w:pPr>
      <w:r w:rsidRPr="00055B3C">
        <w:rPr>
          <w:rStyle w:val="FootnoteReference"/>
          <w:sz w:val="24"/>
          <w:lang w:val="pt-PT"/>
        </w:rPr>
        <w:footnoteRef/>
      </w:r>
      <w:r w:rsidR="00055B3C" w:rsidRPr="00055B3C">
        <w:rPr>
          <w:sz w:val="24"/>
          <w:lang w:val="pt-PT"/>
        </w:rPr>
        <w:t xml:space="preserve"> </w:t>
      </w:r>
      <w:r w:rsidR="00055B3C" w:rsidRPr="00055B3C">
        <w:rPr>
          <w:sz w:val="24"/>
          <w:lang w:val="pt-PT"/>
        </w:rPr>
        <w:tab/>
      </w:r>
      <w:r w:rsidRPr="00055B3C">
        <w:rPr>
          <w:sz w:val="24"/>
          <w:lang w:val="pt-PT"/>
        </w:rPr>
        <w:t xml:space="preserve">JO L 304 de 20.11.2010, p. 47, ELI: </w:t>
      </w:r>
      <w:hyperlink r:id="rId1" w:history="1">
        <w:r w:rsidRPr="00055B3C">
          <w:rPr>
            <w:rStyle w:val="Hyperlink"/>
            <w:sz w:val="24"/>
            <w:lang w:val="pt-PT"/>
          </w:rPr>
          <w:t>http://data.europa.eu/eli/agree_interinstit/2010/1120/oj</w:t>
        </w:r>
      </w:hyperlink>
      <w:r w:rsidRPr="00055B3C">
        <w:rPr>
          <w:sz w:val="24"/>
          <w:lang w:val="pt-PT"/>
        </w:rPr>
        <w:t xml:space="preserve">. </w:t>
      </w:r>
    </w:p>
  </w:footnote>
  <w:footnote w:id="2">
    <w:p w14:paraId="6A6753FD" w14:textId="531EC5A6" w:rsidR="00092F71" w:rsidRPr="00055B3C" w:rsidRDefault="00092F71" w:rsidP="00055B3C">
      <w:pPr>
        <w:pStyle w:val="FootnoteText"/>
        <w:ind w:left="567" w:hanging="567"/>
        <w:rPr>
          <w:sz w:val="24"/>
          <w:lang w:val="pt-PT"/>
        </w:rPr>
      </w:pPr>
      <w:r w:rsidRPr="00055B3C">
        <w:rPr>
          <w:rStyle w:val="FootnoteReference"/>
          <w:sz w:val="24"/>
          <w:lang w:val="pt-PT"/>
        </w:rPr>
        <w:footnoteRef/>
      </w:r>
      <w:r w:rsidR="00055B3C" w:rsidRPr="00055B3C">
        <w:rPr>
          <w:sz w:val="24"/>
          <w:lang w:val="pt-PT"/>
        </w:rPr>
        <w:t xml:space="preserve"> </w:t>
      </w:r>
      <w:r w:rsidR="00055B3C" w:rsidRPr="00055B3C">
        <w:rPr>
          <w:sz w:val="24"/>
          <w:lang w:val="pt-PT"/>
        </w:rPr>
        <w:tab/>
      </w:r>
      <w:r w:rsidRPr="00055B3C">
        <w:rPr>
          <w:sz w:val="24"/>
          <w:lang w:val="pt-PT"/>
        </w:rPr>
        <w:t xml:space="preserve">Diretiva (UE) 2024/1785 do Parlamento Europeu e do Conselho, de 24 de abril de 2024, que altera a Diretiva 2010/75/UE do Parlamento Europeu e do Conselho, relativa às emissões industriais (prevenção e controlo integrados da poluição), e a Diretiva 1999/31/CE do Conselho, relativa à deposição de resíduos em aterros (JO L, 2024/1785, 15.7.2024, ELI: </w:t>
      </w:r>
      <w:hyperlink r:id="rId2" w:history="1">
        <w:r w:rsidRPr="00055B3C">
          <w:rPr>
            <w:rStyle w:val="Hyperlink"/>
            <w:sz w:val="24"/>
            <w:lang w:val="pt-PT"/>
          </w:rPr>
          <w:t>http://data.europa.eu/eli/dir/2024/1785/oj</w:t>
        </w:r>
      </w:hyperlink>
      <w:r w:rsidRPr="00055B3C">
        <w:rPr>
          <w:sz w:val="24"/>
          <w:lang w:val="pt-PT"/>
        </w:rPr>
        <w:t xml:space="preserve">). </w:t>
      </w:r>
    </w:p>
  </w:footnote>
  <w:footnote w:id="3">
    <w:p w14:paraId="190DEE0C" w14:textId="07C01353" w:rsidR="00092F71" w:rsidRPr="00055B3C" w:rsidRDefault="00092F71" w:rsidP="00055B3C">
      <w:pPr>
        <w:pStyle w:val="FootnoteText"/>
        <w:ind w:left="567" w:hanging="567"/>
        <w:rPr>
          <w:sz w:val="24"/>
          <w:lang w:val="pt-PT"/>
        </w:rPr>
      </w:pPr>
      <w:r w:rsidRPr="00055B3C">
        <w:rPr>
          <w:rStyle w:val="FootnoteReference"/>
          <w:sz w:val="24"/>
          <w:lang w:val="pt-PT"/>
        </w:rPr>
        <w:footnoteRef/>
      </w:r>
      <w:r w:rsidR="00055B3C" w:rsidRPr="00055B3C">
        <w:rPr>
          <w:sz w:val="24"/>
          <w:lang w:val="pt-PT"/>
        </w:rPr>
        <w:t xml:space="preserve"> </w:t>
      </w:r>
      <w:r w:rsidR="00055B3C" w:rsidRPr="00055B3C">
        <w:rPr>
          <w:sz w:val="24"/>
          <w:lang w:val="pt-PT"/>
        </w:rPr>
        <w:tab/>
      </w:r>
      <w:r w:rsidRPr="00055B3C">
        <w:rPr>
          <w:sz w:val="24"/>
          <w:lang w:val="pt-PT"/>
        </w:rPr>
        <w:t xml:space="preserve">Regulamento (UE) 2016/679 do Parlamento Europeu e do Conselho, de 27 de abril de 2016, relativo à proteção das pessoas singulares no que diz respeito ao tratamento de dados pessoais e à livre circulação desses dados e que revoga a Diretiva 95/46/CE (Regulamento Geral sobre a Proteção de Dados) (JO L 119 de 4.5.2016, p. 1, ELI: </w:t>
      </w:r>
      <w:hyperlink r:id="rId3" w:history="1">
        <w:r w:rsidRPr="00055B3C">
          <w:rPr>
            <w:rStyle w:val="Hyperlink"/>
            <w:sz w:val="24"/>
            <w:lang w:val="pt-PT"/>
          </w:rPr>
          <w:t>http://data.europa.eu/eli/reg/2016/679/oj</w:t>
        </w:r>
      </w:hyperlink>
      <w:r w:rsidRPr="00055B3C">
        <w:rPr>
          <w:sz w:val="24"/>
          <w:lang w:val="pt-PT"/>
        </w:rPr>
        <w:t>).</w:t>
      </w:r>
    </w:p>
  </w:footnote>
  <w:footnote w:id="4">
    <w:p w14:paraId="467213BB" w14:textId="3D7CE91D" w:rsidR="00092F71" w:rsidRPr="00055B3C" w:rsidRDefault="00092F71" w:rsidP="00055B3C">
      <w:pPr>
        <w:pStyle w:val="FootnoteText"/>
        <w:ind w:left="567" w:hanging="567"/>
        <w:rPr>
          <w:sz w:val="24"/>
          <w:lang w:val="pt-PT"/>
        </w:rPr>
      </w:pPr>
      <w:r w:rsidRPr="00055B3C">
        <w:rPr>
          <w:rStyle w:val="FootnoteReference"/>
          <w:sz w:val="24"/>
          <w:lang w:val="pt-PT"/>
        </w:rPr>
        <w:footnoteRef/>
      </w:r>
      <w:r w:rsidR="00055B3C" w:rsidRPr="00055B3C">
        <w:rPr>
          <w:sz w:val="24"/>
          <w:lang w:val="pt-PT"/>
        </w:rPr>
        <w:t xml:space="preserve"> </w:t>
      </w:r>
      <w:r w:rsidR="00055B3C" w:rsidRPr="00055B3C">
        <w:rPr>
          <w:sz w:val="24"/>
          <w:lang w:val="pt-PT"/>
        </w:rPr>
        <w:tab/>
      </w:r>
      <w:r w:rsidRPr="00055B3C">
        <w:rPr>
          <w:sz w:val="24"/>
          <w:lang w:val="pt-PT"/>
        </w:rPr>
        <w:t>Diretiva (UE) 2024/2841 do Parlamento Europeu e do Conselho, de 23 de outubro de 2024, que cria o cartão europeu de deficiência e o cartão europeu de estacionamento para pessoas com deficiência (JO L, 2024/2841, 14.11.2024, ELI: </w:t>
      </w:r>
      <w:hyperlink r:id="rId4" w:tgtFrame="_blank" w:tooltip="Dá acesso a este documento através do URI do ELI." w:history="1">
        <w:r w:rsidRPr="00055B3C">
          <w:rPr>
            <w:rStyle w:val="Hyperlink"/>
            <w:sz w:val="24"/>
            <w:lang w:val="pt-PT"/>
          </w:rPr>
          <w:t>http://data.europa.eu/eli/dir/2024/2841/oj</w:t>
        </w:r>
      </w:hyperlink>
      <w:r w:rsidRPr="00055B3C">
        <w:rPr>
          <w:sz w:val="24"/>
          <w:lang w:val="pt-PT"/>
        </w:rPr>
        <w:t>).</w:t>
      </w:r>
    </w:p>
  </w:footnote>
  <w:footnote w:id="5">
    <w:p w14:paraId="216BD0D1" w14:textId="505D77E5" w:rsidR="00092F71" w:rsidRPr="00C97C42" w:rsidRDefault="00092F71" w:rsidP="00055B3C">
      <w:pPr>
        <w:pStyle w:val="FootnoteText"/>
        <w:ind w:left="567" w:hanging="567"/>
        <w:rPr>
          <w:sz w:val="24"/>
          <w:lang w:val="fi-FI"/>
        </w:rPr>
      </w:pPr>
      <w:r w:rsidRPr="00055B3C">
        <w:rPr>
          <w:rStyle w:val="FootnoteReference"/>
          <w:sz w:val="24"/>
          <w:lang w:val="pt-PT"/>
        </w:rPr>
        <w:footnoteRef/>
      </w:r>
      <w:r w:rsidR="00055B3C" w:rsidRPr="00C97C42">
        <w:rPr>
          <w:sz w:val="24"/>
          <w:lang w:val="fi-FI"/>
        </w:rPr>
        <w:t xml:space="preserve"> </w:t>
      </w:r>
      <w:r w:rsidR="00055B3C" w:rsidRPr="00C97C42">
        <w:rPr>
          <w:sz w:val="24"/>
          <w:lang w:val="fi-FI"/>
        </w:rPr>
        <w:tab/>
      </w:r>
      <w:r w:rsidRPr="00C97C42">
        <w:rPr>
          <w:sz w:val="24"/>
          <w:lang w:val="fi-FI"/>
        </w:rPr>
        <w:t xml:space="preserve">JO C, C/2025/1278, 13.3.2025, ELI: </w:t>
      </w:r>
      <w:hyperlink r:id="rId5" w:history="1">
        <w:r w:rsidRPr="00C97C42">
          <w:rPr>
            <w:rStyle w:val="Hyperlink"/>
            <w:sz w:val="24"/>
            <w:lang w:val="fi-FI"/>
          </w:rPr>
          <w:t>http://data.europa.eu/eli/C/2025/1278/oj</w:t>
        </w:r>
      </w:hyperlink>
      <w:r w:rsidRPr="00C97C42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2BA96" w14:textId="77777777" w:rsidR="00064002" w:rsidRPr="00055B3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4FF78" w14:textId="77777777" w:rsidR="00064002" w:rsidRPr="00055B3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42854" w14:textId="77777777" w:rsidR="00064002" w:rsidRPr="00055B3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53363902">
    <w:abstractNumId w:val="9"/>
  </w:num>
  <w:num w:numId="2" w16cid:durableId="1932591516">
    <w:abstractNumId w:val="9"/>
  </w:num>
  <w:num w:numId="3" w16cid:durableId="1371690935">
    <w:abstractNumId w:val="7"/>
  </w:num>
  <w:num w:numId="4" w16cid:durableId="1228225892">
    <w:abstractNumId w:val="7"/>
  </w:num>
  <w:num w:numId="5" w16cid:durableId="1030104182">
    <w:abstractNumId w:val="6"/>
  </w:num>
  <w:num w:numId="6" w16cid:durableId="13238492">
    <w:abstractNumId w:val="6"/>
  </w:num>
  <w:num w:numId="7" w16cid:durableId="438837341">
    <w:abstractNumId w:val="5"/>
  </w:num>
  <w:num w:numId="8" w16cid:durableId="1457018171">
    <w:abstractNumId w:val="5"/>
  </w:num>
  <w:num w:numId="9" w16cid:durableId="890339105">
    <w:abstractNumId w:val="4"/>
  </w:num>
  <w:num w:numId="10" w16cid:durableId="1494448246">
    <w:abstractNumId w:val="4"/>
  </w:num>
  <w:num w:numId="11" w16cid:durableId="1575050645">
    <w:abstractNumId w:val="8"/>
  </w:num>
  <w:num w:numId="12" w16cid:durableId="1579553282">
    <w:abstractNumId w:val="8"/>
  </w:num>
  <w:num w:numId="13" w16cid:durableId="2010326042">
    <w:abstractNumId w:val="3"/>
  </w:num>
  <w:num w:numId="14" w16cid:durableId="587537854">
    <w:abstractNumId w:val="3"/>
  </w:num>
  <w:num w:numId="15" w16cid:durableId="1820809048">
    <w:abstractNumId w:val="2"/>
  </w:num>
  <w:num w:numId="16" w16cid:durableId="503593849">
    <w:abstractNumId w:val="2"/>
  </w:num>
  <w:num w:numId="17" w16cid:durableId="366875382">
    <w:abstractNumId w:val="1"/>
  </w:num>
  <w:num w:numId="18" w16cid:durableId="1005329563">
    <w:abstractNumId w:val="1"/>
  </w:num>
  <w:num w:numId="19" w16cid:durableId="1538466125">
    <w:abstractNumId w:val="0"/>
  </w:num>
  <w:num w:numId="20" w16cid:durableId="898975318">
    <w:abstractNumId w:val="0"/>
  </w:num>
  <w:num w:numId="21" w16cid:durableId="1790121867">
    <w:abstractNumId w:val="9"/>
  </w:num>
  <w:num w:numId="22" w16cid:durableId="1178156305">
    <w:abstractNumId w:val="7"/>
  </w:num>
  <w:num w:numId="23" w16cid:durableId="865286522">
    <w:abstractNumId w:val="6"/>
  </w:num>
  <w:num w:numId="24" w16cid:durableId="1009940696">
    <w:abstractNumId w:val="5"/>
  </w:num>
  <w:num w:numId="25" w16cid:durableId="1741639610">
    <w:abstractNumId w:val="4"/>
  </w:num>
  <w:num w:numId="26" w16cid:durableId="1306278126">
    <w:abstractNumId w:val="8"/>
  </w:num>
  <w:num w:numId="27" w16cid:durableId="253786816">
    <w:abstractNumId w:val="3"/>
  </w:num>
  <w:num w:numId="28" w16cid:durableId="1817455108">
    <w:abstractNumId w:val="2"/>
  </w:num>
  <w:num w:numId="29" w16cid:durableId="210196158">
    <w:abstractNumId w:val="1"/>
  </w:num>
  <w:num w:numId="30" w16cid:durableId="579413842">
    <w:abstractNumId w:val="0"/>
  </w:num>
  <w:num w:numId="31" w16cid:durableId="766848157">
    <w:abstractNumId w:val="9"/>
  </w:num>
  <w:num w:numId="32" w16cid:durableId="2118869465">
    <w:abstractNumId w:val="7"/>
  </w:num>
  <w:num w:numId="33" w16cid:durableId="1436512489">
    <w:abstractNumId w:val="6"/>
  </w:num>
  <w:num w:numId="34" w16cid:durableId="752118812">
    <w:abstractNumId w:val="5"/>
  </w:num>
  <w:num w:numId="35" w16cid:durableId="1282224191">
    <w:abstractNumId w:val="4"/>
  </w:num>
  <w:num w:numId="36" w16cid:durableId="292565694">
    <w:abstractNumId w:val="8"/>
  </w:num>
  <w:num w:numId="37" w16cid:durableId="500507115">
    <w:abstractNumId w:val="3"/>
  </w:num>
  <w:num w:numId="38" w16cid:durableId="243994167">
    <w:abstractNumId w:val="2"/>
  </w:num>
  <w:num w:numId="39" w16cid:durableId="759983699">
    <w:abstractNumId w:val="1"/>
  </w:num>
  <w:num w:numId="40" w16cid:durableId="967468890">
    <w:abstractNumId w:val="0"/>
  </w:num>
  <w:num w:numId="41" w16cid:durableId="391779946">
    <w:abstractNumId w:val="10"/>
  </w:num>
  <w:num w:numId="42" w16cid:durableId="86318113">
    <w:abstractNumId w:val="10"/>
  </w:num>
  <w:num w:numId="43" w16cid:durableId="273483996">
    <w:abstractNumId w:val="10"/>
  </w:num>
  <w:num w:numId="44" w16cid:durableId="1814341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0/2025"/>
    <w:docVar w:name="dvlangue" w:val="PT"/>
    <w:docVar w:name="dvnumam" w:val="0"/>
    <w:docVar w:name="dvpe" w:val="773.363"/>
    <w:docVar w:name="dvrapporteur" w:val="Relator: "/>
    <w:docVar w:name="dvtitre" w:val="Resolução do Parlamento Europeu, de ... de ... de 2025,_x000d__x000a_ sobre o resultado das deliberações da Comissão das Petições no ano de 2024(2025/2114(INI))"/>
  </w:docVars>
  <w:rsids>
    <w:rsidRoot w:val="00271BC3"/>
    <w:rsid w:val="00002272"/>
    <w:rsid w:val="00055B3C"/>
    <w:rsid w:val="00064002"/>
    <w:rsid w:val="000677B9"/>
    <w:rsid w:val="000831BA"/>
    <w:rsid w:val="00092F71"/>
    <w:rsid w:val="000A42CC"/>
    <w:rsid w:val="000E7DD9"/>
    <w:rsid w:val="0010095E"/>
    <w:rsid w:val="00125B37"/>
    <w:rsid w:val="00187494"/>
    <w:rsid w:val="001F32AE"/>
    <w:rsid w:val="00271BC3"/>
    <w:rsid w:val="002767FF"/>
    <w:rsid w:val="002B18FE"/>
    <w:rsid w:val="002B5493"/>
    <w:rsid w:val="003421B5"/>
    <w:rsid w:val="00343214"/>
    <w:rsid w:val="00353B5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2532"/>
    <w:rsid w:val="00BD48FE"/>
    <w:rsid w:val="00BD7BD8"/>
    <w:rsid w:val="00BE6ADC"/>
    <w:rsid w:val="00C05BFE"/>
    <w:rsid w:val="00C23CD4"/>
    <w:rsid w:val="00C61C0C"/>
    <w:rsid w:val="00C941CB"/>
    <w:rsid w:val="00C97C42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15B0"/>
    <w:rsid w:val="00F74202"/>
    <w:rsid w:val="00F87713"/>
    <w:rsid w:val="00FA6258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6CA52D"/>
  <w15:chartTrackingRefBased/>
  <w15:docId w15:val="{F82CFC6D-5C4F-4346-BE76-0167F1370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092F71"/>
    <w:pPr>
      <w:spacing w:after="240"/>
      <w:ind w:left="567" w:hanging="567"/>
    </w:pPr>
  </w:style>
  <w:style w:type="paragraph" w:customStyle="1" w:styleId="EPComma">
    <w:name w:val="EPComma"/>
    <w:basedOn w:val="Normal"/>
    <w:uiPriority w:val="99"/>
    <w:rsid w:val="00092F71"/>
    <w:pPr>
      <w:spacing w:before="480" w:after="240"/>
    </w:pPr>
  </w:style>
  <w:style w:type="character" w:styleId="Hyperlink">
    <w:name w:val="Hyperlink"/>
    <w:basedOn w:val="DefaultParagraphFont"/>
    <w:rsid w:val="00092F71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092F71"/>
    <w:rPr>
      <w:sz w:val="24"/>
      <w:lang w:val="pt-PT"/>
    </w:rPr>
  </w:style>
  <w:style w:type="paragraph" w:styleId="Revision">
    <w:name w:val="Revision"/>
    <w:hidden/>
    <w:uiPriority w:val="99"/>
    <w:semiHidden/>
    <w:rsid w:val="00BC2532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16/679/oj" TargetMode="External"/><Relationship Id="rId2" Type="http://schemas.openxmlformats.org/officeDocument/2006/relationships/hyperlink" Target="http://data.europa.eu/eli/dir/2024/1785/oj" TargetMode="External"/><Relationship Id="rId1" Type="http://schemas.openxmlformats.org/officeDocument/2006/relationships/hyperlink" Target="http://data.europa.eu/eli/agree_interinstit/2010/1120/oj" TargetMode="External"/><Relationship Id="rId5" Type="http://schemas.openxmlformats.org/officeDocument/2006/relationships/hyperlink" Target="http://data.europa.eu/eli/C/2025/1278/oj" TargetMode="External"/><Relationship Id="rId4" Type="http://schemas.openxmlformats.org/officeDocument/2006/relationships/hyperlink" Target="http://data.europa.eu/eli/dir/2024/284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4771</Words>
  <Characters>26144</Characters>
  <Application>Microsoft Office Word</Application>
  <DocSecurity>0</DocSecurity>
  <Lines>217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2025-10-09T11:15:00Z</dcterms:created>
  <dcterms:modified xsi:type="dcterms:W3CDTF">2025-10-09T11:15:00Z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A10-0170/2025</vt:lpwstr>
  </property>
  <property fmtid="{D5CDD505-2E9C-101B-9397-08002B2CF9AE}" pid="4" name="&lt;Type&gt;">
    <vt:lpwstr>RR</vt:lpwstr>
  </property>
</Properties>
</file>