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02F" w14:paraId="38B2C937" w14:textId="77777777" w:rsidTr="0010095E">
        <w:trPr>
          <w:trHeight w:hRule="exact" w:val="1418"/>
        </w:trPr>
        <w:tc>
          <w:tcPr>
            <w:tcW w:w="6804" w:type="dxa"/>
            <w:shd w:val="clear" w:color="auto" w:fill="auto"/>
            <w:vAlign w:val="center"/>
          </w:tcPr>
          <w:p w14:paraId="1094F64E" w14:textId="77777777" w:rsidR="00751A4A" w:rsidRPr="007A102F" w:rsidRDefault="002746BF" w:rsidP="0010095E">
            <w:pPr>
              <w:pStyle w:val="EPName"/>
            </w:pPr>
            <w:r w:rsidRPr="007A102F">
              <w:t>Parlamentul European</w:t>
            </w:r>
          </w:p>
          <w:p w14:paraId="3DB9B992" w14:textId="77777777" w:rsidR="00751A4A" w:rsidRPr="007A102F" w:rsidRDefault="005F1B17" w:rsidP="005F1B17">
            <w:pPr>
              <w:pStyle w:val="EPTerm"/>
              <w:rPr>
                <w:rStyle w:val="HideTWBExt"/>
                <w:noProof w:val="0"/>
                <w:vanish w:val="0"/>
                <w:color w:val="auto"/>
              </w:rPr>
            </w:pPr>
            <w:r w:rsidRPr="007A102F">
              <w:t>2024</w:t>
            </w:r>
            <w:r w:rsidR="00817416" w:rsidRPr="007A102F">
              <w:t>-202</w:t>
            </w:r>
            <w:r w:rsidRPr="007A102F">
              <w:t>9</w:t>
            </w:r>
          </w:p>
        </w:tc>
        <w:tc>
          <w:tcPr>
            <w:tcW w:w="2268" w:type="dxa"/>
            <w:shd w:val="clear" w:color="auto" w:fill="auto"/>
          </w:tcPr>
          <w:p w14:paraId="1910E876" w14:textId="77777777" w:rsidR="00751A4A" w:rsidRPr="007A102F" w:rsidRDefault="00187494" w:rsidP="0010095E">
            <w:pPr>
              <w:pStyle w:val="EPLogo"/>
            </w:pPr>
            <w:r w:rsidRPr="007A102F">
              <w:rPr>
                <w:noProof/>
                <w:lang w:eastAsia="ja-JP"/>
              </w:rPr>
              <w:drawing>
                <wp:inline distT="0" distB="0" distL="0" distR="0" wp14:anchorId="2A8C61F9" wp14:editId="669756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DE0E5C" w14:textId="77777777" w:rsidR="00D058B8" w:rsidRPr="007A102F" w:rsidRDefault="00D058B8" w:rsidP="004C5D52">
      <w:pPr>
        <w:pStyle w:val="LineTop"/>
      </w:pPr>
    </w:p>
    <w:p w14:paraId="0AD9AEED" w14:textId="77777777" w:rsidR="00680577" w:rsidRPr="007A102F" w:rsidRDefault="002746BF" w:rsidP="00680577">
      <w:pPr>
        <w:pStyle w:val="EPBodyTA1"/>
      </w:pPr>
      <w:r w:rsidRPr="007A102F">
        <w:t>TEXTE ADOPTATE</w:t>
      </w:r>
    </w:p>
    <w:p w14:paraId="5C1862DB" w14:textId="77777777" w:rsidR="00D058B8" w:rsidRPr="007A102F" w:rsidRDefault="00D058B8" w:rsidP="00D058B8">
      <w:pPr>
        <w:pStyle w:val="LineBottom"/>
      </w:pPr>
    </w:p>
    <w:p w14:paraId="2E956492" w14:textId="0FB76F4A" w:rsidR="002746BF" w:rsidRPr="007A102F" w:rsidRDefault="002746BF" w:rsidP="002746BF">
      <w:pPr>
        <w:pStyle w:val="ATHeading1"/>
      </w:pPr>
      <w:bookmarkStart w:id="0" w:name="TANumber"/>
      <w:r w:rsidRPr="007A102F">
        <w:t>P10_TA(2025)</w:t>
      </w:r>
      <w:bookmarkEnd w:id="0"/>
      <w:r w:rsidR="007A102F" w:rsidRPr="007A102F">
        <w:t>0</w:t>
      </w:r>
      <w:r w:rsidR="007A102F" w:rsidRPr="007A102F">
        <w:t>228</w:t>
      </w:r>
    </w:p>
    <w:p w14:paraId="343FF5EE" w14:textId="77777777" w:rsidR="002746BF" w:rsidRPr="007A102F" w:rsidRDefault="002746BF" w:rsidP="002746BF">
      <w:pPr>
        <w:pStyle w:val="ATHeading2"/>
      </w:pPr>
      <w:bookmarkStart w:id="1" w:name="title"/>
      <w:r w:rsidRPr="007A102F">
        <w:t>Deliberările Comisiei pentru petiții din 2024</w:t>
      </w:r>
      <w:bookmarkEnd w:id="1"/>
    </w:p>
    <w:p w14:paraId="14CA6A7B" w14:textId="77777777" w:rsidR="002746BF" w:rsidRPr="007A102F" w:rsidRDefault="002746BF" w:rsidP="002746BF">
      <w:pPr>
        <w:rPr>
          <w:i/>
          <w:vanish/>
        </w:rPr>
      </w:pPr>
      <w:r w:rsidRPr="007A102F">
        <w:rPr>
          <w:i/>
        </w:rPr>
        <w:fldChar w:fldCharType="begin"/>
      </w:r>
      <w:r w:rsidRPr="007A102F">
        <w:rPr>
          <w:i/>
        </w:rPr>
        <w:instrText xml:space="preserve"> TC"(</w:instrText>
      </w:r>
      <w:bookmarkStart w:id="2" w:name="DocNumber"/>
      <w:r w:rsidRPr="007A102F">
        <w:rPr>
          <w:i/>
        </w:rPr>
        <w:instrText>A10-0170/2025</w:instrText>
      </w:r>
      <w:bookmarkEnd w:id="2"/>
      <w:r w:rsidRPr="007A102F">
        <w:rPr>
          <w:i/>
        </w:rPr>
        <w:instrText xml:space="preserve"> - Raportor: </w:instrText>
      </w:r>
      <w:proofErr w:type="spellStart"/>
      <w:r w:rsidRPr="007A102F">
        <w:rPr>
          <w:i/>
        </w:rPr>
        <w:instrText>Fredis</w:instrText>
      </w:r>
      <w:proofErr w:type="spellEnd"/>
      <w:r w:rsidRPr="007A102F">
        <w:rPr>
          <w:i/>
        </w:rPr>
        <w:instrText xml:space="preserve"> </w:instrText>
      </w:r>
      <w:proofErr w:type="spellStart"/>
      <w:r w:rsidRPr="007A102F">
        <w:rPr>
          <w:i/>
        </w:rPr>
        <w:instrText>Beleris</w:instrText>
      </w:r>
      <w:proofErr w:type="spellEnd"/>
      <w:r w:rsidRPr="007A102F">
        <w:rPr>
          <w:i/>
        </w:rPr>
        <w:instrText xml:space="preserve">)"\l3 \n&gt; \* MERGEFORMAT </w:instrText>
      </w:r>
      <w:r w:rsidRPr="007A102F">
        <w:rPr>
          <w:i/>
        </w:rPr>
        <w:fldChar w:fldCharType="end"/>
      </w:r>
    </w:p>
    <w:p w14:paraId="34639AF2" w14:textId="77777777" w:rsidR="002746BF" w:rsidRPr="007A102F" w:rsidRDefault="002746BF" w:rsidP="002746BF">
      <w:pPr>
        <w:rPr>
          <w:vanish/>
        </w:rPr>
      </w:pPr>
      <w:bookmarkStart w:id="3" w:name="Commission"/>
      <w:r w:rsidRPr="007A102F">
        <w:rPr>
          <w:vanish/>
        </w:rPr>
        <w:t>Comisia pentru petiții</w:t>
      </w:r>
      <w:bookmarkEnd w:id="3"/>
    </w:p>
    <w:p w14:paraId="6C3BFA79" w14:textId="77777777" w:rsidR="002746BF" w:rsidRPr="007A102F" w:rsidRDefault="002746BF" w:rsidP="002746BF">
      <w:pPr>
        <w:rPr>
          <w:vanish/>
        </w:rPr>
      </w:pPr>
      <w:bookmarkStart w:id="4" w:name="PE"/>
      <w:r w:rsidRPr="007A102F">
        <w:rPr>
          <w:vanish/>
        </w:rPr>
        <w:t>PE773.363</w:t>
      </w:r>
      <w:bookmarkEnd w:id="4"/>
    </w:p>
    <w:p w14:paraId="5404D583" w14:textId="77777777" w:rsidR="002746BF" w:rsidRPr="007A102F" w:rsidRDefault="002746BF" w:rsidP="002746BF">
      <w:pPr>
        <w:pStyle w:val="ATHeading3"/>
      </w:pPr>
      <w:bookmarkStart w:id="5" w:name="Sujet"/>
      <w:r w:rsidRPr="007A102F">
        <w:t>Rezoluția Parlamentului European din 9 octombrie 2025 referitoare la deliberările Comisiei pentru petiții din cursul anului 2024</w:t>
      </w:r>
      <w:bookmarkEnd w:id="5"/>
      <w:r w:rsidRPr="007A102F">
        <w:t xml:space="preserve"> </w:t>
      </w:r>
      <w:bookmarkStart w:id="6" w:name="References"/>
      <w:r w:rsidRPr="007A102F">
        <w:t>(2025/2114(INI))</w:t>
      </w:r>
      <w:bookmarkEnd w:id="6"/>
    </w:p>
    <w:p w14:paraId="425774DD" w14:textId="77777777" w:rsidR="00A233B3" w:rsidRPr="007A102F" w:rsidRDefault="00A233B3" w:rsidP="00A233B3">
      <w:pPr>
        <w:pStyle w:val="EPComma"/>
      </w:pPr>
      <w:r w:rsidRPr="007A102F">
        <w:rPr>
          <w:i/>
        </w:rPr>
        <w:t>Parlamentul European</w:t>
      </w:r>
      <w:r w:rsidRPr="007A102F">
        <w:t>,</w:t>
      </w:r>
    </w:p>
    <w:p w14:paraId="302B1FDF" w14:textId="77777777" w:rsidR="00A233B3" w:rsidRPr="007A102F" w:rsidRDefault="00A233B3" w:rsidP="00A233B3">
      <w:pPr>
        <w:pStyle w:val="NormalHanging12a"/>
      </w:pPr>
      <w:r w:rsidRPr="007A102F">
        <w:t>–</w:t>
      </w:r>
      <w:r w:rsidRPr="007A102F">
        <w:tab/>
        <w:t>având în vedere rezoluțiile sale anterioare referitoare la deliberările Comisiei pentru petiții,</w:t>
      </w:r>
    </w:p>
    <w:p w14:paraId="017282D6" w14:textId="77777777" w:rsidR="00A233B3" w:rsidRPr="007A102F" w:rsidRDefault="00A233B3" w:rsidP="00A233B3">
      <w:pPr>
        <w:pStyle w:val="NormalHanging12a"/>
      </w:pPr>
      <w:r w:rsidRPr="007A102F">
        <w:t>–</w:t>
      </w:r>
      <w:r w:rsidRPr="007A102F">
        <w:tab/>
        <w:t>având în vedere articolele 10 și 11 din Tratatul privind Uniunea Europeană,</w:t>
      </w:r>
    </w:p>
    <w:p w14:paraId="2111F089" w14:textId="77777777" w:rsidR="00A233B3" w:rsidRPr="007A102F" w:rsidRDefault="00A233B3" w:rsidP="00A233B3">
      <w:pPr>
        <w:pStyle w:val="NormalHanging12a"/>
      </w:pPr>
      <w:r w:rsidRPr="007A102F">
        <w:t>–</w:t>
      </w:r>
      <w:r w:rsidRPr="007A102F">
        <w:tab/>
        <w:t>având în vedere articolele 20, 24 și 227 din Tratatul privind funcționarea Uniunii Europene (TFUE), referitoare la dreptul cetățenilor și rezidenților UE de a adresa petiții Parlamentului European,</w:t>
      </w:r>
    </w:p>
    <w:p w14:paraId="4845725D" w14:textId="77777777" w:rsidR="00A233B3" w:rsidRPr="007A102F" w:rsidRDefault="00A233B3" w:rsidP="00A233B3">
      <w:pPr>
        <w:pStyle w:val="NormalHanging12a"/>
      </w:pPr>
      <w:r w:rsidRPr="007A102F">
        <w:t>–</w:t>
      </w:r>
      <w:r w:rsidRPr="007A102F">
        <w:tab/>
        <w:t>având în vedere articolul 228 din TFUE privind rolul și funcțiile Ombudsmanului European,</w:t>
      </w:r>
    </w:p>
    <w:p w14:paraId="2B4140C7" w14:textId="77777777" w:rsidR="00A233B3" w:rsidRPr="007A102F" w:rsidRDefault="00A233B3" w:rsidP="00A233B3">
      <w:pPr>
        <w:pStyle w:val="NormalHanging12a"/>
      </w:pPr>
      <w:r w:rsidRPr="007A102F">
        <w:t>–</w:t>
      </w:r>
      <w:r w:rsidRPr="007A102F">
        <w:tab/>
        <w:t>având în vedere articolul 44 din Carta drepturilor fundamentale a Uniunii Europene privind dreptul de a adresa petiții Parlamentului European,</w:t>
      </w:r>
    </w:p>
    <w:p w14:paraId="015ECC24" w14:textId="77777777" w:rsidR="00A233B3" w:rsidRPr="007A102F" w:rsidRDefault="00A233B3" w:rsidP="00A233B3">
      <w:pPr>
        <w:pStyle w:val="NormalHanging12a"/>
      </w:pPr>
      <w:r w:rsidRPr="007A102F">
        <w:t>–</w:t>
      </w:r>
      <w:r w:rsidRPr="007A102F">
        <w:tab/>
        <w:t>având în vedere dispozițiile din TFUE referitoare la procedura de constatare a neîndeplinirii obligațiilor, în special articolele 258 și 260,</w:t>
      </w:r>
    </w:p>
    <w:p w14:paraId="2CCA3D3F" w14:textId="77777777" w:rsidR="00A233B3" w:rsidRPr="007A102F" w:rsidRDefault="00A233B3" w:rsidP="00A233B3">
      <w:pPr>
        <w:pStyle w:val="NormalHanging12a"/>
      </w:pPr>
      <w:r w:rsidRPr="007A102F">
        <w:t>–</w:t>
      </w:r>
      <w:r w:rsidRPr="007A102F">
        <w:tab/>
        <w:t>având în vedere articolul 55 și articolul 233 alineatul (7) din Regulamentul său de procedură,</w:t>
      </w:r>
    </w:p>
    <w:p w14:paraId="659C6E41" w14:textId="77777777" w:rsidR="00A233B3" w:rsidRPr="007A102F" w:rsidRDefault="00A233B3" w:rsidP="00A233B3">
      <w:pPr>
        <w:pStyle w:val="NormalHanging12a"/>
      </w:pPr>
      <w:r w:rsidRPr="007A102F">
        <w:t>–</w:t>
      </w:r>
      <w:r w:rsidRPr="007A102F">
        <w:tab/>
        <w:t>având în vedere raportul Comisiei pentru petiții (A10-0170/2025),</w:t>
      </w:r>
    </w:p>
    <w:p w14:paraId="3D3EAD2F" w14:textId="77777777" w:rsidR="00A233B3" w:rsidRPr="007A102F" w:rsidRDefault="00A233B3" w:rsidP="00A233B3">
      <w:pPr>
        <w:pStyle w:val="NormalHanging12a"/>
      </w:pPr>
      <w:r w:rsidRPr="007A102F">
        <w:t>A.</w:t>
      </w:r>
      <w:r w:rsidRPr="007A102F">
        <w:tab/>
        <w:t xml:space="preserve">întrucât în urma alegerilor europene, care au avut loc între 6 și 9 iunie 2024, și în urma constituirii noului Parlament la 16 iulie 2024, Comisia pentru petiții și-a organizat reuniunea constitutivă la 23 iulie 2024; </w:t>
      </w:r>
    </w:p>
    <w:p w14:paraId="2886C615" w14:textId="77777777" w:rsidR="00A233B3" w:rsidRPr="007A102F" w:rsidRDefault="00A233B3" w:rsidP="00A233B3">
      <w:pPr>
        <w:pStyle w:val="NormalHanging12a"/>
      </w:pPr>
      <w:r w:rsidRPr="007A102F">
        <w:t>B.</w:t>
      </w:r>
      <w:r w:rsidRPr="007A102F">
        <w:tab/>
        <w:t>întrucât raportul anual referitor la rezultatul deliberărilor Comisiei pentru petiții își propune să prezinte o analiză a petițiilor primite în 2024 și a relațiilor cu alte instituții, precum și să ofere o imagine fidelă a obiectivelor atinse în 2024;</w:t>
      </w:r>
    </w:p>
    <w:p w14:paraId="5569DD95" w14:textId="77777777" w:rsidR="00A233B3" w:rsidRPr="007A102F" w:rsidRDefault="00A233B3" w:rsidP="00A233B3">
      <w:pPr>
        <w:pStyle w:val="NormalHanging12a"/>
      </w:pPr>
      <w:r w:rsidRPr="007A102F">
        <w:lastRenderedPageBreak/>
        <w:t>C.</w:t>
      </w:r>
      <w:r w:rsidRPr="007A102F">
        <w:tab/>
        <w:t>întrucât în 2024 Parlamentul a primit 1 518 petiții, ceea ce reprezintă o creștere cu 4,3 % față de cele 1 452 de petiții pe care le-a primit în 2023 și cu 19,8 % față de cele 1 217 petiții pe care le-a primit în 2022; întrucât numărul total de petiții primite continuă să fie evident mai mic decât nivelul maxim atins în 2013 și 2014, când Parlamentul a primit 2 891 și, respectiv, 2 715 petiții;</w:t>
      </w:r>
    </w:p>
    <w:p w14:paraId="596681AE" w14:textId="77777777" w:rsidR="00A233B3" w:rsidRPr="007A102F" w:rsidRDefault="00A233B3" w:rsidP="00A233B3">
      <w:pPr>
        <w:pStyle w:val="NormalHanging12a"/>
      </w:pPr>
      <w:r w:rsidRPr="007A102F">
        <w:t>D.</w:t>
      </w:r>
      <w:r w:rsidRPr="007A102F">
        <w:tab/>
        <w:t>întrucât, în 2024, 15 661 de utilizatori au susținut petiții pe portalul online pentru petiții al Parlamentului, ceea ce reprezintă o scădere considerabilă față de 26 331 de utilizatori în 2023 și 22 441 în 2022; întrucât și numărul clicurilor de susținere a scăzut la 17 745 în 2024, în raport cu 29 287 în 2023 și 27 927 în 2022;</w:t>
      </w:r>
    </w:p>
    <w:p w14:paraId="4C89E746" w14:textId="77777777" w:rsidR="00A233B3" w:rsidRPr="007A102F" w:rsidRDefault="00A233B3" w:rsidP="00A233B3">
      <w:pPr>
        <w:pStyle w:val="NormalHanging12a"/>
      </w:pPr>
      <w:r w:rsidRPr="007A102F">
        <w:t>E.</w:t>
      </w:r>
      <w:r w:rsidRPr="007A102F">
        <w:tab/>
        <w:t>întrucât numărul total al petițiilor rămâne modest în raport cu totalul populației UE, arătând că trebuie depuse încă și mai multe eforturi pentru a-i informa mai bine pe cetățeni că au dreptul de a adresa petiții și că petițiile pot fi utile pentru că sunt un mijloc de a atrage atenția instituțiilor și a statelor membre asupra chestiunilor care îi afectează și îi privesc direct pe cetățeni; întrucât Comisia pentru petiții, foarte populară în rândul tinerilor la ocazii precum Evenimentul tineretului european (EYE) de la Strasbourg, reprezintă un mijloc eficient de promovare a acestui drept și de sensibilizare la importanța sa în rândul cetățenilor, în special al tinerilor; întrucât, prin urmare, este esențial ca Comisia pentru petiții să fie prezentă activ și sistematic la fiecare ediție a EYE, pentru a deveni mai vizibilă și mai accesibilă; întrucât cetățenii care își exercită dreptul de a adresa petiții se așteaptă ca instituțiile UE să le aducă beneficii găsind soluții la problemele lor; întrucât acest drept de a adresa petiții trebuie să promoveze și principii fundamentale, cum ar fi buna administrare a instituțiilor europene, libertatea de exprimare sau respectarea exprimării democratice;</w:t>
      </w:r>
    </w:p>
    <w:p w14:paraId="617A33F5" w14:textId="77777777" w:rsidR="00A233B3" w:rsidRPr="007A102F" w:rsidRDefault="00A233B3" w:rsidP="00A233B3">
      <w:pPr>
        <w:pStyle w:val="NormalHanging12a"/>
      </w:pPr>
      <w:r w:rsidRPr="007A102F">
        <w:t>F.</w:t>
      </w:r>
      <w:r w:rsidRPr="007A102F">
        <w:tab/>
        <w:t>întrucât criteriile de admisibilitate a petițiilor sunt prevăzute la articolul 227 din TFUE și la articolul 232 alineatul (1) din Regulamentul de procedură al Parlamentului, care cer ca petițiile să fie depuse de un cetățean al UE sau de o persoană fizică sau juridică, fie cu titlu individual, fie în asociere cu alte persoane, având reședința sau sediul social într-un stat membru, privind subiecte ce țin de domeniile de activitate ale UE și care îi afectează în mod direct pe petiționari, această din urmă condiție având o interpretare foarte largă;</w:t>
      </w:r>
    </w:p>
    <w:p w14:paraId="28281B71" w14:textId="77777777" w:rsidR="00A233B3" w:rsidRPr="007A102F" w:rsidRDefault="00A233B3" w:rsidP="00A233B3">
      <w:pPr>
        <w:pStyle w:val="NormalHanging12a"/>
      </w:pPr>
      <w:r w:rsidRPr="007A102F">
        <w:t>G.</w:t>
      </w:r>
      <w:r w:rsidRPr="007A102F">
        <w:tab/>
        <w:t xml:space="preserve">întrucât dintre cele 1 518 petiții depuse în 2024, 611 au fost declarate inadmisibile, iar 31 au fost retrase; întrucât procentul ridicat și în creștere de petiții inadmisibile din 2024 (40,25 %) confirmă că persistă o lipsă generalizată de înțelegere a întinderii domeniilor de competență ale Uniunii; întrucât, pentru a reduce numărul de petiții inadmisibile, mai trebuie depuse eforturi pentru a clarifica mai bine întinderea domeniilor de activitate ale UE; </w:t>
      </w:r>
    </w:p>
    <w:p w14:paraId="25B184EF" w14:textId="77777777" w:rsidR="00A233B3" w:rsidRPr="007A102F" w:rsidRDefault="00A233B3" w:rsidP="00A233B3">
      <w:pPr>
        <w:pStyle w:val="NormalHanging12a"/>
      </w:pPr>
      <w:r w:rsidRPr="007A102F">
        <w:t>H.</w:t>
      </w:r>
      <w:r w:rsidRPr="007A102F">
        <w:tab/>
        <w:t>întrucât dreptul de a adresa petiții Parlamentului este un drept fundamental al cetățenilor UE, care le oferă atât cetățenilor, cât și rezidenților un mecanism deschis, democratic și transparent prin care să li se adreseze direct reprezentanților lor aleși; întrucât multe persoane cu dizabilități nu au acces egal la informații și comunicare din cauză că formatele care le sunt accesibile sunt limitate și că limbajele naționale ale semnelor nu sunt recunoscute ca făcând parte din politica UE privind multilingvismul; întrucât acest instrument esențial le permite cetățenilor să participe activ și efectiv la viața Uniunii; întrucât cu ajutorul petițiilor cetățenii UE pot adresa plângeri privind cazuri de nepunere în aplicare a dreptului UE și astfel pot contribui la depistarea încălcărilor dreptului UE, cu respectarea suveranității statelor membre și a aplicării tratatelor UE;</w:t>
      </w:r>
    </w:p>
    <w:p w14:paraId="26459839" w14:textId="77777777" w:rsidR="00A233B3" w:rsidRPr="007A102F" w:rsidRDefault="00A233B3" w:rsidP="00A233B3">
      <w:pPr>
        <w:pStyle w:val="NormalHanging12a"/>
      </w:pPr>
      <w:r w:rsidRPr="007A102F">
        <w:lastRenderedPageBreak/>
        <w:t>I.</w:t>
      </w:r>
      <w:r w:rsidRPr="007A102F">
        <w:tab/>
        <w:t>întrucât Parlamentul face de mult timp pionierat în dezvoltarea procesului de adresare de petiții la nivel internațional și are cel mai deschis și mai transparent proces de petiționare din Europa, care le permite petiționarilor să participe pe deplin la activitățile sale; întrucât platforma online de petiții ar putea deveni mai intuitivă, astfel încât utilizatorii să poată naviga mai ușor pe ea; întrucât integrarea IA ar putea simplifica căutările și îmbunătăți accesibilitatea petițiilor, oferind funcționalități mai avansate decât formatul actual;</w:t>
      </w:r>
    </w:p>
    <w:p w14:paraId="56ED7C8D" w14:textId="77777777" w:rsidR="00A233B3" w:rsidRPr="007A102F" w:rsidRDefault="00A233B3" w:rsidP="00A233B3">
      <w:pPr>
        <w:pStyle w:val="NormalHanging12a"/>
      </w:pPr>
      <w:r w:rsidRPr="007A102F">
        <w:t>J.</w:t>
      </w:r>
      <w:r w:rsidRPr="007A102F">
        <w:tab/>
        <w:t>întrucât Comisia pentru petiții pune în evidență importanța unei transparențe mai mari în tratarea petițiilor, care presupune un feedback sistematic către petiționari în etapele principale ale procedurii și un calendar clar pentru acțiunile subsecvente întreprinse de instituțiile UE;</w:t>
      </w:r>
    </w:p>
    <w:p w14:paraId="6FD00FC0" w14:textId="77777777" w:rsidR="00A233B3" w:rsidRPr="007A102F" w:rsidRDefault="00A233B3" w:rsidP="00A233B3">
      <w:pPr>
        <w:pStyle w:val="NormalHanging12a"/>
      </w:pPr>
      <w:r w:rsidRPr="007A102F">
        <w:t>K.</w:t>
      </w:r>
      <w:r w:rsidRPr="007A102F">
        <w:tab/>
        <w:t>întrucât activitățile Comisiei pentru petiții se bazează pe contribuțiile petiționarilor și pe informațiile pe care le transmit ei; întrucât, alături de cunoștințele de specialitate puse la dispoziție de Comisie, de statele membre și de alte organisme, aceste informații sunt esențiale pentru activitatea Comisiei pentru petiții; întrucât petițiile admisibile aduc adesea contribuții valoroase la lucrările altor comisii parlamentare; întrucât petițiile pot deci juca, la rândul lor, un rol în procesul legislativ, oferind feedback concret despre impactul politicilor UE și făcând posibil ca politicile să poată răspunde nevoilor nou apărute;</w:t>
      </w:r>
    </w:p>
    <w:p w14:paraId="1BF9337C" w14:textId="77777777" w:rsidR="00A233B3" w:rsidRPr="007A102F" w:rsidRDefault="00A233B3" w:rsidP="00A233B3">
      <w:pPr>
        <w:pStyle w:val="NormalHanging12a"/>
      </w:pPr>
      <w:r w:rsidRPr="007A102F">
        <w:t>L.</w:t>
      </w:r>
      <w:r w:rsidRPr="007A102F">
        <w:tab/>
        <w:t>întrucât dreptul de a adresa petiții îmbunătățește capacitatea de reacție a Parlamentului la plângerile și preocupările privind respectarea drepturilor fundamentale ale UE și respectarea legislației Uniunii în statele membre; întrucât petițiile ar putea fi o sursă utilă de informații despre cazurile de aplicare necorespunzătoare sau de încălcare a dreptului UE și permit Parlamentului și altor instituții ale UE să analizeze transpunerea și aplicarea dreptului UE și impactul acestuia asupra drepturilor cetățenilor și rezidenților Uniunii;</w:t>
      </w:r>
    </w:p>
    <w:p w14:paraId="4238E3E7" w14:textId="77777777" w:rsidR="00A233B3" w:rsidRPr="007A102F" w:rsidRDefault="00A233B3" w:rsidP="00A233B3">
      <w:pPr>
        <w:pStyle w:val="NormalHanging12a"/>
      </w:pPr>
      <w:r w:rsidRPr="007A102F">
        <w:t>M.</w:t>
      </w:r>
      <w:r w:rsidRPr="007A102F">
        <w:tab/>
        <w:t>întrucât fiecare petiție este tratată și examinată riguros, eficient și transparent; întrucât toți petiționarii au dreptul de a primi un răspuns care să îi informeze despre decizia privind admisibilitatea și acțiunile întreprinse de comisie pentru a da curs respectivei petiții într-un interval de timp rezonabil, în limba lor sau în limba utilizată în petiție; întrucât petiția nr. 1056/2016, discutată la 19 martie 2024, solicită Parlamentului să permită depunerea petițiilor în limbajele naționale ale semnelor utilizate în UE;</w:t>
      </w:r>
    </w:p>
    <w:p w14:paraId="1B8BF62D" w14:textId="77777777" w:rsidR="00A233B3" w:rsidRPr="007A102F" w:rsidRDefault="00A233B3" w:rsidP="00A233B3">
      <w:pPr>
        <w:pStyle w:val="NormalHanging12a"/>
      </w:pPr>
      <w:r w:rsidRPr="007A102F">
        <w:t>N.</w:t>
      </w:r>
      <w:r w:rsidRPr="007A102F">
        <w:tab/>
        <w:t>întrucât Comisia pentru petiții acordă o importanță capitală examinării și dezbaterii publice a petițiilor la reuniunile sale; întrucât petiționarii au dreptul de a-și prezenta petițiile și de multe ori iau cuvântul la dezbateri, contribuind astfel activ la lucrările comisiei; întrucât în 2024 Comisia pentru petiții a organizat opt reuniuni proprii, pe lângă reuniunea sa constitutivă, la care s-au discutat 106 petiții în prezența a 106 petiționari care au participat activ la reuniuni luând cuvântul;</w:t>
      </w:r>
    </w:p>
    <w:p w14:paraId="636FED58" w14:textId="77777777" w:rsidR="00A233B3" w:rsidRPr="007A102F" w:rsidRDefault="00A233B3" w:rsidP="00A233B3">
      <w:pPr>
        <w:pStyle w:val="NormalHanging12a"/>
      </w:pPr>
      <w:r w:rsidRPr="007A102F">
        <w:t>O.</w:t>
      </w:r>
      <w:r w:rsidRPr="007A102F">
        <w:tab/>
        <w:t>întrucât principalele subiecte de îngrijorare semnalate în petițiile depuse în 2024 s-au referit la mediu, la drepturile fundamentale (inclusiv dreptul la bună administrare, dreptul de acces la documente, libertatea de exprimare și de informare), la statul de drept, la piața internă, la justiție, la drepturile consumatorului și la sănătate;</w:t>
      </w:r>
    </w:p>
    <w:p w14:paraId="57F1305E" w14:textId="77777777" w:rsidR="00A233B3" w:rsidRPr="007A102F" w:rsidRDefault="00A233B3" w:rsidP="00A233B3">
      <w:pPr>
        <w:pStyle w:val="NormalHanging12a"/>
      </w:pPr>
      <w:r w:rsidRPr="007A102F">
        <w:t>P.</w:t>
      </w:r>
      <w:r w:rsidRPr="007A102F">
        <w:tab/>
        <w:t xml:space="preserve">întrucât, atunci când adoptă ordinea de zi a reuniunilor, Comisia pentru petiții se străduiește să discute petiții și subiecte care sunt de mare interes pentru dezbaterile de la </w:t>
      </w:r>
      <w:r w:rsidRPr="007A102F">
        <w:lastRenderedPageBreak/>
        <w:t>nivelul UE, precum și necesitatea de a menține o acoperire geografică echilibrată a subiectelor, în funcție de petițiile primite;</w:t>
      </w:r>
    </w:p>
    <w:p w14:paraId="5AD97976" w14:textId="77777777" w:rsidR="00A233B3" w:rsidRPr="007A102F" w:rsidRDefault="00A233B3" w:rsidP="00A233B3">
      <w:pPr>
        <w:pStyle w:val="NormalHanging12a"/>
      </w:pPr>
      <w:r w:rsidRPr="007A102F">
        <w:t>Q.</w:t>
      </w:r>
      <w:r w:rsidRPr="007A102F">
        <w:tab/>
        <w:t>întrucât 82 % din petițiile adresate Parlamentului în 2024 au fost depuse pe portalul online pentru petiții al Parlamentului, cifră aproape egală cu 82,4 %, procentul din 2023, lucru ce confirmă că portalul este de departe cel mai folosit canal prin care cetățenii adresează petiții Parlamentului;</w:t>
      </w:r>
    </w:p>
    <w:p w14:paraId="6415929C" w14:textId="77777777" w:rsidR="00A233B3" w:rsidRPr="007A102F" w:rsidRDefault="00A233B3" w:rsidP="00A233B3">
      <w:pPr>
        <w:pStyle w:val="NormalHanging12a"/>
      </w:pPr>
      <w:r w:rsidRPr="007A102F">
        <w:t>R.</w:t>
      </w:r>
      <w:r w:rsidRPr="007A102F">
        <w:tab/>
        <w:t>întrucât portalul online pentru petiții restructurat publică automat informații despre adoptarea petițiilor și schimbarea statutului lor, informații suplimentare (de exemplu, țară, teme) și rezumate în toate cele 24 de limbi oficiale ale UE; întrucât și în 2024 toate petițiile au fost pregătite și publicate la timp, în termen de câteva zile de la adoptarea lor, iar toate cererile interne și externe de sprijin privind utilizarea și conținutul portalului online pentru petiții au primit un răspuns satisfăcător, în timp util și în toate limbile oficiale ale UE;</w:t>
      </w:r>
    </w:p>
    <w:p w14:paraId="2AA65658" w14:textId="77777777" w:rsidR="00A233B3" w:rsidRPr="007A102F" w:rsidRDefault="00A233B3" w:rsidP="00A233B3">
      <w:pPr>
        <w:pStyle w:val="NormalHanging12a"/>
      </w:pPr>
      <w:r w:rsidRPr="007A102F">
        <w:t>S.</w:t>
      </w:r>
      <w:r w:rsidRPr="007A102F">
        <w:tab/>
        <w:t>întrucât în 2024 nu a avut loc nicio vizită de informare pentru petițiile pentru care erau în derulare anchete, din cauza perioadei de suspendare a lucrărilor în vederea alegerilor europene; întrucât comisia a efectuat evaluarea subsecventă și a adoptat două rapoarte privind vizitele de informare anterioare, care au avut loc în 2023; întrucât două vizite de informare au fost programate pentru prima jumătate a anului 2025;</w:t>
      </w:r>
    </w:p>
    <w:p w14:paraId="4A4B487B" w14:textId="77777777" w:rsidR="00A233B3" w:rsidRPr="007A102F" w:rsidRDefault="00A233B3" w:rsidP="00A233B3">
      <w:pPr>
        <w:pStyle w:val="NormalHanging12a"/>
      </w:pPr>
      <w:r w:rsidRPr="007A102F">
        <w:t>T.</w:t>
      </w:r>
      <w:r w:rsidRPr="007A102F">
        <w:tab/>
        <w:t xml:space="preserve">întrucât la 4 noiembrie 2024 Comisia pentru petiții a participat în calitate de comisie invitată la audierea de confirmare a comisarului desemnat pentru comerț și securitate economică, relații interinstituționale și transparență, </w:t>
      </w:r>
      <w:proofErr w:type="spellStart"/>
      <w:r w:rsidRPr="007A102F">
        <w:t>Maroš</w:t>
      </w:r>
      <w:proofErr w:type="spellEnd"/>
      <w:r w:rsidRPr="007A102F">
        <w:t xml:space="preserve"> </w:t>
      </w:r>
      <w:proofErr w:type="spellStart"/>
      <w:r w:rsidRPr="007A102F">
        <w:t>Šefčovič</w:t>
      </w:r>
      <w:proofErr w:type="spellEnd"/>
      <w:r w:rsidRPr="007A102F">
        <w:t xml:space="preserve">; întrucât, ca răspuns la întrebările cu solicitare de răspuns scris și oral care i-au fost adresate de Comisia pentru petiții în contextul audierii de confirmare, </w:t>
      </w:r>
      <w:proofErr w:type="spellStart"/>
      <w:r w:rsidRPr="007A102F">
        <w:t>Maroš</w:t>
      </w:r>
      <w:proofErr w:type="spellEnd"/>
      <w:r w:rsidRPr="007A102F">
        <w:t xml:space="preserve"> </w:t>
      </w:r>
      <w:proofErr w:type="spellStart"/>
      <w:r w:rsidRPr="007A102F">
        <w:t>Šefčovič</w:t>
      </w:r>
      <w:proofErr w:type="spellEnd"/>
      <w:r w:rsidRPr="007A102F">
        <w:t xml:space="preserve"> și-a asumat o serie de angajamente privind procesul de petiționare și transparența măsurilor prin care Comisia asigură respectarea legislației; </w:t>
      </w:r>
    </w:p>
    <w:p w14:paraId="452880B5" w14:textId="77777777" w:rsidR="00A233B3" w:rsidRPr="007A102F" w:rsidRDefault="00A233B3" w:rsidP="00A233B3">
      <w:pPr>
        <w:pStyle w:val="NormalHanging12a"/>
      </w:pPr>
      <w:r w:rsidRPr="007A102F">
        <w:t>U.</w:t>
      </w:r>
      <w:r w:rsidRPr="007A102F">
        <w:tab/>
        <w:t xml:space="preserve">întrucât în conformitate cu Regulamentul de procedură al Parlamentului, Comisia pentru petiții este responsabilă și de relațiile cu Ombudsmanul European, care investighează plângerile privind administrarea defectuoasă în instituțiile și organismele UE; întrucât în 2024 Comisia pentru petiții a jucat un rol-cheie în organizarea alegerii Ombudsmanului European, organizând o audiere publică a candidaților în temeiul articolului 237 din Regulamentul de procedură al Parlamentului; întrucât la 17 decembrie 2024 Teresa </w:t>
      </w:r>
      <w:proofErr w:type="spellStart"/>
      <w:r w:rsidRPr="007A102F">
        <w:t>Anjinho</w:t>
      </w:r>
      <w:proofErr w:type="spellEnd"/>
      <w:r w:rsidRPr="007A102F">
        <w:t xml:space="preserve"> a fost aleasă în funcția de Ombudsman European pentru legislatura 2024-2029; </w:t>
      </w:r>
    </w:p>
    <w:p w14:paraId="3DDE7A6B" w14:textId="77777777" w:rsidR="00A233B3" w:rsidRPr="007A102F" w:rsidRDefault="00A233B3" w:rsidP="00A233B3">
      <w:pPr>
        <w:pStyle w:val="NormalHanging12a"/>
      </w:pPr>
      <w:r w:rsidRPr="007A102F">
        <w:t>V.</w:t>
      </w:r>
      <w:r w:rsidRPr="007A102F">
        <w:tab/>
        <w:t xml:space="preserve">întrucât în 2024 relațiile dintre Comisia pentru petiții și Ombudsmanul European au rămas constructive, după cum o demonstrează participarea activă a fostului Ombudsman European, </w:t>
      </w:r>
      <w:proofErr w:type="spellStart"/>
      <w:r w:rsidRPr="007A102F">
        <w:t>Emily</w:t>
      </w:r>
      <w:proofErr w:type="spellEnd"/>
      <w:r w:rsidRPr="007A102F">
        <w:t xml:space="preserve"> O’Reilly, la reuniunile comisiei; întrucât </w:t>
      </w:r>
      <w:proofErr w:type="spellStart"/>
      <w:r w:rsidRPr="007A102F">
        <w:t>Emily</w:t>
      </w:r>
      <w:proofErr w:type="spellEnd"/>
      <w:r w:rsidRPr="007A102F">
        <w:t xml:space="preserve"> O’Reilly și-a prezentat raportul anual pe 2023 Comisiei pentru petiții la reuniunea din 4 septembrie 2024 a acesteia și a participat la atelierul anual al comisiei privind drepturile persoanelor cu dizabilități din 2 decembrie 2024; </w:t>
      </w:r>
    </w:p>
    <w:p w14:paraId="1B0B2C78" w14:textId="77777777" w:rsidR="00A233B3" w:rsidRPr="007A102F" w:rsidRDefault="00A233B3" w:rsidP="00A233B3">
      <w:pPr>
        <w:pStyle w:val="NormalHanging12a"/>
      </w:pPr>
      <w:r w:rsidRPr="007A102F">
        <w:t>W.</w:t>
      </w:r>
      <w:r w:rsidRPr="007A102F">
        <w:tab/>
        <w:t xml:space="preserve">întrucât Comisia pentru petiții este membră a Rețelei europene a </w:t>
      </w:r>
      <w:proofErr w:type="spellStart"/>
      <w:r w:rsidRPr="007A102F">
        <w:t>ombudsmanilor</w:t>
      </w:r>
      <w:proofErr w:type="spellEnd"/>
      <w:r w:rsidRPr="007A102F">
        <w:t>, din care mai fac parte Ombudsmanul European, avocații poporului de la nivel național și regional, precum și organisme similare din statele membre, din țările candidate și din alte țări din Spațiul Economic European, obiectivul urmărit de această rețea fiind acela de a promova schimbul de informații despre dreptul și politicile UE și de a face schimb de bune practici,</w:t>
      </w:r>
    </w:p>
    <w:p w14:paraId="16B5CA05" w14:textId="77777777" w:rsidR="00A233B3" w:rsidRPr="007A102F" w:rsidRDefault="00A233B3" w:rsidP="00A233B3">
      <w:pPr>
        <w:pStyle w:val="NormalHanging12a"/>
      </w:pPr>
      <w:r w:rsidRPr="007A102F">
        <w:lastRenderedPageBreak/>
        <w:t>1.</w:t>
      </w:r>
      <w:r w:rsidRPr="007A102F">
        <w:tab/>
        <w:t>evidențiază rolul important al Comisiei pentru petiții în protejarea și promovarea drepturilor cetățenilor și ale rezidenților UE și insistă asupra faptului că ea trebuie să se asigure că preocupările și plângerile petiționarilor sunt examinate la timp, eficient și așa cum se cuvine și că petiționarii sunt informați corespunzător despre acțiunile întreprinse și progresele înregistrate referitor la petițiile lor; regretă, cu toate acestea, că în practică acest lucru nu se întâmplă întotdeauna; reamintește că toate petițiile trebuie tratate printr-o procedură de petiționare deschisă, democratică și transparentă, pe care Comisia PETI ar trebui să o garanteze de fiecare dată; recomandă revizuirea procedurilor interne pentru a se asigura că petițiile similare sau repetate sunt grupate și tratate mai eficient, protejând în același timp dreptul fiecărui petiționar de a fi audiat individual;</w:t>
      </w:r>
    </w:p>
    <w:p w14:paraId="5713CDCC" w14:textId="77777777" w:rsidR="00A233B3" w:rsidRPr="007A102F" w:rsidRDefault="00A233B3" w:rsidP="00A233B3">
      <w:pPr>
        <w:pStyle w:val="NormalHanging12a"/>
      </w:pPr>
      <w:r w:rsidRPr="007A102F">
        <w:t>2.</w:t>
      </w:r>
      <w:r w:rsidRPr="007A102F">
        <w:tab/>
        <w:t>reafirmă cât este de important să se poarte încontinuu o dezbatere publică cu privire la domeniile de activitate ale UE, pentru ca cetățenii să fie bine informați despre sfera de cuprindere a competențelor Uniunii și despre diferitele niveluri ale procesului decizional; cere din nou să se desfășoare campanii de informare mai ample, în special în regiunile îndepărtate și în rândul grupurilor subreprezentate de cetățeni, printre care și tinerii, femeile, comunitățile rurale și insulare, prin implicarea activă a serviciilor de comunicare existente în UE, pentru a ajuta cetățenii să-și îmbunătățească cunoștințele despre dreptul lor de a adresa petiții și despre sfera de cuprindere a responsabilităților UE și a competențelor Comisiei pentru petiții; solicită ca comunicarea cu petiționarii să fie mai clară și lipsită de jargon și ca rolul și limitările Comisiei pentru petiții să fie mai bine explicate populației, în special utilizatorilor vulnerabili sau celor care adresează prima dată o petiție;</w:t>
      </w:r>
    </w:p>
    <w:p w14:paraId="2DCAFCDA" w14:textId="77777777" w:rsidR="00A233B3" w:rsidRPr="007A102F" w:rsidRDefault="00A233B3" w:rsidP="00A233B3">
      <w:pPr>
        <w:pStyle w:val="NormalHanging12a"/>
      </w:pPr>
      <w:r w:rsidRPr="007A102F">
        <w:t>3.</w:t>
      </w:r>
      <w:r w:rsidRPr="007A102F">
        <w:tab/>
        <w:t>reamintește dimensiunea europeană a Comisiei pentru petiții, care poate fi sesizată de cetățeni din toate cele 27 de state membre în chestiuni ce se încadrează în domeniul de aplicare a tratatelor UE și a dreptului UE; consideră că, respectându-se suveranitatea și particularitățile naționale, Comisiei pentru petiții îi revine responsabilitatea specială de a susține această dimensiune europeană și de a le demonstra cetățenilor beneficiile unității și integrării europene;</w:t>
      </w:r>
    </w:p>
    <w:p w14:paraId="5F5306B1" w14:textId="77777777" w:rsidR="00A233B3" w:rsidRPr="007A102F" w:rsidRDefault="00A233B3" w:rsidP="00A233B3">
      <w:pPr>
        <w:pStyle w:val="NormalHanging12a"/>
      </w:pPr>
      <w:r w:rsidRPr="007A102F">
        <w:t>4.</w:t>
      </w:r>
      <w:r w:rsidRPr="007A102F">
        <w:tab/>
        <w:t>reliefează că petițiile reprezintă o ocazie unică pentru Parlament și alte instituții ale UE de a interacționa direct cu cetățenii UE și de a purta un dialog regulat cu ei, mai ales dacă aceștia sunt afectați de punerea în aplicare defectuoasă sau de încălcarea dreptului UE; evidențiază că instituțiile UE și autoritățile naționale, regionale și locale trebuie să întrețină o cooperare mai strânsă în anchetele privind punerea în aplicare și respectarea legislației UE; consideră că această cooperare este esențială pentru a răspunde la preocupările cetățenilor privind aplicarea dreptului UE și a le disipa și contribuie la întărirea legitimității democratice și la o mai mare asumare a răspunderii Uniunii; cere deci ca reprezentanții statelor membre să participe substanțial la reuniunile comisiei și ca autoritățile naționale să răspundă prompt și detaliat la cererile de clarificare sau de informații care le sunt adresate de Comisia pentru petiții, pentru ca petițiile să fie urmărite așa cum se cuvine;</w:t>
      </w:r>
    </w:p>
    <w:p w14:paraId="0F34A9CB" w14:textId="77777777" w:rsidR="00A233B3" w:rsidRPr="007A102F" w:rsidRDefault="00A233B3" w:rsidP="00A233B3">
      <w:pPr>
        <w:pStyle w:val="NormalHanging12a"/>
      </w:pPr>
      <w:r w:rsidRPr="007A102F">
        <w:t>5.</w:t>
      </w:r>
      <w:r w:rsidRPr="007A102F">
        <w:tab/>
        <w:t>reamintește că la începutul anului 2024 Comisia pentru petiții a primit numeroase petiții care exprimau preocupări cu privire la presupuse amenințări la adresa statului de drept în Spania; ia act de dezbaterea comună care a avut loc în ianuarie 2024 cu privire la mai multe petiții care abordează evoluția situației din Spania, în special referitor la propunerea unei legi a amnistiei de către guvern și posibilele implicații ale acesteia pentru cadrul juridic din Spania și cel al UE;</w:t>
      </w:r>
    </w:p>
    <w:p w14:paraId="72627D07" w14:textId="77777777" w:rsidR="00A233B3" w:rsidRPr="007A102F" w:rsidRDefault="00A233B3" w:rsidP="00A233B3">
      <w:pPr>
        <w:pStyle w:val="NormalHanging12a"/>
      </w:pPr>
      <w:r w:rsidRPr="007A102F">
        <w:lastRenderedPageBreak/>
        <w:t>6.</w:t>
      </w:r>
      <w:r w:rsidRPr="007A102F">
        <w:tab/>
        <w:t xml:space="preserve">reamintește că petițiile contribuie considerabil la exercitarea rolului de gardian al tratatelor de către Comisie, oferind cetățenilor încă un instrument pentru a raporta presupusele încălcări ale dreptului UE; subliniază că pentru tratarea cu succes a petițiilor este esențial să existe o cooperare constructivă între Comisia pentru petiții și Comisie, prin răspunsuri prompte și detaliate din partea acesteia din urmă, întemeiate pe examinarea amănunțită a problemelor ridicate în petiții; afirmă din nou că aceste răspunsuri transmise petiționarilor ar trebui să fie clare, simple și empatice, pentru a putea fi mai bine înțelese; </w:t>
      </w:r>
    </w:p>
    <w:p w14:paraId="47635CCB" w14:textId="77777777" w:rsidR="00A233B3" w:rsidRPr="007A102F" w:rsidRDefault="00A233B3" w:rsidP="00A233B3">
      <w:pPr>
        <w:pStyle w:val="NormalHanging12a"/>
      </w:pPr>
      <w:r w:rsidRPr="007A102F">
        <w:t>7.</w:t>
      </w:r>
      <w:r w:rsidRPr="007A102F">
        <w:tab/>
        <w:t xml:space="preserve">consideră binevenită crearea unei noi pagini de internet a Comisiei privind cazurile de constatare a neîndeplinirii obligațiilor, transpunerea directivelor și dialogul EU Pilot; invită însă din nou Comisia să informeze periodic Comisia pentru petiții despre evoluțiile procedurilor de constatare a neîndeplinirii obligațiilor și să se asigure că Comisia pentru petiții primește acces la informațiile de interes despre procedurile de constatare a neîndeplinirii obligațiilor și procedurile EU Pilot care privesc petiții deschise; afirmă din nou că trebuie îmbunătățită transparența procedurilor de constatare a neîndeplinirii obligațiilor și comunicarea cu petiționarii cu privire la situația actuală a acestor proceduri și subliniază că acest lucru ar fi benefic pentru procesul de petiționare; consideră oportună inițiativa Comisiei de a include petițiile în registrul public al Comisiei privind deciziile de constatare a neîndeplinirii obligațiilor și oferirea unui link către registrul public al Comisiei pe portalul pentru petiții; salută promisiunea comisarului </w:t>
      </w:r>
      <w:proofErr w:type="spellStart"/>
      <w:r w:rsidRPr="007A102F">
        <w:t>Šefčovič</w:t>
      </w:r>
      <w:proofErr w:type="spellEnd"/>
      <w:r w:rsidRPr="007A102F">
        <w:t xml:space="preserve"> de a interconecta în continuare registrul public al Comisiei cu portalul pentru petiții al Parlamentului; cere din nou Comisiei să includă toate aceste cerințe în Acordul-cadru privind relațiile dintre Parlamentul European și Comisia Europeană</w:t>
      </w:r>
      <w:r w:rsidRPr="007A102F">
        <w:rPr>
          <w:rStyle w:val="FootnoteReference"/>
        </w:rPr>
        <w:footnoteReference w:id="1"/>
      </w:r>
      <w:r w:rsidRPr="007A102F">
        <w:t>;</w:t>
      </w:r>
    </w:p>
    <w:p w14:paraId="49EBBD46" w14:textId="77777777" w:rsidR="00A233B3" w:rsidRPr="007A102F" w:rsidRDefault="00A233B3" w:rsidP="00A233B3">
      <w:pPr>
        <w:pStyle w:val="NormalHanging12a"/>
      </w:pPr>
      <w:r w:rsidRPr="007A102F">
        <w:t>8.</w:t>
      </w:r>
      <w:r w:rsidRPr="007A102F">
        <w:tab/>
        <w:t>solicită evaluarea independentă și periodică a calității și clarității răspunsurilor Comisiei la petiții, cu accent deosebit pe calitatea acestora de a fi lizibile, relevante și de a ține seama de situațiile petiționarilor, pentru a se asigura că cetățenii primesc răspunsuri judicioase și respectuoase;</w:t>
      </w:r>
    </w:p>
    <w:p w14:paraId="73C904FD" w14:textId="77777777" w:rsidR="00A233B3" w:rsidRPr="007A102F" w:rsidRDefault="00A233B3" w:rsidP="00A233B3">
      <w:pPr>
        <w:pStyle w:val="NormalHanging12a"/>
      </w:pPr>
      <w:r w:rsidRPr="007A102F">
        <w:t>9.</w:t>
      </w:r>
      <w:r w:rsidRPr="007A102F">
        <w:tab/>
        <w:t>consideră că o cooperare mai activă între statele membre și Comisia pentru petiții poate fi utilă pentru a debloca petițiile care necesită răspunsuri prompte și reacții din partea autorităților naționale;</w:t>
      </w:r>
    </w:p>
    <w:p w14:paraId="01D14098" w14:textId="77777777" w:rsidR="00A233B3" w:rsidRPr="007A102F" w:rsidRDefault="00A233B3" w:rsidP="00A233B3">
      <w:pPr>
        <w:pStyle w:val="NormalHanging12a"/>
      </w:pPr>
      <w:r w:rsidRPr="007A102F">
        <w:t>10.</w:t>
      </w:r>
      <w:r w:rsidRPr="007A102F">
        <w:tab/>
        <w:t>reamintește că baza de date e-</w:t>
      </w:r>
      <w:proofErr w:type="spellStart"/>
      <w:r w:rsidRPr="007A102F">
        <w:t>Petition</w:t>
      </w:r>
      <w:proofErr w:type="spellEnd"/>
      <w:r w:rsidRPr="007A102F">
        <w:t xml:space="preserve"> este un instrument intern esențial care le permite membrilor Comisiei pentru petiții să acceseze toate informațiile necesare pentru a urmări stadiul în care se află petiția și pentru a putea decide în cunoștință de cauză modul de tratare a petițiilor; observă că baza de date e-</w:t>
      </w:r>
      <w:proofErr w:type="spellStart"/>
      <w:r w:rsidRPr="007A102F">
        <w:t>Petition</w:t>
      </w:r>
      <w:proofErr w:type="spellEnd"/>
      <w:r w:rsidRPr="007A102F">
        <w:t xml:space="preserve"> are un rol important și în comunicarea cu petiționarii; subliniază că trebuie modernizate în continuare instrumentele digitale ale Comisiei pentru petiții și sugerează să se analizeze utilizarea responsabilă și cu supraveghere umană a inteligenței artificiale pentru a îmbunătăți și mai mult modul în care se tratează petițiile;</w:t>
      </w:r>
    </w:p>
    <w:p w14:paraId="53A7C33C" w14:textId="77777777" w:rsidR="00A233B3" w:rsidRPr="007A102F" w:rsidRDefault="00A233B3" w:rsidP="00A233B3">
      <w:pPr>
        <w:pStyle w:val="NormalHanging12a"/>
      </w:pPr>
      <w:r w:rsidRPr="007A102F">
        <w:t>11.</w:t>
      </w:r>
      <w:r w:rsidRPr="007A102F">
        <w:tab/>
        <w:t xml:space="preserve">amintește angajamentul Comisiei de a crea un instrument informatic interinstituțional între Comisie și Parlament cu ajutorul căruia să facă schimb de informații și documente privind toate acțiunile întreprinse ca urmare a petițiilor, cum ar fi procedurile de constatare a neîndeplinirii obligațiilor, propunerile legislative sau răspunsurile </w:t>
      </w:r>
      <w:r w:rsidRPr="007A102F">
        <w:lastRenderedPageBreak/>
        <w:t>autorităților naționale, mărind astfel transparența și eficiența tratării petițiilor, ceea ce, într-un context mai larg, ar contribui la creșterea încrederii cetățenilor în instituțiile UE și în proiectul european; cere să se implementeze rapid un astfel de instrument informatic interinstituțional;</w:t>
      </w:r>
    </w:p>
    <w:p w14:paraId="65F9C198" w14:textId="77777777" w:rsidR="00A233B3" w:rsidRPr="007A102F" w:rsidRDefault="00A233B3" w:rsidP="00A233B3">
      <w:pPr>
        <w:pStyle w:val="NormalHanging12a"/>
      </w:pPr>
      <w:r w:rsidRPr="007A102F">
        <w:t>12.</w:t>
      </w:r>
      <w:r w:rsidRPr="007A102F">
        <w:tab/>
        <w:t>reamintește că, pentru ca petițiile să fie tratate exhaustiv, este esențială cooperarea cu alte comisii ale Parlamentului; observă că în 2024 s-au trimis către alte comisii 30 de cereri de aviz și 450 de cereri de informații; constată că s-au primit 26 de avize până la sfârșitul anului 2024;</w:t>
      </w:r>
      <w:r w:rsidRPr="007A102F">
        <w:rPr>
          <w:color w:val="FF0000"/>
        </w:rPr>
        <w:t xml:space="preserve"> </w:t>
      </w:r>
      <w:r w:rsidRPr="007A102F">
        <w:t>menționează că petiționarii sunt informați despre deciziile de a solicita avize din partea altor comisii pentru tratarea petițiilor lor; subliniază că comisiile parlamentare ar trebui să își intensifice eforturile de a contribui activ la examinarea petițiilor, punându-și la dispoziție cunoștințele de specialitate, pentru a permite Parlamentului să răspundă mai rapid și mai cuprinzător la preocupările cetățenilor;</w:t>
      </w:r>
    </w:p>
    <w:p w14:paraId="3984CB2C" w14:textId="77777777" w:rsidR="00A233B3" w:rsidRPr="007A102F" w:rsidRDefault="00A233B3" w:rsidP="00A233B3">
      <w:pPr>
        <w:pStyle w:val="NormalHanging12a"/>
      </w:pPr>
      <w:r w:rsidRPr="007A102F">
        <w:t>13.</w:t>
      </w:r>
      <w:r w:rsidRPr="007A102F">
        <w:tab/>
        <w:t xml:space="preserve">consideră că rețeaua pentru petiții este un instrument util pentru a înlesni monitorizarea petițiilor în activitatea parlamentară și legislativă; își exprimă convingerea că reuniunile periodice ale rețelei pentru petiții sunt esențiale pentru a face mai vizibile activitățile Comisiei pentru petiții și a asigura că activitatea și misiunea acesteia sunt mai bine înțelese, precum și pentru a consolida cooperarea cu celelalte comisii parlamentare; </w:t>
      </w:r>
    </w:p>
    <w:p w14:paraId="3673207D" w14:textId="77777777" w:rsidR="00A233B3" w:rsidRPr="007A102F" w:rsidRDefault="00A233B3" w:rsidP="00A233B3">
      <w:pPr>
        <w:pStyle w:val="NormalHanging12a"/>
      </w:pPr>
      <w:r w:rsidRPr="007A102F">
        <w:t>14.</w:t>
      </w:r>
      <w:r w:rsidRPr="007A102F">
        <w:tab/>
        <w:t>constată că mediul a rămas principalul domeniu care i-a preocupat pe petiționari în 2024, în condițiile în care peste 20 % din petiții au ridicat probleme de mediu; ia act de numărul semnificativ de petiții care denunță încălcări ale legislației UE în domeniul mediului în mai multe state membre; observă că problemele raportate de petiționari și discutate în comisie includ protecția lupilor în UE, efectele toxice pe termen lung ale pesticidelor și încălcarea Directivei privind emisiile industriale</w:t>
      </w:r>
      <w:r w:rsidRPr="007A102F">
        <w:rPr>
          <w:rStyle w:val="FootnoteReference"/>
        </w:rPr>
        <w:footnoteReference w:id="2"/>
      </w:r>
      <w:r w:rsidRPr="007A102F">
        <w:t xml:space="preserve"> care rezultă din gestionarea unui combinat siderurgic; evidențiază că este important să se satisfacă așteptările cetățenilor UE referitoare la protecția mediului și invită insistent Comisia, împreună cu statele membre, să asigure punerea corectă în aplicare a legislației UE în domeniul protecției mediului;</w:t>
      </w:r>
    </w:p>
    <w:p w14:paraId="79B23C84" w14:textId="77777777" w:rsidR="00A233B3" w:rsidRPr="007A102F" w:rsidRDefault="00A233B3" w:rsidP="00A233B3">
      <w:pPr>
        <w:pStyle w:val="NormalHanging12a"/>
      </w:pPr>
      <w:r w:rsidRPr="007A102F">
        <w:t>15.</w:t>
      </w:r>
      <w:r w:rsidRPr="007A102F">
        <w:tab/>
        <w:t>ia act de faptul că au fost abordate și alte chestiuni de Comisia pentru petiții, cum ar fi protecția drepturilor copiilor, inclusiv siguranța online, și îmbunătățirea tratamentului aplicat animalelor; atrage atenția asupra petițiilor care vizează încălcări ale drepturilor pasagerilor; constată, de asemenea, că numeroase petiții au exprimat preocupări cu privire la protecția datelor și, în special, la punerea în aplicare a Regulamentului general privind protecția datelor</w:t>
      </w:r>
      <w:r w:rsidRPr="007A102F">
        <w:rPr>
          <w:rStyle w:val="FootnoteReference"/>
        </w:rPr>
        <w:footnoteReference w:id="3"/>
      </w:r>
      <w:r w:rsidRPr="007A102F">
        <w:t xml:space="preserve">; scoate în evidență și numărul de petiții care abordează criza locuințelor în toate statele membre; observă că Comisia pentru petiții s-a ocupat de responsabilitățile întreprinderilor din sectorul combustibililor fosili în criza costului </w:t>
      </w:r>
      <w:r w:rsidRPr="007A102F">
        <w:lastRenderedPageBreak/>
        <w:t>vieții, de preocupările legate de siguranța feroviară și de protecția drepturilor lucrătorilor; ia act de examinarea petițiilor privind cultura și patrimoniul național; reamintește că Comisia pentru petiții a discutat despre mai multe petiții privind anularea permiselor de ședere permanentă ale cetățenilor ruși; ia act de faptul că Comisia pentru petiții a primit un număr substanțial de petiții privind statul de drept în statele membre, care au fost dezbătute în comisie; ia în seamă petițiile depuse privind condițiile de primire a imigranților și a solicitanților de azil în statele membre și ia act de petițiile care raportează cazuri de discriminare; se așteaptă la o monitorizare adecvată și la informații actualizate din partea Comisiei cu privire la toate aceste petiții;</w:t>
      </w:r>
    </w:p>
    <w:p w14:paraId="45C87D61" w14:textId="77777777" w:rsidR="00A233B3" w:rsidRPr="007A102F" w:rsidRDefault="00A233B3" w:rsidP="00A233B3">
      <w:pPr>
        <w:pStyle w:val="NormalHanging12a"/>
      </w:pPr>
      <w:r w:rsidRPr="007A102F">
        <w:t>16.</w:t>
      </w:r>
      <w:r w:rsidRPr="007A102F">
        <w:tab/>
        <w:t>pune în evidență contribuția importantă a Comisiei pentru petiții la protejarea drepturilor persoanelor cu dizabilități, după cum reiese din modul în care a tratat o serie de petiții pe această temă, inclusiv examinarea petiției nr. 1056/2016 privind depunerea petițiilor în limbajele naționale ale semnelor; recunoaște, în acest context, eforturile serviciilor Parlamentului European și menționează că trebuie găsită nu doar cea mai bună, ci și cea mai accesibilă soluție tehnică pentru cetățenii surzi, pentru a comunica cu ei în propria lor limbă maternă, în limbajele prin semne existente la nivel național; solicită modificarea Regulamentului de procedură în strânsă cooperare cu Comisia pentru afaceri constituționale pentru a elimina obligația de a comunica exclusiv în scris cu cetățenii care comunică prin limbajul semnelor, sunt surzi sau au deficiențe de auz, astfel încât, la cerere, aceștia să se poată folosi de limbajul semnelor în timpul procedurii; ia act de faptul că printre celelalte preocupări ale petiționarilor în 2024 s-au numărat educația elevilor cu dizabilități, refuzul serviciilor de asistență medicală pentru persoanele cu dizabilități și accesibilitatea spațiilor și serviciilor publice; reamintește atelierul anual din 2 decembrie 2024 privind drepturile persoanelor cu dizabilități organizat de Comisia pentru petiții, axat pe situația actuală a Strategiei privind drepturile persoanelor cu handicap 2021-2030, și îndeamnă la integrarea rapidă a constatărilor petițiilor în evaluarea la jumătatea perioadei a Strategiei privind drepturile persoanelor cu handicap 2021-2030, cu obiective măsurabile și angajamente bugetare;</w:t>
      </w:r>
    </w:p>
    <w:p w14:paraId="377EBB98" w14:textId="77777777" w:rsidR="00A233B3" w:rsidRPr="007A102F" w:rsidRDefault="00A233B3" w:rsidP="00A233B3">
      <w:pPr>
        <w:pStyle w:val="NormalHanging12a"/>
      </w:pPr>
      <w:r w:rsidRPr="007A102F">
        <w:t>17.</w:t>
      </w:r>
      <w:r w:rsidRPr="007A102F">
        <w:tab/>
        <w:t>evidențiază rolul special de protecție jucat de Comisia pentru petiții în UE în contextul Convenției Națiunilor Unite privind drepturile persoanelor cu dizabilități; atrage atenția la activitatea importantă desfășurată în legătură cu petițiile referitoare la probleme de dizabilități; reamintește că trimiterile la petițiile privind necesitatea unui card european pentru dizabilitate valabil în întreaga UE au fost incluse în Directiva (UE) 2024/2841 de instituire a cardului european pentru dizabilitate și a cardului european de parcare pentru persoanele cu dizabilități</w:t>
      </w:r>
      <w:r w:rsidRPr="007A102F">
        <w:rPr>
          <w:rStyle w:val="FootnoteReference"/>
        </w:rPr>
        <w:footnoteReference w:id="4"/>
      </w:r>
      <w:r w:rsidRPr="007A102F">
        <w:t>; subliniază că petițiile pot contribui în mod semnificativ la procesul legislativ;</w:t>
      </w:r>
    </w:p>
    <w:p w14:paraId="13EF8964" w14:textId="77777777" w:rsidR="00A233B3" w:rsidRPr="007A102F" w:rsidRDefault="00A233B3" w:rsidP="00A233B3">
      <w:pPr>
        <w:pStyle w:val="NormalHanging12a"/>
        <w:rPr>
          <w:rFonts w:eastAsia="Calibri"/>
        </w:rPr>
      </w:pPr>
      <w:r w:rsidRPr="007A102F">
        <w:t>18.</w:t>
      </w:r>
      <w:r w:rsidRPr="007A102F">
        <w:tab/>
        <w:t xml:space="preserve">reamintește că relațiile cu Ombudsmanul European reprezintă una dintre responsabilitățile conferite Comisiei pentru petiții prin Regulamentul de procedură al Parlamentului; subliniază rolul Comisiei pentru petiții în procesul pentru alegerea Ombudsmanului European, în special în organizarea audierii publice cu toți candidații eligibili, care a avut loc la 3 decembrie 2024 și care a fost deschisă tuturor deputaților în Parlamentul European, oferindu-le astfel ocazia democratică și transparentă de a face schimb de opinii cu candidații și de a evalua independența, calificările și </w:t>
      </w:r>
      <w:r w:rsidRPr="007A102F">
        <w:lastRenderedPageBreak/>
        <w:t xml:space="preserve">profesionalismul acestora, precum și de a-și exprima viziunea asupra biroului Ombudsmanului European în cadrul arhitecturii instituționale a UE; salută cooperarea constructivă a Parlamentului cu Ombudsmanul European, cu care Comisia pentru petiții împărtășește obiectivul de a asigura transparența, profesionalismul și integritatea instituțiilor UE față de cetățenii europeni; salută și participarea sa la Rețeaua europeană a </w:t>
      </w:r>
      <w:proofErr w:type="spellStart"/>
      <w:r w:rsidRPr="007A102F">
        <w:t>ombudsmanilor</w:t>
      </w:r>
      <w:proofErr w:type="spellEnd"/>
      <w:r w:rsidRPr="007A102F">
        <w:t>;</w:t>
      </w:r>
    </w:p>
    <w:p w14:paraId="67768CA1" w14:textId="77777777" w:rsidR="00A233B3" w:rsidRPr="007A102F" w:rsidRDefault="00A233B3" w:rsidP="00A233B3">
      <w:pPr>
        <w:pStyle w:val="NormalHanging12a"/>
        <w:rPr>
          <w:rFonts w:eastAsia="Calibri"/>
        </w:rPr>
      </w:pPr>
      <w:r w:rsidRPr="007A102F">
        <w:t>19.</w:t>
      </w:r>
      <w:r w:rsidRPr="007A102F">
        <w:tab/>
        <w:t>încurajează contribuțiile periodice constante ale Ombudsmanului European la lucrările Comisiei pentru petiții pe parcursul anului; este ferm convins că instituțiile, organele și agențiile Uniunii trebuie să dea curs consecvent și efectiv recomandărilor Ombudsmanului; subliniază rolul esențial al Ombudsmanului European în promovarea transparenței, a bunei administrări și a protecției drepturilor cetățenilor; solicită o cooperare mai strânsă între Comisia pentru petiții și biroul Ombudsmanului;</w:t>
      </w:r>
    </w:p>
    <w:p w14:paraId="49FDEB62" w14:textId="77777777" w:rsidR="00A233B3" w:rsidRPr="007A102F" w:rsidRDefault="00A233B3" w:rsidP="00A233B3">
      <w:pPr>
        <w:pStyle w:val="NormalHanging12a"/>
        <w:rPr>
          <w:b/>
          <w:i/>
        </w:rPr>
      </w:pPr>
      <w:r w:rsidRPr="007A102F">
        <w:t>20.</w:t>
      </w:r>
      <w:r w:rsidRPr="007A102F">
        <w:tab/>
        <w:t>constată că, în pofida suspendării lucrărilor în vederea alegerilor europene, Comisia pentru petiții și-a exprimat poziția față de chestiunile importante ridicate în petiții și a formulat recomandări cu privire la ele, adoptând două rapoarte de misiune în urma vizitelor de informare desfășurate în a doua jumătate a anului 2023, și anume misiunea în Irlanda privind construcțiile cu mică și misiunea în Spania privind imersiunea lingvistică din Catalonia; subliniază importanța punerii în aplicare de către autoritățile catalane a recomandărilor formulate de Comisia pentru petiții în raportul său din 19 martie 2024, care vizează protejarea drepturilor lingvistice ale studenților și ale familiilor acestora;</w:t>
      </w:r>
    </w:p>
    <w:p w14:paraId="2D3BE1D9" w14:textId="77777777" w:rsidR="00A233B3" w:rsidRPr="007A102F" w:rsidRDefault="00A233B3" w:rsidP="00A233B3">
      <w:pPr>
        <w:pStyle w:val="NormalHanging12a"/>
      </w:pPr>
      <w:r w:rsidRPr="007A102F">
        <w:t>21.</w:t>
      </w:r>
      <w:r w:rsidRPr="007A102F">
        <w:tab/>
        <w:t>ia act de numărul tot mai mare de petiții referitoare la politica în domeniul educației, în special la recunoașterea calificărilor didactice în toate statele membre; subliniază, în acest sens, întrebarea cu solicitare de răspuns oral privind condițiile de muncă ale profesorilor din UE adresată Comisiei de Comisia pentru petiții; este alarmat de răspunsul oral al Comisiei care confirmă că deficitul de cadre didactice reprezintă o problemă serioasă, fapt reflectat și de rezultatele recente ale PISA, niciun stat membru nereușind să își îmbunătățească performanța în ceea ce privește competențele de bază; invită, în acest sens, Comisia și statele membre să își intensifice în mod semnificativ eforturile de îmbunătățire a sistemelor lor de învățământ școlar, sporind în același timp atractivitatea profesiei de cadru didactic, inclusiv prin finanțare și programe;</w:t>
      </w:r>
    </w:p>
    <w:p w14:paraId="6D54141A" w14:textId="77777777" w:rsidR="00A233B3" w:rsidRPr="007A102F" w:rsidRDefault="00A233B3" w:rsidP="00A233B3">
      <w:pPr>
        <w:pStyle w:val="NormalHanging12a"/>
      </w:pPr>
      <w:r w:rsidRPr="007A102F">
        <w:t>22.</w:t>
      </w:r>
      <w:r w:rsidRPr="007A102F">
        <w:tab/>
        <w:t>consideră binevenită adoptarea rezoluției Parlamentului din 10 aprilie 2024 referitoare la operarea vehiculelor grele de transport marfă la punctele de trecere a frontierei, pe baza petiției nr. 0146/2023</w:t>
      </w:r>
      <w:r w:rsidRPr="007A102F">
        <w:rPr>
          <w:rStyle w:val="FootnoteReference"/>
        </w:rPr>
        <w:footnoteReference w:id="5"/>
      </w:r>
      <w:r w:rsidRPr="007A102F">
        <w:t xml:space="preserve">; </w:t>
      </w:r>
    </w:p>
    <w:p w14:paraId="4D941438" w14:textId="77777777" w:rsidR="00A233B3" w:rsidRPr="007A102F" w:rsidRDefault="00A233B3" w:rsidP="00A233B3">
      <w:pPr>
        <w:pStyle w:val="NormalHanging12a"/>
      </w:pPr>
      <w:r w:rsidRPr="007A102F">
        <w:t>23.</w:t>
      </w:r>
      <w:r w:rsidRPr="007A102F">
        <w:tab/>
        <w:t>reamintește că portalul online pentru petiții este un instrument esențial pentru a asigura un proces de petiționare funcțional, eficient și transparent; consideră oportune îmbunătățirile aduse portalului în beneficiul petiționarilor și reliefează că trebuie continuate eforturile de a face portalul mai accesibil utilizatorilor de limbaje prin semne, astfel cum se solicită în petiția nr. 1056/2016, inclusiv pentru persoanele cu dizabilități; constată că portalul online pentru petiții este unul dintre cele mai vizitate site-uri internet ale Parlamentului, pentru mulți cetățeni ai UE servind astfel drept prim punct de contact cu Parlamentul;</w:t>
      </w:r>
    </w:p>
    <w:p w14:paraId="44D87C0A" w14:textId="662DB27C" w:rsidR="00735118" w:rsidRPr="007A102F" w:rsidRDefault="00A233B3" w:rsidP="00735118">
      <w:pPr>
        <w:pStyle w:val="NormalHanging12a"/>
      </w:pPr>
      <w:r w:rsidRPr="007A102F">
        <w:t>24.</w:t>
      </w:r>
      <w:r w:rsidRPr="007A102F">
        <w:tab/>
        <w:t xml:space="preserve">încredințează Președintei sarcina de a transmite prezenta rezoluție și raportul Comisiei </w:t>
      </w:r>
      <w:r w:rsidRPr="007A102F">
        <w:lastRenderedPageBreak/>
        <w:t xml:space="preserve">pentru petiții Consiliului, Comisiei, Ombudsmanului European, guvernelor și parlamentelor statelor membre, comisiilor pentru petiții ale acestora și </w:t>
      </w:r>
      <w:proofErr w:type="spellStart"/>
      <w:r w:rsidRPr="007A102F">
        <w:t>ombudsmanilor</w:t>
      </w:r>
      <w:proofErr w:type="spellEnd"/>
      <w:r w:rsidRPr="007A102F">
        <w:t xml:space="preserve"> lor naționali sau organelor competente similare.</w:t>
      </w:r>
    </w:p>
    <w:p w14:paraId="1A71B941" w14:textId="579703E1" w:rsidR="00E365E1" w:rsidRPr="007A102F" w:rsidRDefault="00E365E1" w:rsidP="002746BF"/>
    <w:sectPr w:rsidR="00E365E1" w:rsidRPr="007A102F" w:rsidSect="007351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09BF1" w14:textId="77777777" w:rsidR="002746BF" w:rsidRPr="00735118" w:rsidRDefault="002746BF">
      <w:r w:rsidRPr="00735118">
        <w:separator/>
      </w:r>
    </w:p>
  </w:endnote>
  <w:endnote w:type="continuationSeparator" w:id="0">
    <w:p w14:paraId="01DA18B7" w14:textId="77777777" w:rsidR="002746BF" w:rsidRPr="00735118" w:rsidRDefault="002746BF">
      <w:r w:rsidRPr="007351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E8CC" w14:textId="77777777" w:rsidR="00064002" w:rsidRPr="007351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A4E84" w14:textId="77777777" w:rsidR="00064002" w:rsidRPr="007351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F45B" w14:textId="77777777" w:rsidR="00064002" w:rsidRPr="007351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F1C0A" w14:textId="77777777" w:rsidR="002746BF" w:rsidRPr="00735118" w:rsidRDefault="002746BF">
      <w:r w:rsidRPr="00735118">
        <w:separator/>
      </w:r>
    </w:p>
  </w:footnote>
  <w:footnote w:type="continuationSeparator" w:id="0">
    <w:p w14:paraId="2F42C517" w14:textId="77777777" w:rsidR="002746BF" w:rsidRPr="00735118" w:rsidRDefault="002746BF">
      <w:r w:rsidRPr="00735118">
        <w:continuationSeparator/>
      </w:r>
    </w:p>
  </w:footnote>
  <w:footnote w:id="1">
    <w:p w14:paraId="75728BBD" w14:textId="15CD5733" w:rsidR="00A233B3" w:rsidRPr="00735118" w:rsidRDefault="00A233B3" w:rsidP="00735118">
      <w:pPr>
        <w:pStyle w:val="FootnoteText"/>
        <w:ind w:left="567" w:hanging="567"/>
        <w:rPr>
          <w:sz w:val="24"/>
          <w:lang w:val="ro-RO"/>
        </w:rPr>
      </w:pPr>
      <w:r w:rsidRPr="00735118">
        <w:rPr>
          <w:rStyle w:val="FootnoteReference"/>
          <w:sz w:val="24"/>
          <w:lang w:val="ro-RO"/>
        </w:rPr>
        <w:footnoteRef/>
      </w:r>
      <w:r w:rsidR="00735118" w:rsidRPr="00735118">
        <w:rPr>
          <w:sz w:val="24"/>
          <w:lang w:val="ro-RO"/>
        </w:rPr>
        <w:t xml:space="preserve"> </w:t>
      </w:r>
      <w:r w:rsidR="00735118" w:rsidRPr="00735118">
        <w:rPr>
          <w:sz w:val="24"/>
          <w:lang w:val="ro-RO"/>
        </w:rPr>
        <w:tab/>
      </w:r>
      <w:r w:rsidRPr="00735118">
        <w:rPr>
          <w:sz w:val="24"/>
          <w:lang w:val="ro-RO"/>
        </w:rPr>
        <w:t xml:space="preserve">JO L 304, 20.11.2010, p. 47, ELI: </w:t>
      </w:r>
      <w:hyperlink r:id="rId1" w:history="1">
        <w:r w:rsidRPr="00735118">
          <w:rPr>
            <w:rStyle w:val="Hyperlink"/>
            <w:sz w:val="24"/>
            <w:lang w:val="ro-RO"/>
          </w:rPr>
          <w:t>http://data.europa.eu/eli/agree_interinstit/2010/1120/oj</w:t>
        </w:r>
      </w:hyperlink>
      <w:r w:rsidRPr="00735118">
        <w:rPr>
          <w:sz w:val="24"/>
          <w:lang w:val="ro-RO"/>
        </w:rPr>
        <w:t>.</w:t>
      </w:r>
    </w:p>
  </w:footnote>
  <w:footnote w:id="2">
    <w:p w14:paraId="4667CDE4" w14:textId="17FAD345" w:rsidR="00A233B3" w:rsidRPr="00735118" w:rsidRDefault="00A233B3" w:rsidP="00735118">
      <w:pPr>
        <w:pStyle w:val="FootnoteText"/>
        <w:ind w:left="567" w:hanging="567"/>
        <w:rPr>
          <w:sz w:val="24"/>
          <w:lang w:val="ro-RO"/>
        </w:rPr>
      </w:pPr>
      <w:r w:rsidRPr="00735118">
        <w:rPr>
          <w:rStyle w:val="FootnoteReference"/>
          <w:sz w:val="24"/>
          <w:lang w:val="ro-RO"/>
        </w:rPr>
        <w:footnoteRef/>
      </w:r>
      <w:r w:rsidR="00735118" w:rsidRPr="00735118">
        <w:rPr>
          <w:sz w:val="24"/>
          <w:lang w:val="ro-RO"/>
        </w:rPr>
        <w:t xml:space="preserve"> </w:t>
      </w:r>
      <w:r w:rsidR="00735118" w:rsidRPr="00735118">
        <w:rPr>
          <w:sz w:val="24"/>
          <w:lang w:val="ro-RO"/>
        </w:rPr>
        <w:tab/>
      </w:r>
      <w:r w:rsidRPr="00735118">
        <w:rPr>
          <w:sz w:val="24"/>
          <w:lang w:val="ro-RO"/>
        </w:rPr>
        <w:t xml:space="preserve">Directiva (UE) 2024/1785 a Parlamentului European și a Consiliului din 24 aprilie 2024 de modificare a Directivei 2010/75/UE a Parlamentului European și a Consiliului privind emisiile industriale (prevenirea și controlul integrat al poluării) și a Directivei 1999/31/CE a Consiliului privind depozitele de deșeuri (JO L, 2024/1785, 15.7.2024, ELI: </w:t>
      </w:r>
      <w:hyperlink r:id="rId2" w:history="1">
        <w:r w:rsidRPr="00735118">
          <w:rPr>
            <w:rStyle w:val="Hyperlink"/>
            <w:sz w:val="24"/>
            <w:lang w:val="ro-RO"/>
          </w:rPr>
          <w:t>http://data.europa.eu/eli/dir/2024/1785/oj</w:t>
        </w:r>
      </w:hyperlink>
      <w:r w:rsidRPr="00735118">
        <w:rPr>
          <w:sz w:val="24"/>
          <w:lang w:val="ro-RO"/>
        </w:rPr>
        <w:t>).</w:t>
      </w:r>
    </w:p>
  </w:footnote>
  <w:footnote w:id="3">
    <w:p w14:paraId="175283F7" w14:textId="4DEC5093" w:rsidR="00A233B3" w:rsidRPr="00735118" w:rsidRDefault="00A233B3" w:rsidP="00735118">
      <w:pPr>
        <w:pStyle w:val="FootnoteText"/>
        <w:ind w:left="567" w:hanging="567"/>
        <w:rPr>
          <w:sz w:val="24"/>
          <w:lang w:val="ro-RO"/>
        </w:rPr>
      </w:pPr>
      <w:r w:rsidRPr="00735118">
        <w:rPr>
          <w:rStyle w:val="FootnoteReference"/>
          <w:sz w:val="24"/>
          <w:lang w:val="ro-RO"/>
        </w:rPr>
        <w:footnoteRef/>
      </w:r>
      <w:r w:rsidR="00735118" w:rsidRPr="00735118">
        <w:rPr>
          <w:sz w:val="24"/>
          <w:lang w:val="ro-RO"/>
        </w:rPr>
        <w:t xml:space="preserve"> </w:t>
      </w:r>
      <w:r w:rsidR="00735118" w:rsidRPr="00735118">
        <w:rPr>
          <w:sz w:val="24"/>
          <w:lang w:val="ro-RO"/>
        </w:rPr>
        <w:tab/>
      </w:r>
      <w:r w:rsidRPr="00735118">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3" w:history="1">
        <w:r w:rsidRPr="00735118">
          <w:rPr>
            <w:rStyle w:val="Hyperlink"/>
            <w:sz w:val="24"/>
            <w:lang w:val="ro-RO"/>
          </w:rPr>
          <w:t>http://data.europa.eu/eli/reg/2016/679/oj</w:t>
        </w:r>
      </w:hyperlink>
      <w:r w:rsidRPr="00735118">
        <w:rPr>
          <w:sz w:val="24"/>
          <w:lang w:val="ro-RO"/>
        </w:rPr>
        <w:t>).</w:t>
      </w:r>
    </w:p>
  </w:footnote>
  <w:footnote w:id="4">
    <w:p w14:paraId="539D4FEE" w14:textId="77CFEF98" w:rsidR="00A233B3" w:rsidRPr="00735118" w:rsidRDefault="00A233B3" w:rsidP="00735118">
      <w:pPr>
        <w:pStyle w:val="FootnoteText"/>
        <w:ind w:left="567" w:hanging="567"/>
        <w:rPr>
          <w:sz w:val="24"/>
          <w:lang w:val="ro-RO"/>
        </w:rPr>
      </w:pPr>
      <w:r w:rsidRPr="00735118">
        <w:rPr>
          <w:rStyle w:val="FootnoteReference"/>
          <w:sz w:val="24"/>
          <w:lang w:val="ro-RO"/>
        </w:rPr>
        <w:footnoteRef/>
      </w:r>
      <w:r w:rsidR="00735118" w:rsidRPr="00735118">
        <w:rPr>
          <w:sz w:val="24"/>
          <w:lang w:val="ro-RO"/>
        </w:rPr>
        <w:t xml:space="preserve"> </w:t>
      </w:r>
      <w:r w:rsidR="00735118" w:rsidRPr="00735118">
        <w:rPr>
          <w:sz w:val="24"/>
          <w:lang w:val="ro-RO"/>
        </w:rPr>
        <w:tab/>
      </w:r>
      <w:r w:rsidRPr="00735118">
        <w:rPr>
          <w:sz w:val="24"/>
          <w:lang w:val="ro-RO"/>
        </w:rPr>
        <w:t>Directiva (UE) 2024/2841 a Parlamentului European și a Consiliului din 23 octombrie 2024 de instituire a cardului european pentru dizabilitate și a cardului european de parcare pentru persoanele cu dizabilități (JO L, 2024/2841, 14.11.2024, ELI: </w:t>
      </w:r>
      <w:hyperlink r:id="rId4" w:tgtFrame="_blank" w:tooltip="Gives access to this document through its ELI URI." w:history="1">
        <w:r w:rsidRPr="00735118">
          <w:rPr>
            <w:rStyle w:val="Hyperlink"/>
            <w:sz w:val="24"/>
            <w:lang w:val="ro-RO"/>
          </w:rPr>
          <w:t>http://data.europa.eu/eli/dir/2024/2841/oj</w:t>
        </w:r>
      </w:hyperlink>
      <w:r w:rsidRPr="00735118">
        <w:rPr>
          <w:sz w:val="24"/>
          <w:lang w:val="ro-RO"/>
        </w:rPr>
        <w:t>).</w:t>
      </w:r>
    </w:p>
  </w:footnote>
  <w:footnote w:id="5">
    <w:p w14:paraId="551035F3" w14:textId="2AB59181" w:rsidR="00A233B3" w:rsidRPr="00735118" w:rsidRDefault="00A233B3" w:rsidP="00735118">
      <w:pPr>
        <w:pStyle w:val="FootnoteText"/>
        <w:ind w:left="567" w:hanging="567"/>
        <w:rPr>
          <w:sz w:val="24"/>
          <w:lang w:val="ro-RO"/>
        </w:rPr>
      </w:pPr>
      <w:r w:rsidRPr="00735118">
        <w:rPr>
          <w:rStyle w:val="FootnoteReference"/>
          <w:sz w:val="24"/>
          <w:lang w:val="ro-RO"/>
        </w:rPr>
        <w:footnoteRef/>
      </w:r>
      <w:r w:rsidR="00735118" w:rsidRPr="00735118">
        <w:rPr>
          <w:sz w:val="24"/>
          <w:lang w:val="ro-RO"/>
        </w:rPr>
        <w:t xml:space="preserve"> </w:t>
      </w:r>
      <w:r w:rsidR="00735118" w:rsidRPr="00735118">
        <w:rPr>
          <w:sz w:val="24"/>
          <w:lang w:val="ro-RO"/>
        </w:rPr>
        <w:tab/>
      </w:r>
      <w:r w:rsidRPr="00735118">
        <w:rPr>
          <w:sz w:val="24"/>
          <w:lang w:val="ro-RO"/>
        </w:rPr>
        <w:t xml:space="preserve">JO C, C/2025/1278, 13.3.2025, ELI: </w:t>
      </w:r>
      <w:hyperlink r:id="rId5" w:history="1">
        <w:r w:rsidRPr="00735118">
          <w:rPr>
            <w:rStyle w:val="Hyperlink"/>
            <w:sz w:val="24"/>
            <w:lang w:val="ro-RO"/>
          </w:rPr>
          <w:t>http://data.europa.eu/eli/C/2025/1278/oj</w:t>
        </w:r>
      </w:hyperlink>
      <w:r w:rsidRPr="0073511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2E8B" w14:textId="77777777" w:rsidR="00064002" w:rsidRPr="007351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02A7" w14:textId="77777777" w:rsidR="00064002" w:rsidRPr="007351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3390" w14:textId="77777777" w:rsidR="00064002" w:rsidRPr="007351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5358310">
    <w:abstractNumId w:val="9"/>
  </w:num>
  <w:num w:numId="2" w16cid:durableId="1176845610">
    <w:abstractNumId w:val="9"/>
  </w:num>
  <w:num w:numId="3" w16cid:durableId="1795442253">
    <w:abstractNumId w:val="7"/>
  </w:num>
  <w:num w:numId="4" w16cid:durableId="1004359702">
    <w:abstractNumId w:val="7"/>
  </w:num>
  <w:num w:numId="5" w16cid:durableId="796530277">
    <w:abstractNumId w:val="6"/>
  </w:num>
  <w:num w:numId="6" w16cid:durableId="1343780462">
    <w:abstractNumId w:val="6"/>
  </w:num>
  <w:num w:numId="7" w16cid:durableId="637032920">
    <w:abstractNumId w:val="5"/>
  </w:num>
  <w:num w:numId="8" w16cid:durableId="2098552989">
    <w:abstractNumId w:val="5"/>
  </w:num>
  <w:num w:numId="9" w16cid:durableId="702897950">
    <w:abstractNumId w:val="4"/>
  </w:num>
  <w:num w:numId="10" w16cid:durableId="9379120">
    <w:abstractNumId w:val="4"/>
  </w:num>
  <w:num w:numId="11" w16cid:durableId="799301956">
    <w:abstractNumId w:val="8"/>
  </w:num>
  <w:num w:numId="12" w16cid:durableId="64449914">
    <w:abstractNumId w:val="8"/>
  </w:num>
  <w:num w:numId="13" w16cid:durableId="1583445944">
    <w:abstractNumId w:val="3"/>
  </w:num>
  <w:num w:numId="14" w16cid:durableId="1951473653">
    <w:abstractNumId w:val="3"/>
  </w:num>
  <w:num w:numId="15" w16cid:durableId="182398352">
    <w:abstractNumId w:val="2"/>
  </w:num>
  <w:num w:numId="16" w16cid:durableId="1787918531">
    <w:abstractNumId w:val="2"/>
  </w:num>
  <w:num w:numId="17" w16cid:durableId="2026900324">
    <w:abstractNumId w:val="1"/>
  </w:num>
  <w:num w:numId="18" w16cid:durableId="1540896328">
    <w:abstractNumId w:val="1"/>
  </w:num>
  <w:num w:numId="19" w16cid:durableId="541669905">
    <w:abstractNumId w:val="0"/>
  </w:num>
  <w:num w:numId="20" w16cid:durableId="242032454">
    <w:abstractNumId w:val="0"/>
  </w:num>
  <w:num w:numId="21" w16cid:durableId="520778550">
    <w:abstractNumId w:val="9"/>
  </w:num>
  <w:num w:numId="22" w16cid:durableId="898323348">
    <w:abstractNumId w:val="7"/>
  </w:num>
  <w:num w:numId="23" w16cid:durableId="1506822549">
    <w:abstractNumId w:val="6"/>
  </w:num>
  <w:num w:numId="24" w16cid:durableId="1577938286">
    <w:abstractNumId w:val="5"/>
  </w:num>
  <w:num w:numId="25" w16cid:durableId="1091120540">
    <w:abstractNumId w:val="4"/>
  </w:num>
  <w:num w:numId="26" w16cid:durableId="505947349">
    <w:abstractNumId w:val="8"/>
  </w:num>
  <w:num w:numId="27" w16cid:durableId="1326973436">
    <w:abstractNumId w:val="3"/>
  </w:num>
  <w:num w:numId="28" w16cid:durableId="687633728">
    <w:abstractNumId w:val="2"/>
  </w:num>
  <w:num w:numId="29" w16cid:durableId="1166093783">
    <w:abstractNumId w:val="1"/>
  </w:num>
  <w:num w:numId="30" w16cid:durableId="456488375">
    <w:abstractNumId w:val="0"/>
  </w:num>
  <w:num w:numId="31" w16cid:durableId="895318547">
    <w:abstractNumId w:val="9"/>
  </w:num>
  <w:num w:numId="32" w16cid:durableId="1336692884">
    <w:abstractNumId w:val="7"/>
  </w:num>
  <w:num w:numId="33" w16cid:durableId="1853565843">
    <w:abstractNumId w:val="6"/>
  </w:num>
  <w:num w:numId="34" w16cid:durableId="1021316313">
    <w:abstractNumId w:val="5"/>
  </w:num>
  <w:num w:numId="35" w16cid:durableId="1178042264">
    <w:abstractNumId w:val="4"/>
  </w:num>
  <w:num w:numId="36" w16cid:durableId="1148017412">
    <w:abstractNumId w:val="8"/>
  </w:num>
  <w:num w:numId="37" w16cid:durableId="1956254306">
    <w:abstractNumId w:val="3"/>
  </w:num>
  <w:num w:numId="38" w16cid:durableId="1943293366">
    <w:abstractNumId w:val="2"/>
  </w:num>
  <w:num w:numId="39" w16cid:durableId="302586476">
    <w:abstractNumId w:val="1"/>
  </w:num>
  <w:num w:numId="40" w16cid:durableId="308827542">
    <w:abstractNumId w:val="0"/>
  </w:num>
  <w:num w:numId="41" w16cid:durableId="1322387520">
    <w:abstractNumId w:val="10"/>
  </w:num>
  <w:num w:numId="42" w16cid:durableId="1172255903">
    <w:abstractNumId w:val="10"/>
  </w:num>
  <w:num w:numId="43" w16cid:durableId="656416889">
    <w:abstractNumId w:val="10"/>
  </w:num>
  <w:num w:numId="44" w16cid:durableId="952858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RO"/>
    <w:docVar w:name="dvnumam" w:val="0"/>
    <w:docVar w:name="dvpe" w:val="773.363"/>
    <w:docVar w:name="dvrapporteur" w:val="Raportor: "/>
    <w:docVar w:name="dvtitre" w:val="Rezoluția Parlamentului European din 9 octombrie 2025 referitoare la deliberările Comisiei pentru petiții din cursul anului 2024(2025/2114(INI))"/>
  </w:docVars>
  <w:rsids>
    <w:rsidRoot w:val="002746BF"/>
    <w:rsid w:val="00002272"/>
    <w:rsid w:val="00030D5B"/>
    <w:rsid w:val="00064002"/>
    <w:rsid w:val="000677B9"/>
    <w:rsid w:val="000831BA"/>
    <w:rsid w:val="000A42CC"/>
    <w:rsid w:val="000E7DD9"/>
    <w:rsid w:val="0010095E"/>
    <w:rsid w:val="00125B37"/>
    <w:rsid w:val="00187494"/>
    <w:rsid w:val="001F32AE"/>
    <w:rsid w:val="002746B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118"/>
    <w:rsid w:val="00747932"/>
    <w:rsid w:val="00751A4A"/>
    <w:rsid w:val="00756632"/>
    <w:rsid w:val="00762C74"/>
    <w:rsid w:val="00786EC0"/>
    <w:rsid w:val="007A102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3B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3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AB77A"/>
  <w15:chartTrackingRefBased/>
  <w15:docId w15:val="{FB551291-F3AE-491C-845C-100AD4DA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33B3"/>
    <w:rPr>
      <w:b/>
      <w:kern w:val="28"/>
      <w:sz w:val="28"/>
      <w:lang w:val="fr-FR" w:eastAsia="fr-FR"/>
    </w:rPr>
  </w:style>
  <w:style w:type="character" w:customStyle="1" w:styleId="Heading2Char">
    <w:name w:val="Heading 2 Char"/>
    <w:basedOn w:val="DefaultParagraphFont"/>
    <w:link w:val="Heading2"/>
    <w:semiHidden/>
    <w:rsid w:val="00A233B3"/>
    <w:rPr>
      <w:sz w:val="24"/>
      <w:lang w:val="fr-FR" w:eastAsia="fr-FR"/>
    </w:rPr>
  </w:style>
  <w:style w:type="character" w:customStyle="1" w:styleId="Heading3Char">
    <w:name w:val="Heading 3 Char"/>
    <w:basedOn w:val="DefaultParagraphFont"/>
    <w:link w:val="Heading3"/>
    <w:semiHidden/>
    <w:rsid w:val="00A233B3"/>
    <w:rPr>
      <w:rFonts w:ascii="Arial" w:hAnsi="Arial"/>
      <w:sz w:val="24"/>
      <w:lang w:val="fr-FR" w:eastAsia="fr-FR"/>
    </w:rPr>
  </w:style>
  <w:style w:type="character" w:customStyle="1" w:styleId="Heading4Char">
    <w:name w:val="Heading 4 Char"/>
    <w:basedOn w:val="DefaultParagraphFont"/>
    <w:link w:val="Heading4"/>
    <w:semiHidden/>
    <w:rsid w:val="00A233B3"/>
    <w:rPr>
      <w:sz w:val="24"/>
      <w:lang w:val="en-US" w:eastAsia="fr-FR"/>
    </w:rPr>
  </w:style>
  <w:style w:type="character" w:customStyle="1" w:styleId="Heading5Char">
    <w:name w:val="Heading 5 Char"/>
    <w:basedOn w:val="DefaultParagraphFont"/>
    <w:link w:val="Heading5"/>
    <w:semiHidden/>
    <w:rsid w:val="00A233B3"/>
    <w:rPr>
      <w:sz w:val="24"/>
      <w:lang w:val="en-US" w:eastAsia="fr-FR"/>
    </w:rPr>
  </w:style>
  <w:style w:type="character" w:customStyle="1" w:styleId="Heading6Char">
    <w:name w:val="Heading 6 Char"/>
    <w:basedOn w:val="DefaultParagraphFont"/>
    <w:link w:val="Heading6"/>
    <w:semiHidden/>
    <w:rsid w:val="00A233B3"/>
    <w:rPr>
      <w:i/>
      <w:sz w:val="22"/>
      <w:lang w:val="ro-RO"/>
    </w:rPr>
  </w:style>
  <w:style w:type="character" w:customStyle="1" w:styleId="Heading7Char">
    <w:name w:val="Heading 7 Char"/>
    <w:basedOn w:val="DefaultParagraphFont"/>
    <w:link w:val="Heading7"/>
    <w:semiHidden/>
    <w:rsid w:val="00A233B3"/>
    <w:rPr>
      <w:rFonts w:ascii="Arial" w:hAnsi="Arial"/>
      <w:sz w:val="24"/>
      <w:lang w:val="ro-RO"/>
    </w:rPr>
  </w:style>
  <w:style w:type="character" w:customStyle="1" w:styleId="Heading8Char">
    <w:name w:val="Heading 8 Char"/>
    <w:basedOn w:val="DefaultParagraphFont"/>
    <w:link w:val="Heading8"/>
    <w:semiHidden/>
    <w:rsid w:val="00A233B3"/>
    <w:rPr>
      <w:rFonts w:ascii="Arial" w:hAnsi="Arial"/>
      <w:i/>
      <w:sz w:val="24"/>
      <w:lang w:val="ro-RO"/>
    </w:rPr>
  </w:style>
  <w:style w:type="character" w:customStyle="1" w:styleId="Heading9Char">
    <w:name w:val="Heading 9 Char"/>
    <w:basedOn w:val="DefaultParagraphFont"/>
    <w:link w:val="Heading9"/>
    <w:semiHidden/>
    <w:rsid w:val="00A233B3"/>
    <w:rPr>
      <w:rFonts w:ascii="Arial" w:hAnsi="Arial"/>
      <w:b/>
      <w:i/>
      <w:sz w:val="18"/>
      <w:lang w:val="ro-RO"/>
    </w:rPr>
  </w:style>
  <w:style w:type="paragraph" w:styleId="TOCHeading">
    <w:name w:val="TOC Heading"/>
    <w:basedOn w:val="Normal"/>
    <w:next w:val="Normal"/>
    <w:unhideWhenUsed/>
    <w:qFormat/>
    <w:rsid w:val="00A233B3"/>
    <w:pPr>
      <w:widowControl/>
      <w:spacing w:after="240"/>
    </w:pPr>
    <w:rPr>
      <w:lang w:val="en-GB"/>
    </w:rPr>
  </w:style>
  <w:style w:type="paragraph" w:customStyle="1" w:styleId="EPFooter2">
    <w:name w:val="EPFooter2"/>
    <w:basedOn w:val="Normal"/>
    <w:next w:val="Normal"/>
    <w:rsid w:val="00A233B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233B3"/>
    <w:pPr>
      <w:spacing w:after="240"/>
    </w:pPr>
  </w:style>
  <w:style w:type="paragraph" w:customStyle="1" w:styleId="TOCPage">
    <w:name w:val="TOC Page"/>
    <w:basedOn w:val="Normal"/>
    <w:next w:val="TOC1"/>
    <w:rsid w:val="00A233B3"/>
    <w:pPr>
      <w:keepNext/>
      <w:spacing w:after="240"/>
      <w:jc w:val="right"/>
    </w:pPr>
    <w:rPr>
      <w:rFonts w:ascii="Arial" w:hAnsi="Arial"/>
      <w:b/>
    </w:rPr>
  </w:style>
  <w:style w:type="paragraph" w:customStyle="1" w:styleId="PageHeading">
    <w:name w:val="PageHeading"/>
    <w:basedOn w:val="Normal"/>
    <w:uiPriority w:val="99"/>
    <w:rsid w:val="00A233B3"/>
    <w:pPr>
      <w:keepNext/>
      <w:spacing w:after="480"/>
      <w:jc w:val="center"/>
    </w:pPr>
    <w:rPr>
      <w:rFonts w:ascii="Arial" w:hAnsi="Arial" w:cs="Arial"/>
      <w:b/>
    </w:rPr>
  </w:style>
  <w:style w:type="paragraph" w:customStyle="1" w:styleId="NormalBold">
    <w:name w:val="NormalBold"/>
    <w:basedOn w:val="Normal"/>
    <w:rsid w:val="00A233B3"/>
    <w:rPr>
      <w:b/>
    </w:rPr>
  </w:style>
  <w:style w:type="paragraph" w:customStyle="1" w:styleId="NormalHanging12a">
    <w:name w:val="NormalHanging12a"/>
    <w:basedOn w:val="Normal"/>
    <w:link w:val="NormalHanging12aChar"/>
    <w:rsid w:val="00A233B3"/>
    <w:pPr>
      <w:spacing w:after="240"/>
      <w:ind w:left="567" w:hanging="567"/>
    </w:pPr>
  </w:style>
  <w:style w:type="paragraph" w:customStyle="1" w:styleId="CoverNormal24a">
    <w:name w:val="CoverNormal24a"/>
    <w:basedOn w:val="Normal"/>
    <w:rsid w:val="00A233B3"/>
    <w:pPr>
      <w:spacing w:after="480"/>
      <w:ind w:left="1417"/>
    </w:pPr>
  </w:style>
  <w:style w:type="paragraph" w:customStyle="1" w:styleId="CoverNormal">
    <w:name w:val="CoverNormal"/>
    <w:basedOn w:val="Normal"/>
    <w:rsid w:val="00A233B3"/>
    <w:pPr>
      <w:ind w:left="1418"/>
    </w:pPr>
  </w:style>
  <w:style w:type="paragraph" w:customStyle="1" w:styleId="CoverReference">
    <w:name w:val="CoverReference"/>
    <w:basedOn w:val="Normal"/>
    <w:rsid w:val="00A233B3"/>
    <w:pPr>
      <w:spacing w:before="1080"/>
      <w:jc w:val="right"/>
    </w:pPr>
    <w:rPr>
      <w:rFonts w:ascii="Arial" w:hAnsi="Arial" w:cs="Arial"/>
      <w:b/>
    </w:rPr>
  </w:style>
  <w:style w:type="paragraph" w:customStyle="1" w:styleId="CoverDocType24a">
    <w:name w:val="CoverDocType24a"/>
    <w:basedOn w:val="Normal"/>
    <w:rsid w:val="00A233B3"/>
    <w:pPr>
      <w:spacing w:after="480"/>
      <w:ind w:left="1418"/>
    </w:pPr>
    <w:rPr>
      <w:rFonts w:ascii="Arial" w:hAnsi="Arial"/>
      <w:b/>
      <w:sz w:val="48"/>
    </w:rPr>
  </w:style>
  <w:style w:type="paragraph" w:customStyle="1" w:styleId="CoverDate">
    <w:name w:val="CoverDate"/>
    <w:basedOn w:val="Normal"/>
    <w:rsid w:val="00A233B3"/>
    <w:pPr>
      <w:spacing w:before="240" w:after="1200"/>
    </w:pPr>
  </w:style>
  <w:style w:type="paragraph" w:styleId="Header">
    <w:name w:val="header"/>
    <w:basedOn w:val="Normal"/>
    <w:link w:val="HeaderChar"/>
    <w:rsid w:val="00A233B3"/>
    <w:pPr>
      <w:tabs>
        <w:tab w:val="center" w:pos="4513"/>
        <w:tab w:val="right" w:pos="9026"/>
      </w:tabs>
    </w:pPr>
  </w:style>
  <w:style w:type="character" w:customStyle="1" w:styleId="HeaderChar">
    <w:name w:val="Header Char"/>
    <w:basedOn w:val="DefaultParagraphFont"/>
    <w:link w:val="Header"/>
    <w:rsid w:val="00A233B3"/>
    <w:rPr>
      <w:sz w:val="24"/>
      <w:lang w:val="ro-RO"/>
    </w:rPr>
  </w:style>
  <w:style w:type="paragraph" w:styleId="TOC4">
    <w:name w:val="toc 4"/>
    <w:basedOn w:val="Normal"/>
    <w:next w:val="Normal"/>
    <w:autoRedefine/>
    <w:rsid w:val="00A233B3"/>
    <w:pPr>
      <w:ind w:left="720"/>
    </w:pPr>
  </w:style>
  <w:style w:type="paragraph" w:styleId="TOC5">
    <w:name w:val="toc 5"/>
    <w:basedOn w:val="Normal"/>
    <w:next w:val="Normal"/>
    <w:autoRedefine/>
    <w:rsid w:val="00A233B3"/>
    <w:pPr>
      <w:ind w:left="960"/>
    </w:pPr>
  </w:style>
  <w:style w:type="paragraph" w:styleId="TOC6">
    <w:name w:val="toc 6"/>
    <w:basedOn w:val="Normal"/>
    <w:next w:val="Normal"/>
    <w:autoRedefine/>
    <w:rsid w:val="00A233B3"/>
    <w:pPr>
      <w:ind w:left="1200"/>
    </w:pPr>
  </w:style>
  <w:style w:type="paragraph" w:styleId="TOC7">
    <w:name w:val="toc 7"/>
    <w:basedOn w:val="Normal"/>
    <w:next w:val="Normal"/>
    <w:autoRedefine/>
    <w:rsid w:val="00A233B3"/>
    <w:pPr>
      <w:ind w:left="1440"/>
    </w:pPr>
  </w:style>
  <w:style w:type="paragraph" w:styleId="TOC8">
    <w:name w:val="toc 8"/>
    <w:basedOn w:val="Normal"/>
    <w:next w:val="Normal"/>
    <w:autoRedefine/>
    <w:rsid w:val="00A233B3"/>
    <w:pPr>
      <w:ind w:left="1680"/>
    </w:pPr>
  </w:style>
  <w:style w:type="paragraph" w:styleId="TOC9">
    <w:name w:val="toc 9"/>
    <w:basedOn w:val="Normal"/>
    <w:next w:val="Normal"/>
    <w:autoRedefine/>
    <w:rsid w:val="00A233B3"/>
    <w:pPr>
      <w:ind w:left="1920"/>
    </w:pPr>
  </w:style>
  <w:style w:type="paragraph" w:customStyle="1" w:styleId="EPBody">
    <w:name w:val="EPBody"/>
    <w:basedOn w:val="Normal"/>
    <w:rsid w:val="00A233B3"/>
    <w:pPr>
      <w:jc w:val="center"/>
    </w:pPr>
    <w:rPr>
      <w:rFonts w:ascii="Arial" w:hAnsi="Arial" w:cs="Arial"/>
      <w:i/>
      <w:sz w:val="22"/>
      <w:szCs w:val="22"/>
    </w:rPr>
  </w:style>
  <w:style w:type="paragraph" w:customStyle="1" w:styleId="EPFooter">
    <w:name w:val="EPFooter"/>
    <w:basedOn w:val="Normal"/>
    <w:rsid w:val="00A233B3"/>
    <w:pPr>
      <w:tabs>
        <w:tab w:val="center" w:pos="4535"/>
        <w:tab w:val="right" w:pos="9071"/>
      </w:tabs>
      <w:spacing w:before="240" w:after="240"/>
    </w:pPr>
    <w:rPr>
      <w:color w:val="010000"/>
      <w:sz w:val="22"/>
    </w:rPr>
  </w:style>
  <w:style w:type="paragraph" w:customStyle="1" w:styleId="EPComma">
    <w:name w:val="EPComma"/>
    <w:basedOn w:val="Normal"/>
    <w:uiPriority w:val="99"/>
    <w:rsid w:val="00A233B3"/>
    <w:pPr>
      <w:spacing w:before="480" w:after="240"/>
    </w:pPr>
  </w:style>
  <w:style w:type="paragraph" w:styleId="Footer">
    <w:name w:val="footer"/>
    <w:basedOn w:val="Normal"/>
    <w:link w:val="FooterChar"/>
    <w:rsid w:val="00A233B3"/>
    <w:pPr>
      <w:tabs>
        <w:tab w:val="center" w:pos="4513"/>
        <w:tab w:val="right" w:pos="9026"/>
      </w:tabs>
    </w:pPr>
  </w:style>
  <w:style w:type="character" w:customStyle="1" w:styleId="FooterChar">
    <w:name w:val="Footer Char"/>
    <w:basedOn w:val="DefaultParagraphFont"/>
    <w:link w:val="Footer"/>
    <w:rsid w:val="00A233B3"/>
    <w:rPr>
      <w:sz w:val="24"/>
      <w:lang w:val="ro-RO"/>
    </w:rPr>
  </w:style>
  <w:style w:type="paragraph" w:styleId="BalloonText">
    <w:name w:val="Balloon Text"/>
    <w:basedOn w:val="Normal"/>
    <w:link w:val="BalloonTextChar"/>
    <w:unhideWhenUsed/>
    <w:rsid w:val="00A233B3"/>
    <w:rPr>
      <w:rFonts w:ascii="Segoe UI" w:hAnsi="Segoe UI" w:cs="Segoe UI"/>
      <w:sz w:val="18"/>
      <w:szCs w:val="18"/>
    </w:rPr>
  </w:style>
  <w:style w:type="character" w:customStyle="1" w:styleId="BalloonTextChar">
    <w:name w:val="Balloon Text Char"/>
    <w:basedOn w:val="DefaultParagraphFont"/>
    <w:link w:val="BalloonText"/>
    <w:rsid w:val="00A233B3"/>
    <w:rPr>
      <w:rFonts w:ascii="Segoe UI" w:hAnsi="Segoe UI" w:cs="Segoe UI"/>
      <w:sz w:val="18"/>
      <w:szCs w:val="18"/>
      <w:lang w:val="ro-RO"/>
    </w:rPr>
  </w:style>
  <w:style w:type="character" w:styleId="CommentReference">
    <w:name w:val="annotation reference"/>
    <w:basedOn w:val="DefaultParagraphFont"/>
    <w:rsid w:val="00A233B3"/>
    <w:rPr>
      <w:sz w:val="16"/>
      <w:szCs w:val="16"/>
    </w:rPr>
  </w:style>
  <w:style w:type="paragraph" w:styleId="CommentText">
    <w:name w:val="annotation text"/>
    <w:basedOn w:val="Normal"/>
    <w:link w:val="CommentTextChar"/>
    <w:rsid w:val="00A233B3"/>
    <w:rPr>
      <w:sz w:val="20"/>
    </w:rPr>
  </w:style>
  <w:style w:type="character" w:customStyle="1" w:styleId="CommentTextChar">
    <w:name w:val="Comment Text Char"/>
    <w:basedOn w:val="DefaultParagraphFont"/>
    <w:link w:val="CommentText"/>
    <w:rsid w:val="00A233B3"/>
    <w:rPr>
      <w:lang w:val="ro-RO"/>
    </w:rPr>
  </w:style>
  <w:style w:type="paragraph" w:styleId="CommentSubject">
    <w:name w:val="annotation subject"/>
    <w:basedOn w:val="CommentText"/>
    <w:next w:val="CommentText"/>
    <w:link w:val="CommentSubjectChar"/>
    <w:unhideWhenUsed/>
    <w:rsid w:val="00A233B3"/>
    <w:rPr>
      <w:b/>
      <w:bCs/>
    </w:rPr>
  </w:style>
  <w:style w:type="character" w:customStyle="1" w:styleId="CommentSubjectChar">
    <w:name w:val="Comment Subject Char"/>
    <w:basedOn w:val="CommentTextChar"/>
    <w:link w:val="CommentSubject"/>
    <w:rsid w:val="00A233B3"/>
    <w:rPr>
      <w:b/>
      <w:bCs/>
      <w:lang w:val="ro-RO"/>
    </w:rPr>
  </w:style>
  <w:style w:type="character" w:styleId="Hyperlink">
    <w:name w:val="Hyperlink"/>
    <w:basedOn w:val="DefaultParagraphFont"/>
    <w:rsid w:val="00A233B3"/>
    <w:rPr>
      <w:color w:val="0563C1" w:themeColor="hyperlink"/>
      <w:u w:val="single"/>
    </w:rPr>
  </w:style>
  <w:style w:type="character" w:customStyle="1" w:styleId="NormalHanging12aChar">
    <w:name w:val="NormalHanging12a Char"/>
    <w:basedOn w:val="DefaultParagraphFont"/>
    <w:link w:val="NormalHanging12a"/>
    <w:rsid w:val="00A233B3"/>
    <w:rPr>
      <w:sz w:val="24"/>
      <w:lang w:val="ro-RO"/>
    </w:rPr>
  </w:style>
  <w:style w:type="paragraph" w:customStyle="1" w:styleId="RollCallVotes">
    <w:name w:val="RollCallVotes"/>
    <w:basedOn w:val="Normal"/>
    <w:rsid w:val="00A233B3"/>
    <w:pPr>
      <w:spacing w:before="120" w:after="120"/>
      <w:jc w:val="center"/>
    </w:pPr>
    <w:rPr>
      <w:b/>
      <w:bCs/>
      <w:snapToGrid w:val="0"/>
      <w:sz w:val="16"/>
      <w:lang w:eastAsia="en-US"/>
    </w:rPr>
  </w:style>
  <w:style w:type="paragraph" w:customStyle="1" w:styleId="RollCallTabs">
    <w:name w:val="RollCallTabs"/>
    <w:basedOn w:val="Normal"/>
    <w:qFormat/>
    <w:rsid w:val="00A233B3"/>
    <w:pPr>
      <w:tabs>
        <w:tab w:val="center" w:pos="284"/>
        <w:tab w:val="left" w:pos="426"/>
      </w:tabs>
    </w:pPr>
    <w:rPr>
      <w:snapToGrid w:val="0"/>
      <w:lang w:eastAsia="en-US"/>
    </w:rPr>
  </w:style>
  <w:style w:type="paragraph" w:customStyle="1" w:styleId="RollCallSymbols14pt">
    <w:name w:val="RollCallSymbols14pt"/>
    <w:basedOn w:val="Normal"/>
    <w:rsid w:val="00A233B3"/>
    <w:pPr>
      <w:spacing w:before="120" w:after="120"/>
      <w:jc w:val="center"/>
    </w:pPr>
    <w:rPr>
      <w:rFonts w:ascii="Arial" w:hAnsi="Arial"/>
      <w:b/>
      <w:bCs/>
      <w:snapToGrid w:val="0"/>
      <w:sz w:val="28"/>
      <w:lang w:eastAsia="en-US"/>
    </w:rPr>
  </w:style>
  <w:style w:type="paragraph" w:customStyle="1" w:styleId="RollCallTable">
    <w:name w:val="RollCallTable"/>
    <w:basedOn w:val="Normal"/>
    <w:rsid w:val="00A233B3"/>
    <w:pPr>
      <w:spacing w:before="120" w:after="120"/>
    </w:pPr>
    <w:rPr>
      <w:snapToGrid w:val="0"/>
      <w:sz w:val="16"/>
      <w:lang w:eastAsia="en-US"/>
    </w:rPr>
  </w:style>
  <w:style w:type="paragraph" w:styleId="Revision">
    <w:name w:val="Revision"/>
    <w:hidden/>
    <w:uiPriority w:val="99"/>
    <w:semiHidden/>
    <w:rsid w:val="00A233B3"/>
    <w:rPr>
      <w:sz w:val="24"/>
      <w:lang w:val="ro-RO"/>
    </w:rPr>
  </w:style>
  <w:style w:type="character" w:customStyle="1" w:styleId="UnresolvedMention1">
    <w:name w:val="Unresolved Mention1"/>
    <w:basedOn w:val="DefaultParagraphFont"/>
    <w:uiPriority w:val="99"/>
    <w:semiHidden/>
    <w:unhideWhenUsed/>
    <w:rsid w:val="00A233B3"/>
    <w:rPr>
      <w:color w:val="605E5C"/>
      <w:shd w:val="clear" w:color="auto" w:fill="E1DFDD"/>
    </w:rPr>
  </w:style>
  <w:style w:type="character" w:styleId="FollowedHyperlink">
    <w:name w:val="FollowedHyperlink"/>
    <w:basedOn w:val="DefaultParagraphFont"/>
    <w:rsid w:val="00A233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4422</Words>
  <Characters>26127</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2025-10-09T11:18:00Z</dcterms:created>
  <dcterms:modified xsi:type="dcterms:W3CDTF">2025-10-09T11:18:00Z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A10-0170/2025</vt:lpwstr>
  </property>
  <property fmtid="{D5CDD505-2E9C-101B-9397-08002B2CF9AE}" pid="4" name="&lt;Type&gt;">
    <vt:lpwstr>RR</vt:lpwstr>
  </property>
</Properties>
</file>