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E26" w14:paraId="1074D1E8" w14:textId="77777777" w:rsidTr="0010095E">
        <w:trPr>
          <w:trHeight w:hRule="exact" w:val="1418"/>
        </w:trPr>
        <w:tc>
          <w:tcPr>
            <w:tcW w:w="6804" w:type="dxa"/>
            <w:shd w:val="clear" w:color="auto" w:fill="auto"/>
            <w:vAlign w:val="center"/>
          </w:tcPr>
          <w:p w14:paraId="6B358D5C" w14:textId="77777777" w:rsidR="00751A4A" w:rsidRPr="002D7E26" w:rsidRDefault="00F5260A" w:rsidP="0010095E">
            <w:pPr>
              <w:pStyle w:val="EPName"/>
            </w:pPr>
            <w:r w:rsidRPr="002D7E26">
              <w:t>Európsky parlament</w:t>
            </w:r>
          </w:p>
          <w:p w14:paraId="007D0194" w14:textId="77777777" w:rsidR="00751A4A" w:rsidRPr="002D7E26" w:rsidRDefault="005F1B17" w:rsidP="005F1B17">
            <w:pPr>
              <w:pStyle w:val="EPTerm"/>
              <w:rPr>
                <w:rStyle w:val="HideTWBExt"/>
                <w:noProof w:val="0"/>
                <w:vanish w:val="0"/>
                <w:color w:val="auto"/>
              </w:rPr>
            </w:pPr>
            <w:r w:rsidRPr="002D7E26">
              <w:t>2024</w:t>
            </w:r>
            <w:r w:rsidR="00817416" w:rsidRPr="002D7E26">
              <w:t>-202</w:t>
            </w:r>
            <w:r w:rsidRPr="002D7E26">
              <w:t>9</w:t>
            </w:r>
          </w:p>
        </w:tc>
        <w:tc>
          <w:tcPr>
            <w:tcW w:w="2268" w:type="dxa"/>
            <w:shd w:val="clear" w:color="auto" w:fill="auto"/>
          </w:tcPr>
          <w:p w14:paraId="56B247AE" w14:textId="77777777" w:rsidR="00751A4A" w:rsidRPr="002D7E26" w:rsidRDefault="00187494" w:rsidP="0010095E">
            <w:pPr>
              <w:pStyle w:val="EPLogo"/>
            </w:pPr>
            <w:r w:rsidRPr="002D7E26">
              <w:rPr>
                <w:noProof/>
                <w:lang w:eastAsia="ja-JP"/>
              </w:rPr>
              <w:drawing>
                <wp:inline distT="0" distB="0" distL="0" distR="0" wp14:anchorId="0583B2C1" wp14:editId="286D3C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A55B3D" w14:textId="77777777" w:rsidR="00D058B8" w:rsidRPr="002D7E26" w:rsidRDefault="00D058B8" w:rsidP="004C5D52">
      <w:pPr>
        <w:pStyle w:val="LineTop"/>
      </w:pPr>
    </w:p>
    <w:p w14:paraId="1EAA2893" w14:textId="77777777" w:rsidR="00680577" w:rsidRPr="002D7E26" w:rsidRDefault="00F5260A" w:rsidP="00680577">
      <w:pPr>
        <w:pStyle w:val="EPBodyTA1"/>
      </w:pPr>
      <w:r w:rsidRPr="002D7E26">
        <w:t>PRIJATÉ TEXTY</w:t>
      </w:r>
    </w:p>
    <w:p w14:paraId="00E35B29" w14:textId="77777777" w:rsidR="00D058B8" w:rsidRPr="002D7E26" w:rsidRDefault="00D058B8" w:rsidP="00D058B8">
      <w:pPr>
        <w:pStyle w:val="LineBottom"/>
      </w:pPr>
    </w:p>
    <w:p w14:paraId="2D2CD983" w14:textId="34A55120" w:rsidR="00F5260A" w:rsidRPr="002D7E26" w:rsidRDefault="00F5260A" w:rsidP="00F5260A">
      <w:pPr>
        <w:pStyle w:val="ATHeading1"/>
      </w:pPr>
      <w:bookmarkStart w:id="0" w:name="TANumber"/>
      <w:r w:rsidRPr="002D7E26">
        <w:t>P10_TA(2025)0</w:t>
      </w:r>
      <w:r w:rsidR="006E18D0">
        <w:t>228</w:t>
      </w:r>
      <w:bookmarkEnd w:id="0"/>
    </w:p>
    <w:p w14:paraId="2CA1311D" w14:textId="77777777" w:rsidR="00F5260A" w:rsidRPr="002D7E26" w:rsidRDefault="00F5260A" w:rsidP="00F5260A">
      <w:pPr>
        <w:pStyle w:val="ATHeading2"/>
      </w:pPr>
      <w:bookmarkStart w:id="1" w:name="title"/>
      <w:r w:rsidRPr="002D7E26">
        <w:t>Rokovania Výboru pre petície v roku 2024</w:t>
      </w:r>
      <w:bookmarkEnd w:id="1"/>
    </w:p>
    <w:p w14:paraId="3EE5DF31" w14:textId="77777777" w:rsidR="00F5260A" w:rsidRPr="002D7E26" w:rsidRDefault="00F5260A" w:rsidP="00F5260A">
      <w:pPr>
        <w:rPr>
          <w:i/>
          <w:vanish/>
        </w:rPr>
      </w:pPr>
      <w:r w:rsidRPr="002D7E26">
        <w:rPr>
          <w:i/>
        </w:rPr>
        <w:fldChar w:fldCharType="begin"/>
      </w:r>
      <w:r w:rsidRPr="002D7E26">
        <w:rPr>
          <w:i/>
        </w:rPr>
        <w:instrText xml:space="preserve"> TC"(</w:instrText>
      </w:r>
      <w:bookmarkStart w:id="2" w:name="DocNumber"/>
      <w:r w:rsidRPr="002D7E26">
        <w:rPr>
          <w:i/>
        </w:rPr>
        <w:instrText>A10-0170/2025</w:instrText>
      </w:r>
      <w:bookmarkEnd w:id="2"/>
      <w:r w:rsidRPr="002D7E26">
        <w:rPr>
          <w:i/>
        </w:rPr>
        <w:instrText xml:space="preserve"> - Spravodajca: Fredis Beleris)"\l3 \n&gt; \* MERGEFORMAT </w:instrText>
      </w:r>
      <w:r w:rsidRPr="002D7E26">
        <w:rPr>
          <w:i/>
        </w:rPr>
        <w:fldChar w:fldCharType="end"/>
      </w:r>
    </w:p>
    <w:p w14:paraId="13B03F18" w14:textId="77777777" w:rsidR="00F5260A" w:rsidRPr="002D7E26" w:rsidRDefault="00F5260A" w:rsidP="00F5260A">
      <w:pPr>
        <w:rPr>
          <w:vanish/>
        </w:rPr>
      </w:pPr>
      <w:bookmarkStart w:id="3" w:name="Commission"/>
      <w:r w:rsidRPr="002D7E26">
        <w:rPr>
          <w:vanish/>
        </w:rPr>
        <w:t>Výbor pre petície</w:t>
      </w:r>
      <w:bookmarkEnd w:id="3"/>
    </w:p>
    <w:p w14:paraId="6B71473F" w14:textId="77777777" w:rsidR="00F5260A" w:rsidRPr="002D7E26" w:rsidRDefault="00F5260A" w:rsidP="00F5260A">
      <w:pPr>
        <w:rPr>
          <w:vanish/>
        </w:rPr>
      </w:pPr>
      <w:bookmarkStart w:id="4" w:name="PE"/>
      <w:r w:rsidRPr="002D7E26">
        <w:rPr>
          <w:vanish/>
        </w:rPr>
        <w:t>PE773.363</w:t>
      </w:r>
      <w:bookmarkEnd w:id="4"/>
    </w:p>
    <w:p w14:paraId="73C71952" w14:textId="688DC506" w:rsidR="00F5260A" w:rsidRPr="002D7E26" w:rsidRDefault="00F5260A" w:rsidP="00F5260A">
      <w:pPr>
        <w:pStyle w:val="ATHeading3"/>
      </w:pPr>
      <w:bookmarkStart w:id="5" w:name="Sujet"/>
      <w:r w:rsidRPr="002D7E26">
        <w:t>Uznesenie Európskeho parlamentu z</w:t>
      </w:r>
      <w:r w:rsidR="00411E36">
        <w:t> 9</w:t>
      </w:r>
      <w:r w:rsidRPr="002D7E26">
        <w:t>. októbra 2025 o rokovaniach Výboru pre petície v roku 2024</w:t>
      </w:r>
      <w:bookmarkEnd w:id="5"/>
      <w:r w:rsidRPr="002D7E26">
        <w:t xml:space="preserve"> </w:t>
      </w:r>
      <w:bookmarkStart w:id="6" w:name="References"/>
      <w:r w:rsidRPr="002D7E26">
        <w:t>(2025/2114(INI))</w:t>
      </w:r>
      <w:bookmarkEnd w:id="6"/>
    </w:p>
    <w:p w14:paraId="0F15B37F" w14:textId="77777777" w:rsidR="00D576CA" w:rsidRPr="002D7E26" w:rsidRDefault="00D576CA" w:rsidP="00D576CA">
      <w:pPr>
        <w:pStyle w:val="EPComma"/>
      </w:pPr>
      <w:r w:rsidRPr="002D7E26">
        <w:rPr>
          <w:i/>
        </w:rPr>
        <w:t>Európsky parlament</w:t>
      </w:r>
      <w:r w:rsidRPr="002D7E26">
        <w:t>,</w:t>
      </w:r>
    </w:p>
    <w:p w14:paraId="4E93B666" w14:textId="77777777" w:rsidR="00D576CA" w:rsidRPr="002D7E26" w:rsidRDefault="00D576CA" w:rsidP="00D576CA">
      <w:pPr>
        <w:pStyle w:val="NormalHanging12a"/>
      </w:pPr>
      <w:r w:rsidRPr="002D7E26">
        <w:t>–</w:t>
      </w:r>
      <w:r w:rsidRPr="002D7E26">
        <w:tab/>
        <w:t>so zreteľom na predchádzajúce uznesenia o výsledku rokovaní Výboru pre petície,</w:t>
      </w:r>
    </w:p>
    <w:p w14:paraId="13C947CA" w14:textId="77777777" w:rsidR="00D576CA" w:rsidRPr="002D7E26" w:rsidRDefault="00D576CA" w:rsidP="00D576CA">
      <w:pPr>
        <w:pStyle w:val="NormalHanging12a"/>
      </w:pPr>
      <w:r w:rsidRPr="002D7E26">
        <w:t>–</w:t>
      </w:r>
      <w:r w:rsidRPr="002D7E26">
        <w:tab/>
        <w:t>so zreteľom na články 10 a 11 Zmluvy o Európskej únii,</w:t>
      </w:r>
    </w:p>
    <w:p w14:paraId="2BD3D6F8" w14:textId="77777777" w:rsidR="00D576CA" w:rsidRPr="002D7E26" w:rsidRDefault="00D576CA" w:rsidP="00D576CA">
      <w:pPr>
        <w:pStyle w:val="NormalHanging12a"/>
      </w:pPr>
      <w:r w:rsidRPr="002D7E26">
        <w:t>–</w:t>
      </w:r>
      <w:r w:rsidRPr="002D7E26">
        <w:tab/>
        <w:t>so zreteľom na články 20, 24 a 227 Zmluvy o fungovaní Európskej únie (ďalej len „ZFEÚ“) o petičnom práve občanov EÚ a osôb s bydliskom v EÚ obrátiť sa na Európsky parlament,</w:t>
      </w:r>
    </w:p>
    <w:p w14:paraId="78EA9F9D" w14:textId="77777777" w:rsidR="00D576CA" w:rsidRPr="002D7E26" w:rsidRDefault="00D576CA" w:rsidP="00D576CA">
      <w:pPr>
        <w:pStyle w:val="NormalHanging12a"/>
      </w:pPr>
      <w:r w:rsidRPr="002D7E26">
        <w:t>–</w:t>
      </w:r>
      <w:r w:rsidRPr="002D7E26">
        <w:tab/>
        <w:t>so zreteľom na článok 228 ZFEÚ o úlohe a funkciách európskeho ombudsmana,</w:t>
      </w:r>
    </w:p>
    <w:p w14:paraId="5BFA3ABA" w14:textId="77777777" w:rsidR="00D576CA" w:rsidRPr="002D7E26" w:rsidRDefault="00D576CA" w:rsidP="00D576CA">
      <w:pPr>
        <w:pStyle w:val="NormalHanging12a"/>
      </w:pPr>
      <w:r w:rsidRPr="002D7E26">
        <w:t>–</w:t>
      </w:r>
      <w:r w:rsidRPr="002D7E26">
        <w:tab/>
        <w:t>so zreteľom na článok 44 Charty základných práv Európskej únie o petičnom práve obrátiť sa na Európsky parlament,</w:t>
      </w:r>
    </w:p>
    <w:p w14:paraId="29ABD29B" w14:textId="77777777" w:rsidR="00D576CA" w:rsidRPr="002D7E26" w:rsidRDefault="00D576CA" w:rsidP="00D576CA">
      <w:pPr>
        <w:pStyle w:val="NormalHanging12a"/>
      </w:pPr>
      <w:r w:rsidRPr="002D7E26">
        <w:t>–</w:t>
      </w:r>
      <w:r w:rsidRPr="002D7E26">
        <w:tab/>
        <w:t>so zreteľom na ustanovenia ZFEÚ, ktoré sa týkajú postupu v prípade nesplnenia povinnosti, najmä na články 258 a 260,</w:t>
      </w:r>
    </w:p>
    <w:p w14:paraId="3FBB4067" w14:textId="77777777" w:rsidR="00D576CA" w:rsidRPr="002D7E26" w:rsidRDefault="00D576CA" w:rsidP="00D576CA">
      <w:pPr>
        <w:pStyle w:val="NormalHanging12a"/>
      </w:pPr>
      <w:r w:rsidRPr="002D7E26">
        <w:t>–</w:t>
      </w:r>
      <w:r w:rsidRPr="002D7E26">
        <w:tab/>
        <w:t>so zreteľom na článok 55 a článok 233 ods. 7 rokovacieho poriadku,</w:t>
      </w:r>
    </w:p>
    <w:p w14:paraId="0DA27CD3" w14:textId="77777777" w:rsidR="00D576CA" w:rsidRPr="002D7E26" w:rsidRDefault="00D576CA" w:rsidP="00D576CA">
      <w:pPr>
        <w:pStyle w:val="NormalHanging12a"/>
      </w:pPr>
      <w:r w:rsidRPr="002D7E26">
        <w:t>–</w:t>
      </w:r>
      <w:r w:rsidRPr="002D7E26">
        <w:tab/>
        <w:t>so zreteľom na správu Výboru pre petície (A10-0170/2025),</w:t>
      </w:r>
    </w:p>
    <w:p w14:paraId="2D9B501E" w14:textId="66AD144A" w:rsidR="00D576CA" w:rsidRPr="002D7E26" w:rsidRDefault="00D576CA" w:rsidP="00D576CA">
      <w:pPr>
        <w:pStyle w:val="NormalHanging12a"/>
      </w:pPr>
      <w:r w:rsidRPr="002D7E26">
        <w:t>A.</w:t>
      </w:r>
      <w:r w:rsidRPr="002D7E26">
        <w:tab/>
        <w:t xml:space="preserve">keďže po voľbách do Európskeho parlamentu, ktoré sa konali od 6. do 9. júna 2024, a po ustanovení nového </w:t>
      </w:r>
      <w:r w:rsidR="00AE50BB" w:rsidRPr="002D7E26">
        <w:t>Európsk</w:t>
      </w:r>
      <w:r w:rsidR="00AE50BB">
        <w:t>eho p</w:t>
      </w:r>
      <w:r w:rsidRPr="002D7E26">
        <w:t xml:space="preserve">arlamentu 16. júla 2024 usporiadal Výbor pre petície 23. júla 2024 svoju ustanovujúcu schôdzu; </w:t>
      </w:r>
    </w:p>
    <w:p w14:paraId="3A5D61D8" w14:textId="77777777" w:rsidR="00D576CA" w:rsidRPr="002D7E26" w:rsidRDefault="00D576CA" w:rsidP="00D576CA">
      <w:pPr>
        <w:pStyle w:val="NormalHanging12a"/>
      </w:pPr>
      <w:r w:rsidRPr="002D7E26">
        <w:t>B.</w:t>
      </w:r>
      <w:r w:rsidRPr="002D7E26">
        <w:tab/>
        <w:t>keďže cieľom výročnej správy o rokovaniach Výboru pre petície je predložiť analýzu petícií prijatých v roku 2024 a vzťahov s ostatnými inštitúciami, ako aj poskytnúť pravdivý obraz o cieľoch dosiahnutých v priebehu roka 2024;</w:t>
      </w:r>
    </w:p>
    <w:p w14:paraId="2B7F783B" w14:textId="574AD384" w:rsidR="00D576CA" w:rsidRPr="002D7E26" w:rsidRDefault="00D576CA" w:rsidP="00D576CA">
      <w:pPr>
        <w:pStyle w:val="NormalHanging12a"/>
      </w:pPr>
      <w:r w:rsidRPr="002D7E26">
        <w:t>C.</w:t>
      </w:r>
      <w:r w:rsidRPr="002D7E26">
        <w:tab/>
        <w:t xml:space="preserve">keďže v roku 2024 dostal </w:t>
      </w:r>
      <w:r w:rsidR="00AE50BB" w:rsidRPr="002D7E26">
        <w:t>Európsk</w:t>
      </w:r>
      <w:r w:rsidR="00AE50BB">
        <w:t>y p</w:t>
      </w:r>
      <w:r w:rsidRPr="002D7E26">
        <w:t xml:space="preserve">arlament 1 518 petícií, čo predstavuje nárast o 4,3 % v porovnaní s 1 452 petíciami predloženými v roku 2023 a nárast o 19,8 % v </w:t>
      </w:r>
      <w:r w:rsidRPr="002D7E26">
        <w:lastRenderedPageBreak/>
        <w:t xml:space="preserve">porovnaní s 1 217 petíciami predloženými v roku 2022; keďže celkový počet prijatých petícií je naďalej citeľne nižší v porovnaní s najvyšším počtom petícií, ktoré </w:t>
      </w:r>
      <w:r w:rsidR="00AE50BB" w:rsidRPr="002D7E26">
        <w:t>Európsk</w:t>
      </w:r>
      <w:r w:rsidR="00AE50BB">
        <w:t>y p</w:t>
      </w:r>
      <w:r w:rsidRPr="002D7E26">
        <w:t>arlament prijal v rokoch 2013 (2 891 petícií) a 2014 (2 715 petícií);</w:t>
      </w:r>
    </w:p>
    <w:p w14:paraId="54344454" w14:textId="77777777" w:rsidR="00D576CA" w:rsidRPr="002D7E26" w:rsidRDefault="00D576CA" w:rsidP="00D576CA">
      <w:pPr>
        <w:pStyle w:val="NormalHanging12a"/>
      </w:pPr>
      <w:r w:rsidRPr="002D7E26">
        <w:t>D.</w:t>
      </w:r>
      <w:r w:rsidRPr="002D7E26">
        <w:tab/>
        <w:t>keďže v roku 2024 podporilo petície na webovom portáli Európskeho parlamentu pre petície 15 661 používateľov, čo je výrazný pokles v porovnaní s 26 331 používateľmi v roku 2023 a 22 441 používateľmi v roku 2022; keďže počet kliknutí na podporu v roku 2024 takisto klesol na 17 745 v porovnaní s 29 287 v roku 2023 a 27 927 v roku 2022;</w:t>
      </w:r>
    </w:p>
    <w:p w14:paraId="742E1CA2" w14:textId="77777777" w:rsidR="00D576CA" w:rsidRPr="002D7E26" w:rsidRDefault="00D576CA" w:rsidP="00D576CA">
      <w:pPr>
        <w:pStyle w:val="NormalHanging12a"/>
      </w:pPr>
      <w:r w:rsidRPr="002D7E26">
        <w:t>E.</w:t>
      </w:r>
      <w:r w:rsidRPr="002D7E26">
        <w:tab/>
        <w:t>keďže celkový počet petícií zostáva v pomere k celkovému počtu obyvateľov EÚ nízky, čo ukazuje, že je stále potrebné zintenzívniť úsilie o zvýšenie informovanosti občanov o ich petičnom práve a o tom, že petície môžu predstavovať užitočný spôsob, ako inštitúcie EÚ a členské štáty upozorniť na témy, ktoré sa občanov priamo týkajú a ktoré ich znepokojujú; keďže Výbor pre petície, ktorý je veľmi obľúbený medzi mladými ľuďmi na podujatiach, ako je napríklad Európske podujatie pre mládež (EYE) v Štrasburgu, je účinným prostriedkom na propagáciu tohto práva a zvyšovanie povedomia o jeho význame medzi občanmi, najmä mladými ľuďmi; keďže je preto nevyhnutné zabezpečiť aktívnu a systematickú prítomnosť Výboru pre petície na každom ročníku podujatia EYE s cieľom zvýšiť jeho viditeľnosť a prístupnosť; keďže pri uplatňovaní petičného práva občania očakávajú, že hľadaním riešenia ich problémov inštitúcie EÚ poskytnú pridanú hodnotu; keďže toto petičné právo musí zároveň propagovať základné zásady, napríklad dobrú správu európskych inštitúcií, slobodu prejavu a rešpektovanie demokratického prejavu;</w:t>
      </w:r>
    </w:p>
    <w:p w14:paraId="280D760E" w14:textId="77777777" w:rsidR="00D576CA" w:rsidRPr="002D7E26" w:rsidRDefault="00D576CA" w:rsidP="00D576CA">
      <w:pPr>
        <w:pStyle w:val="NormalHanging12a"/>
      </w:pPr>
      <w:r w:rsidRPr="002D7E26">
        <w:t>F.</w:t>
      </w:r>
      <w:r w:rsidRPr="002D7E26">
        <w:tab/>
        <w:t>keďže kritériá prípustnosti petícií sú stanovené v článku 227 ZFEÚ a v článku 232 ods. 1 rokovacieho poriadku Európskeho parlamentu, v ktorých sa stanovuje, že petície musí predložiť občan EÚ alebo fyzická, či právnická osoba s bydliskom alebo sídlom v niektorom z členských štátov, a to individuálne alebo spoločne s ďalšími osobami, vo veciach, ktoré patria do pôsobnosti EÚ a ktoré sa priamo týkajú predkladateľov petície, pričom výklad tejto poslednej podmienky je veľmi široký;</w:t>
      </w:r>
    </w:p>
    <w:p w14:paraId="2776ACA9" w14:textId="77777777" w:rsidR="00D576CA" w:rsidRPr="002D7E26" w:rsidRDefault="00D576CA" w:rsidP="00D576CA">
      <w:pPr>
        <w:pStyle w:val="NormalHanging12a"/>
      </w:pPr>
      <w:r w:rsidRPr="002D7E26">
        <w:t>G.</w:t>
      </w:r>
      <w:r w:rsidRPr="002D7E26">
        <w:tab/>
        <w:t xml:space="preserve">keďže spomedzi 1 518 petícií predložených v roku 2024 bolo 611 vyhlásených za neprípustné a 31 bolo stiahnutých; keďže vysoký, rastúci percentuálny podiel (40,25 %) neprípustných petícií v roku 2024 potvrdzuje, že občania stále dostatočne nechápu rozsah oblastí zodpovednosti EÚ; keďže v záujme zníženia počtu neprípustných petícií je stále potrebné vyvíjať úsilie na ďalšie objasnenie rozsahu pôsobnosti EÚ; </w:t>
      </w:r>
    </w:p>
    <w:p w14:paraId="0ECAA45E" w14:textId="6CA162F1" w:rsidR="00D576CA" w:rsidRPr="002D7E26" w:rsidRDefault="00D576CA" w:rsidP="00D576CA">
      <w:pPr>
        <w:pStyle w:val="NormalHanging12a"/>
      </w:pPr>
      <w:r w:rsidRPr="002D7E26">
        <w:t>H.</w:t>
      </w:r>
      <w:r w:rsidRPr="002D7E26">
        <w:tab/>
        <w:t xml:space="preserve">keďže petičné právo obrátiť sa na </w:t>
      </w:r>
      <w:r w:rsidR="00AE50BB" w:rsidRPr="002D7E26">
        <w:t>Európsk</w:t>
      </w:r>
      <w:r w:rsidR="00AE50BB">
        <w:t>y p</w:t>
      </w:r>
      <w:r w:rsidRPr="002D7E26">
        <w:t>arlament je základným právom občanov EÚ a ponúka občanom aj obyvateľom otvorený, demokratický a transparentný mechanizmus, ako sa priamo obrátiť na svojich volených zástupcov; keďže mnoho osôb so zdravotným postihnutím nemá rovnaký prístup k informáciám a komunikácii z dôvodu obmedzenej dostupnosti prístupných formátov a tiež preto, že národné posunkové jazyky nie sú uznané ako súčasť viacjazyčnosti EÚ; keďže tento základný nástroj umožňuje občanom aktívne a účinne sa zúčastňovať na živote Únie; keďže občania EÚ sa môžu prostredníctvom petícií sťažovať na nevykonávanie právnych predpisov EÚ a môžu pomôcť pri odhaľovaní porušovania právnych predpisov EÚ v súlade so zásadou zvrchovanosti členských štátov a uplatňovaním zmlúv EÚ;</w:t>
      </w:r>
    </w:p>
    <w:p w14:paraId="0F105CE1" w14:textId="77777777" w:rsidR="00D576CA" w:rsidRPr="002D7E26" w:rsidRDefault="00D576CA" w:rsidP="00D576CA">
      <w:pPr>
        <w:pStyle w:val="NormalHanging12a"/>
      </w:pPr>
      <w:r w:rsidRPr="002D7E26">
        <w:t>I.</w:t>
      </w:r>
      <w:r w:rsidRPr="002D7E26">
        <w:tab/>
        <w:t xml:space="preserve">keďže Európsky parlament je dlhodobo v popredí rozvoja procesu predkladania petícií na medzinárodnej úrovni a stále má najotvorenejší a najtransparentnejší postup </w:t>
      </w:r>
      <w:r w:rsidRPr="002D7E26">
        <w:lastRenderedPageBreak/>
        <w:t>predkladania petícií v Európe, ktorý umožňuje plnú účasť predkladateľov petícií na jeho činnostiach; keďže online platforma pre petície by mohla byť intuitívnejšia, aby sa v nej používatelia mohli jednoduchšie orientovať; keďže začlenením umelej inteligencie by sa mohlo uľahčiť vyhľadávanie a mohla by sa zlepšiť dostupnosť petícií vďaka ponuke pokročilejších funkcií než v súčasnom formáte;</w:t>
      </w:r>
    </w:p>
    <w:p w14:paraId="01C7D618" w14:textId="77777777" w:rsidR="00D576CA" w:rsidRPr="002D7E26" w:rsidRDefault="00D576CA" w:rsidP="00D576CA">
      <w:pPr>
        <w:pStyle w:val="NormalHanging12a"/>
      </w:pPr>
      <w:r w:rsidRPr="002D7E26">
        <w:t>J.</w:t>
      </w:r>
      <w:r w:rsidRPr="002D7E26">
        <w:tab/>
        <w:t>keďže Výbor pre petície podčiarkuje význam väčšej transparentnosti pri vybavovaní petícií vrátane poskytovania systematickej spätnej väzby ich predkladateľom v kľúčových fázach postupu a jasného harmonogramu následných opatrení inštitúcií EÚ;</w:t>
      </w:r>
    </w:p>
    <w:p w14:paraId="6A6D0C97" w14:textId="77777777" w:rsidR="00D576CA" w:rsidRPr="002D7E26" w:rsidRDefault="00D576CA" w:rsidP="00D576CA">
      <w:pPr>
        <w:pStyle w:val="NormalHanging12a"/>
      </w:pPr>
      <w:r w:rsidRPr="002D7E26">
        <w:t>K.</w:t>
      </w:r>
      <w:r w:rsidRPr="002D7E26">
        <w:tab/>
        <w:t>keďže činnosť Výboru pre petície vychádza z podnetov predkladateľov petícií a informácií, ktoré poskytujú; keďže tieto informácie a expertíza Komisie, členských štátov a iných orgánov majú pre činnosť Výboru pre petície zásadný význam; keďže prípustné petície sú často zdrojom cenných vstupných informácií pre prácu ostatných parlamentných výborov; keďže petície preto môžu zohrávať úlohu aj v legislatívnom procese, poskytovať konkrétnu spätnú väzbu k vplyvu politík EÚ a umožniť politikám riešiť vznikajúce potreby;</w:t>
      </w:r>
    </w:p>
    <w:p w14:paraId="7488EDB2" w14:textId="788F7633" w:rsidR="00D576CA" w:rsidRPr="002D7E26" w:rsidRDefault="00D576CA" w:rsidP="00D576CA">
      <w:pPr>
        <w:pStyle w:val="NormalHanging12a"/>
      </w:pPr>
      <w:r w:rsidRPr="002D7E26">
        <w:t>L.</w:t>
      </w:r>
      <w:r w:rsidRPr="002D7E26">
        <w:tab/>
        <w:t xml:space="preserve">keďže petičné právo posilňuje schopnosť </w:t>
      </w:r>
      <w:r w:rsidR="00AE50BB" w:rsidRPr="002D7E26">
        <w:t>Európsk</w:t>
      </w:r>
      <w:r w:rsidR="00AE50BB">
        <w:t>eho p</w:t>
      </w:r>
      <w:r w:rsidRPr="002D7E26">
        <w:t>arlamentu reagovať na sťažnosti a obavy týkajúce sa rešpektovania základných práv EÚ a dodržiavania práva Únie v členských štátoch; keďže petície by mohli byť užitočným zdrojom informácií, pokiaľ ide o prípady nesprávneho uplatňovania alebo porušovania práva EÚ, a</w:t>
      </w:r>
      <w:r w:rsidR="00AE50BB">
        <w:t> </w:t>
      </w:r>
      <w:r w:rsidR="00AE50BB" w:rsidRPr="002D7E26">
        <w:t>Európsk</w:t>
      </w:r>
      <w:r w:rsidR="00AE50BB">
        <w:t>emu p</w:t>
      </w:r>
      <w:r w:rsidRPr="002D7E26">
        <w:t>arlamentu a ďalším inštitúciám by mohli umožniť posudzovať transpozíciu a uplatňovanie práva Únie a jeho vplyv na práva občanov EÚ a osôb s bydliskom v EÚ;</w:t>
      </w:r>
    </w:p>
    <w:p w14:paraId="4413CBA3" w14:textId="32B66F19" w:rsidR="00D576CA" w:rsidRPr="002D7E26" w:rsidRDefault="00D576CA" w:rsidP="00D576CA">
      <w:pPr>
        <w:pStyle w:val="NormalHanging12a"/>
      </w:pPr>
      <w:r w:rsidRPr="002D7E26">
        <w:t>M.</w:t>
      </w:r>
      <w:r w:rsidRPr="002D7E26">
        <w:tab/>
        <w:t xml:space="preserve">keďže každá petícia sa starostlivo, efektívne a transparentne posudzuje a skúma; keďže všetci predkladatelia petícií majú právo dostať odpoveď s informáciami o rozhodnutí výboru o prípustnosti a následných opatreniach, a to v primeranej lehote a vo vlastnom jazyku alebo v jazyku, v ktorom je petícia napísaná; keďže petícia č. 1056/2016, o ktorej sa diskutovalo 19. marca 2024, žiada, aby </w:t>
      </w:r>
      <w:r w:rsidR="00AE50BB" w:rsidRPr="002D7E26">
        <w:t>Európsk</w:t>
      </w:r>
      <w:r w:rsidR="00AE50BB">
        <w:t>y p</w:t>
      </w:r>
      <w:r w:rsidRPr="002D7E26">
        <w:t>arlament umožnil predkladanie petícií v národných posunkových jazykoch používaných v EÚ;</w:t>
      </w:r>
    </w:p>
    <w:p w14:paraId="4677FD5D" w14:textId="77777777" w:rsidR="00D576CA" w:rsidRPr="002D7E26" w:rsidRDefault="00D576CA" w:rsidP="00D576CA">
      <w:pPr>
        <w:pStyle w:val="NormalHanging12a"/>
      </w:pPr>
      <w:r w:rsidRPr="002D7E26">
        <w:t>N.</w:t>
      </w:r>
      <w:r w:rsidRPr="002D7E26">
        <w:tab/>
        <w:t>keďže Výbor pre petície pripisuje na svojich schôdzach najvyšší význam preskúmaniu petícií a verejnej diskusii o nich; keďže predkladatelia petícií majú právo prezentovať svoje petície a často sa zúčastňujú na diskusii, čím aktívne prispievajú k práci výboru; keďže v roku 2024 usporiadal Výbor pre petície okrem svojej ustanovujúcej schôdze osem schôdzí výboru, na ktorých sa prediskutovalo 106 petícií, pričom bolo prítomných 106 predkladateľov petícií, ktorí sa aktívne zapojili do diskusie;</w:t>
      </w:r>
    </w:p>
    <w:p w14:paraId="043FA7C3" w14:textId="77777777" w:rsidR="00D576CA" w:rsidRPr="002D7E26" w:rsidRDefault="00D576CA" w:rsidP="00D576CA">
      <w:pPr>
        <w:pStyle w:val="NormalHanging12a"/>
      </w:pPr>
      <w:r w:rsidRPr="002D7E26">
        <w:t>O.</w:t>
      </w:r>
      <w:r w:rsidRPr="002D7E26">
        <w:tab/>
        <w:t>keďže hlavné problémy, na ktoré upozorňovali petície predložené v roku 2024, sa týkali životného prostredia, základných práv, právneho štátu (vrátane práva na dobrú správu vecí verejných, práva na prístup k dokumentom a slobody prejavu a práva na informácie), vnútorného trhu, spravodlivosti, práv spotrebiteľov a zdravia;</w:t>
      </w:r>
    </w:p>
    <w:p w14:paraId="1913A88D" w14:textId="77777777" w:rsidR="00D576CA" w:rsidRPr="002D7E26" w:rsidRDefault="00D576CA" w:rsidP="00D576CA">
      <w:pPr>
        <w:pStyle w:val="NormalHanging12a"/>
      </w:pPr>
      <w:r w:rsidRPr="002D7E26">
        <w:t>P.</w:t>
      </w:r>
      <w:r w:rsidRPr="002D7E26">
        <w:tab/>
        <w:t>keďže Výbor pre petície sa pri prijímaní svojho programu schôdze snaží diskutovať o petíciách a témach s vysokou mierou relevantnosti pre diskusiu na úrovni EÚ a potrebe zachovať vyvážené geografické pokrytie tém podľa doručených petícií;</w:t>
      </w:r>
    </w:p>
    <w:p w14:paraId="2235F25B" w14:textId="3A1CC137" w:rsidR="00D576CA" w:rsidRPr="002D7E26" w:rsidRDefault="00D576CA" w:rsidP="00D576CA">
      <w:pPr>
        <w:pStyle w:val="NormalHanging12a"/>
      </w:pPr>
      <w:r w:rsidRPr="002D7E26">
        <w:t>Q.</w:t>
      </w:r>
      <w:r w:rsidRPr="002D7E26">
        <w:tab/>
        <w:t xml:space="preserve">keďže 82 % petícií predložených </w:t>
      </w:r>
      <w:r w:rsidR="00AE50BB" w:rsidRPr="002D7E26">
        <w:t>Európsk</w:t>
      </w:r>
      <w:r w:rsidR="00AE50BB">
        <w:t>emu p</w:t>
      </w:r>
      <w:r w:rsidRPr="002D7E26">
        <w:t xml:space="preserve">arlamentu v roku 2024 bolo podaných prostredníctvom webového portálu Európskeho parlamentu pre petície, čo je takmer </w:t>
      </w:r>
      <w:r w:rsidRPr="002D7E26">
        <w:lastRenderedPageBreak/>
        <w:t xml:space="preserve">rovnako ako v roku 2023 (82,4 % petícií), čím sa potvrdilo, že portál je zďaleka najpoužívanejší kanál pre občanov na predkladanie petícií </w:t>
      </w:r>
      <w:r w:rsidR="00AE50BB" w:rsidRPr="002D7E26">
        <w:t>Európsk</w:t>
      </w:r>
      <w:r w:rsidR="00AE50BB">
        <w:t>emu p</w:t>
      </w:r>
      <w:r w:rsidRPr="002D7E26">
        <w:t>arlamentu;</w:t>
      </w:r>
    </w:p>
    <w:p w14:paraId="0A9F4B54" w14:textId="77777777" w:rsidR="00D576CA" w:rsidRPr="002D7E26" w:rsidRDefault="00D576CA" w:rsidP="00D576CA">
      <w:pPr>
        <w:pStyle w:val="NormalHanging12a"/>
      </w:pPr>
      <w:r w:rsidRPr="002D7E26">
        <w:t>R.</w:t>
      </w:r>
      <w:r w:rsidRPr="002D7E26">
        <w:tab/>
        <w:t>keďže vylepšený webový portál pre petície automaticky uverejňuje informácie o prijatí petícií a zmenách stavu, dodatočné informácie (napr. krajina, témy) a zhrnutia vo všetkých 24 úradných jazykoch EÚ; keďže počas roka 2024 boli všetky petície opäť pripravené a zverejnené včas, do niekoľkých dní od ich prijatia, a na všetky interné a externé žiadosti o podporu týkajúce sa používania a obsahu webového portálu pre petície sa odpovedalo úspešne, včas a v akomkoľvek úradnom jazyku EÚ;</w:t>
      </w:r>
    </w:p>
    <w:p w14:paraId="1C1986D2" w14:textId="77777777" w:rsidR="00D576CA" w:rsidRPr="002D7E26" w:rsidRDefault="00D576CA" w:rsidP="00D576CA">
      <w:pPr>
        <w:pStyle w:val="NormalHanging12a"/>
      </w:pPr>
      <w:r w:rsidRPr="002D7E26">
        <w:t>S.</w:t>
      </w:r>
      <w:r w:rsidRPr="002D7E26">
        <w:tab/>
        <w:t>keďže v roku 2024 sa neuskutočnili žiadne návštevy na účely zistenia potrebných skutočností v súvislosti s petíciami, pri ktorých prebiehalo vyšetrovanie, z dôvodu prestávky spôsobenej voľbami do Európskeho parlamentu; keďže výbor vykonal následné posúdenie a prijal dve správy o predchádzajúcich návštevách na účely zistenia potrebných skutočností, ktoré sa uskutočnili v roku 2023; keďže na prvý polrok 2025 boli naplánované dve návštevy na účely zistenia potrebných skutočností;</w:t>
      </w:r>
    </w:p>
    <w:p w14:paraId="1A55EDB3" w14:textId="77777777" w:rsidR="00D576CA" w:rsidRPr="002D7E26" w:rsidRDefault="00D576CA" w:rsidP="00D576CA">
      <w:pPr>
        <w:pStyle w:val="NormalHanging12a"/>
      </w:pPr>
      <w:r w:rsidRPr="002D7E26">
        <w:t>T.</w:t>
      </w:r>
      <w:r w:rsidRPr="002D7E26">
        <w:tab/>
        <w:t xml:space="preserve">keďže Výbor pre petície sa ako pozvaný výbor 4. novembra 2024 zúčastnil na potvrdzujúcom vypočutí dezignovaného komisára pre obchod a hospodársku bezpečnosť, </w:t>
      </w:r>
      <w:proofErr w:type="spellStart"/>
      <w:r w:rsidRPr="002D7E26">
        <w:t>medziinštitucionálne</w:t>
      </w:r>
      <w:proofErr w:type="spellEnd"/>
      <w:r w:rsidRPr="002D7E26">
        <w:t xml:space="preserve"> vzťahy a transparentnosť Maroša </w:t>
      </w:r>
      <w:proofErr w:type="spellStart"/>
      <w:r w:rsidRPr="002D7E26">
        <w:t>Šefčoviča</w:t>
      </w:r>
      <w:proofErr w:type="spellEnd"/>
      <w:r w:rsidRPr="002D7E26">
        <w:t xml:space="preserve">; keďže Maroš </w:t>
      </w:r>
      <w:proofErr w:type="spellStart"/>
      <w:r w:rsidRPr="002D7E26">
        <w:t>Šefčovič</w:t>
      </w:r>
      <w:proofErr w:type="spellEnd"/>
      <w:r w:rsidRPr="002D7E26">
        <w:t xml:space="preserve"> v odpovedi na písomné a ústne otázky, ktoré mu položil Výbor pre petície v súvislosti s potvrdzujúcim vypočutím, prijal niekoľko záväzkov týkajúcich sa petičného procesu a transparentnosti opatrení Komisie v oblasti presadzovania práva; </w:t>
      </w:r>
    </w:p>
    <w:p w14:paraId="6D8CA379" w14:textId="7C2D3604" w:rsidR="00D576CA" w:rsidRPr="002D7E26" w:rsidRDefault="00D576CA" w:rsidP="00D576CA">
      <w:pPr>
        <w:pStyle w:val="NormalHanging12a"/>
      </w:pPr>
      <w:r w:rsidRPr="002D7E26">
        <w:t>U.</w:t>
      </w:r>
      <w:r w:rsidRPr="002D7E26">
        <w:tab/>
        <w:t xml:space="preserve">keďže podľa rokovacieho poriadku Európskeho parlamentu zodpovedá Výbor pre petície aj za vzťahy s európskym ombudsmanom, ktorý vyšetruje sťažnosti týkajúce sa nesprávneho úradného postupu inštitúcií a orgánov EÚ; keďže Výbor pre petície zohrával v roku 2024 kľúčovú úlohu pri organizácii voľby európskeho ombudsmana usporiadaním verejného vypočutia kandidátov podľa článku 237 rokovacieho poriadku </w:t>
      </w:r>
      <w:r w:rsidR="00AE50BB" w:rsidRPr="002D7E26">
        <w:t>Európsk</w:t>
      </w:r>
      <w:r w:rsidR="00AE50BB">
        <w:t>eho p</w:t>
      </w:r>
      <w:r w:rsidRPr="002D7E26">
        <w:t xml:space="preserve">arlamentu; keďže 17. decembra 2024 bola za európsku ombudsmanku na volebné obdobie 2024 – 2029 zvolená Teresa </w:t>
      </w:r>
      <w:proofErr w:type="spellStart"/>
      <w:r w:rsidRPr="002D7E26">
        <w:t>Anjinho</w:t>
      </w:r>
      <w:proofErr w:type="spellEnd"/>
      <w:r w:rsidRPr="002D7E26">
        <w:t xml:space="preserve">; </w:t>
      </w:r>
    </w:p>
    <w:p w14:paraId="476842AE" w14:textId="77777777" w:rsidR="00D576CA" w:rsidRPr="002D7E26" w:rsidRDefault="00D576CA" w:rsidP="00D576CA">
      <w:pPr>
        <w:pStyle w:val="NormalHanging12a"/>
      </w:pPr>
      <w:r w:rsidRPr="002D7E26">
        <w:t>V.</w:t>
      </w:r>
      <w:r w:rsidRPr="002D7E26">
        <w:tab/>
        <w:t xml:space="preserve">keďže v roku 2024 zostali vzťahy medzi Výborom pre petície a európskou ombudsmankou konštruktívne, o čom svedčí aktívna účasť predchádzajúcej európskej ombudsmanky </w:t>
      </w:r>
      <w:proofErr w:type="spellStart"/>
      <w:r w:rsidRPr="002D7E26">
        <w:t>Emily</w:t>
      </w:r>
      <w:proofErr w:type="spellEnd"/>
      <w:r w:rsidRPr="002D7E26">
        <w:t xml:space="preserve"> </w:t>
      </w:r>
      <w:proofErr w:type="spellStart"/>
      <w:r w:rsidRPr="002D7E26">
        <w:t>O’Reillyovej</w:t>
      </w:r>
      <w:proofErr w:type="spellEnd"/>
      <w:r w:rsidRPr="002D7E26">
        <w:t xml:space="preserve"> na schôdzach výboru; keďže na schôdzi 4. septembra 2024 predložila Výboru pre petície svoju výročnú správu za rok 2023 a 2. decembra 2024 sa zúčastnila na výročnom seminári výboru o právach osôb so zdravotným postihnutím; </w:t>
      </w:r>
    </w:p>
    <w:p w14:paraId="05D2F271" w14:textId="77777777" w:rsidR="00D576CA" w:rsidRPr="002D7E26" w:rsidRDefault="00D576CA" w:rsidP="00D576CA">
      <w:pPr>
        <w:pStyle w:val="NormalHanging12a"/>
      </w:pPr>
      <w:r w:rsidRPr="002D7E26">
        <w:t>W.</w:t>
      </w:r>
      <w:r w:rsidRPr="002D7E26">
        <w:tab/>
        <w:t>keďže Výbor pre petície je členom Európskej siete ombudsmanov, do ktorej patrí aj európsky ombudsman, vnútroštátni a regionálni ombudsmani a podobné orgány v členských štátoch, kandidátskych krajinách a ďalších krajinách Európskeho hospodárskeho priestoru a ktorej cieľom je podporovať výmenu informácií o práve a politikách EÚ a výmenu najlepších postupov;</w:t>
      </w:r>
    </w:p>
    <w:p w14:paraId="08AB9BBE" w14:textId="77777777" w:rsidR="00D576CA" w:rsidRPr="002D7E26" w:rsidRDefault="00D576CA" w:rsidP="00D576CA">
      <w:pPr>
        <w:pStyle w:val="NormalHanging12a"/>
      </w:pPr>
      <w:r w:rsidRPr="002D7E26">
        <w:t>1.</w:t>
      </w:r>
      <w:r w:rsidRPr="002D7E26">
        <w:tab/>
        <w:t xml:space="preserve">pripomína dôležitú úlohu Výboru pre petície pri ochrane a podpore práv občanov a osôb s bydliskom v EÚ a zdôrazňuje, že výbor musí zabezpečiť, aby sa obavy a sťažnosti predkladateľov petícií preskúmali včas, účinným, prístupným a vhodným spôsobom a aby boli predkladatelia petícií náležite informovaní o prijatých opatreniach a pokroku dosiahnutom v súvislosti s ich petíciami; vyjadruje však poľutovanie nad tým, že v praxi to tak vždy nie je; pripomína, že všetky petície sa musia vybavovať otvoreným, </w:t>
      </w:r>
      <w:r w:rsidRPr="002D7E26">
        <w:lastRenderedPageBreak/>
        <w:t>demokratickým a transparentným petičným procesom, ktorý by mal výbor dôsledne dodržiavať; odporúča revíziu vnútorných postupov s cieľom zabezpečiť, aby sa podobné alebo opakované petície zoskupovali a vybavovali efektívnejšie a aby sa zároveň zaručilo právo každého predkladateľa petície na individuálne vypočutie;</w:t>
      </w:r>
    </w:p>
    <w:p w14:paraId="3A826E76" w14:textId="77777777" w:rsidR="00D576CA" w:rsidRPr="002D7E26" w:rsidRDefault="00D576CA" w:rsidP="00D576CA">
      <w:pPr>
        <w:pStyle w:val="NormalHanging12a"/>
      </w:pPr>
      <w:r w:rsidRPr="002D7E26">
        <w:t>2.</w:t>
      </w:r>
      <w:r w:rsidRPr="002D7E26">
        <w:tab/>
        <w:t>opätovne zdôrazňuje význam neprestajnej verejnej diskusie o oblastiach činnosti EÚ s cieľom zabezpečiť, aby boli občania riadne informovaní o rozsahu právomocí Únie a rôznych úrovniach rozhodovania, a tak sa znížilo množstvo neprípustných petícií; opakovane zdôrazňuje svoju výzvu, aby sa prostredníctvom aktívneho zapojenia existujúcich komunikačných služieb EÚ uskutočnili v celej Únii, najmä vo vzdialených regiónoch, ako aj medzi nedostatočne zastúpenými skupinami obyvateľstva vrátane mladých ľudí, žien a vidieckych a ostrovných spoločenstiev, rozsiahlejšie kampane na zvýšenie informovanosti, ktoré by pomohli prehĺbiť vedomosti občanov o ich petičnom práve, ako aj o rozsahu pôsobnosti EÚ a právomociach Výboru pre petície; požaduje zrozumiteľnejšiu komunikáciu s predkladateľmi petícií bez používania žargónu a lepšie vysvetľovanie úlohy a obmedzení Výboru pre petície verejnosti, najmä zraniteľným používateľom alebo tým, čo túto možnosť využívajú po prvý raz;</w:t>
      </w:r>
    </w:p>
    <w:p w14:paraId="38D485AD" w14:textId="77777777" w:rsidR="00D576CA" w:rsidRPr="002D7E26" w:rsidRDefault="00D576CA" w:rsidP="00D576CA">
      <w:pPr>
        <w:pStyle w:val="NormalHanging12a"/>
      </w:pPr>
      <w:r w:rsidRPr="002D7E26">
        <w:t>3.</w:t>
      </w:r>
      <w:r w:rsidRPr="002D7E26">
        <w:tab/>
        <w:t>pripomína európsky rozmer Výboru pre petície, na ktorý sa môžu obrátiť občania zo všetkých 27 členských štátov v súvislosti s otázkami, ktoré patria do rozsahu pôsobnosti zmlúv EÚ a právnych predpisov EÚ; domnieva sa, že výbor má osobitnú zodpovednosť za presadzovanie tohto európskeho rozmeru a za názorné dokazovanie pridanej hodnoty európskej jednoty a integrácie pre občanov, pričom musí rešpektovať zvrchovanosť a špecifiká jednotlivých štátov;</w:t>
      </w:r>
    </w:p>
    <w:p w14:paraId="4C190B66" w14:textId="6D7E2BE4" w:rsidR="00D576CA" w:rsidRPr="002D7E26" w:rsidRDefault="00D576CA" w:rsidP="00D576CA">
      <w:pPr>
        <w:pStyle w:val="NormalHanging12a"/>
      </w:pPr>
      <w:r w:rsidRPr="002D7E26">
        <w:t>4.</w:t>
      </w:r>
      <w:r w:rsidRPr="002D7E26">
        <w:tab/>
        <w:t xml:space="preserve">upozorňuje na to, že petície sú pre </w:t>
      </w:r>
      <w:r w:rsidR="00AE50BB" w:rsidRPr="002D7E26">
        <w:t>Európsk</w:t>
      </w:r>
      <w:r w:rsidR="00AE50BB">
        <w:t>y p</w:t>
      </w:r>
      <w:r w:rsidRPr="002D7E26">
        <w:t>arlament a ďalšie inštitúcie EÚ jedinečnou možnosťou na priame nadviazanie kontaktu s občanmi EÚ a na udržiavanie pravidelného dialógu s nimi, najmä v prípadoch, ak sa ich týka nesprávne uplatňovanie alebo porušenie práva EÚ; zdôrazňuje, že je potrebné posilniť spoluprácu medzi inštitúciami EÚ a vnútroštátnymi, regionálnymi a miestnymi orgánmi pri vyšetrovaniach týkajúcich sa vykonávania a dodržiavania práva EÚ; je presvedčený, že takáto spolupráca má zásadný význam pre riešenie a vyriešenie obáv občanov súvisiacich s uplatňovaním práva EÚ a prispieva k posilneniu demokratickej legitimity a zodpovednosti Únie; požaduje preto zmysluplnú účasť zástupcov členských štátov na schôdzach výboru a včasné a dôkladné reakcie na žiadosti o objasnenie alebo informácie, ktoré zasiela Výbor pre petície vnútroštátnym orgánom s cieľom zabezpečiť náležité opatrenia v nadväznosti na petície;</w:t>
      </w:r>
    </w:p>
    <w:p w14:paraId="77D721D1" w14:textId="77777777" w:rsidR="00D576CA" w:rsidRPr="002D7E26" w:rsidRDefault="00D576CA" w:rsidP="00D576CA">
      <w:pPr>
        <w:pStyle w:val="NormalHanging12a"/>
      </w:pPr>
      <w:r w:rsidRPr="002D7E26">
        <w:t>5.</w:t>
      </w:r>
      <w:r w:rsidRPr="002D7E26">
        <w:tab/>
        <w:t>pripomína, že Výboru pre petície bol začiatkom roka 2024 doručený značný počet petícií, v ktorých predkladatelia vyjadrujú znepokojenie nad vnímanými hrozbami pre právny štát v Španielsku; berie na vedomie spoločnú rozpravu z januára 2024 o viacerých petíciách týkajúcich sa vývoja v Španielsku, najmä v súvislosti s návrhom vlády na zákon o amnestii a jeho možnými dôsledkami pre právny rámec Španielska a EÚ;</w:t>
      </w:r>
    </w:p>
    <w:p w14:paraId="13393FFF" w14:textId="77777777" w:rsidR="00D576CA" w:rsidRPr="002D7E26" w:rsidRDefault="00D576CA" w:rsidP="00D576CA">
      <w:pPr>
        <w:pStyle w:val="NormalHanging12a"/>
      </w:pPr>
      <w:r w:rsidRPr="002D7E26">
        <w:t>6.</w:t>
      </w:r>
      <w:r w:rsidRPr="002D7E26">
        <w:tab/>
        <w:t xml:space="preserve">pripomína, že petície významne prispievajú k vykonávaniu úlohy Komisie ako strážkyne zmlúv tým, že ponúkajú občanom ďalší nástroj, ktorým môžu oznámiť údajné porušenie práva EÚ; zdôrazňuje, že konštruktívna spolupráca medzi Výborom pre petície a Komisiou prostredníctvom včasných a podrobných odpovedí Komisie, ktoré sú založené na dôkladnom preskúmaní otázok vznesených v petíciách, je nevyhnutná na zabezpečenie úspešného vybavovania petícií: opätovne pripomína, že tieto odpovede, </w:t>
      </w:r>
      <w:r w:rsidRPr="002D7E26">
        <w:lastRenderedPageBreak/>
        <w:t xml:space="preserve">ktoré sa zasielajú predkladateľom petícií, by mali byť jasné, jednoduché a empatické, aby umožnili lepšie pochopenie; </w:t>
      </w:r>
    </w:p>
    <w:p w14:paraId="1658D0DD" w14:textId="1C66AE29" w:rsidR="00D576CA" w:rsidRPr="002D7E26" w:rsidRDefault="00D576CA" w:rsidP="00D576CA">
      <w:pPr>
        <w:pStyle w:val="NormalHanging12a"/>
      </w:pPr>
      <w:r w:rsidRPr="002D7E26">
        <w:t>7.</w:t>
      </w:r>
      <w:r w:rsidRPr="002D7E26">
        <w:tab/>
        <w:t xml:space="preserve">víta vytvorenie novej webovej stránky Komisie o prípadoch nesplnenia povinnosti, transpozícii smerníc a dialógu v rámci projektu EU Pilot; opakuje však svoju výzvu Komisii, aby pravidelne informovala Výbor pre petície o vývoji v konaniach o nesplnení povinnosti a zabezpečila, aby Výbor pre petície získal prístup k príslušným informáciám o konaniach o nesplnení povinnosti a o postupoch v rámci projektu EU Pilot, ktoré sa týkajú otvorených petícií.; opakuje, že je potrebné zlepšiť transparentnosť postupov v prípade nesplnenia povinnosti, ako aj komunikáciu s predkladateľmi petícií o aktuálnom stave takýchto postupov, a zdôrazňuje, že by to bolo prínosom pre petičný proces; víta iniciatívu Komisie zahrnúť petície do verejného registra rozhodnutí Komisie o nesplnení povinnosti, ako aj uvedenie odkazu na verejný register Komisie na portáli pre petície; víta záväzok komisára </w:t>
      </w:r>
      <w:proofErr w:type="spellStart"/>
      <w:r w:rsidRPr="002D7E26">
        <w:t>Šefčoviča</w:t>
      </w:r>
      <w:proofErr w:type="spellEnd"/>
      <w:r w:rsidRPr="002D7E26">
        <w:t xml:space="preserve"> ďalej prepojiť verejný register Komisie a petičný portál </w:t>
      </w:r>
      <w:r w:rsidR="00AE50BB" w:rsidRPr="002D7E26">
        <w:t>Európsk</w:t>
      </w:r>
      <w:r w:rsidR="00AE50BB">
        <w:t>eho p</w:t>
      </w:r>
      <w:r w:rsidRPr="002D7E26">
        <w:t>arlamentu; opakuje svoju výzvu Komisii, aby všetky tieto požiadavky zahrnula do rámcovej dohody o vzťahoch medzi Európskym parlamentom a Európskou komisiou</w:t>
      </w:r>
      <w:r w:rsidRPr="002D7E26">
        <w:rPr>
          <w:rStyle w:val="FootnoteReference"/>
        </w:rPr>
        <w:footnoteReference w:id="1"/>
      </w:r>
      <w:r w:rsidRPr="002D7E26">
        <w:t>;</w:t>
      </w:r>
    </w:p>
    <w:p w14:paraId="68515CBD" w14:textId="77777777" w:rsidR="00D576CA" w:rsidRPr="002D7E26" w:rsidRDefault="00D576CA" w:rsidP="00D576CA">
      <w:pPr>
        <w:pStyle w:val="NormalHanging12a"/>
      </w:pPr>
      <w:r w:rsidRPr="002D7E26">
        <w:t>8.</w:t>
      </w:r>
      <w:r w:rsidRPr="002D7E26">
        <w:tab/>
        <w:t>požaduje nezávislé a pravidelné hodnotenie kvality a zrozumiteľnosti odpovedí Komisie na petície, najmä so zameraním na čitateľnosť, relevantnosť a citlivosť voči situácii predkladateľov petícií, aby sa zabezpečilo zmysluplné a úctivé zapojenie občanov;</w:t>
      </w:r>
    </w:p>
    <w:p w14:paraId="145FB02E" w14:textId="77777777" w:rsidR="00D576CA" w:rsidRPr="002D7E26" w:rsidRDefault="00D576CA" w:rsidP="00D576CA">
      <w:pPr>
        <w:pStyle w:val="NormalHanging12a"/>
      </w:pPr>
      <w:r w:rsidRPr="002D7E26">
        <w:t>9.</w:t>
      </w:r>
      <w:r w:rsidRPr="002D7E26">
        <w:tab/>
        <w:t>domnieva sa, že pri odblokovaní petícií, ktoré si vyžadujú promptné odpovede a reakcie vnútroštátnych orgánov, by mohla byť užitočná aktívnejšia spolupráca medzi členskými štátmi a Výborom pre petície;</w:t>
      </w:r>
    </w:p>
    <w:p w14:paraId="35F68F4E" w14:textId="77777777" w:rsidR="00D576CA" w:rsidRPr="002D7E26" w:rsidRDefault="00D576CA" w:rsidP="00D576CA">
      <w:pPr>
        <w:pStyle w:val="NormalHanging12a"/>
      </w:pPr>
      <w:r w:rsidRPr="002D7E26">
        <w:t>10.</w:t>
      </w:r>
      <w:r w:rsidRPr="002D7E26">
        <w:tab/>
        <w:t>pripomína, že databáza elektronických petícií je základným vnútorným nástrojom, ktorý umožňuje členom Výboru pre petície prístup ku všetkým potrebným informáciám s cieľom sledovať súčasný stav každej petície a prijímať informované rozhodnutia o spracovaní petícií; poznamenáva, že databáza elektronických petícií takisto zohráva dôležitú úlohu pri komunikácii s predkladateľmi petícií; zdôrazňuje potrebu ďalšej modernizácie digitálnych nástrojov Výboru pre petície a navrhuje, aby sa s cieľom ďalej zlepšiť spracovanie petícií posúdilo zodpovedné využívanie umelej inteligencie riadené človekom;</w:t>
      </w:r>
    </w:p>
    <w:p w14:paraId="4EE47ED3" w14:textId="3524B22C" w:rsidR="00D576CA" w:rsidRPr="002D7E26" w:rsidRDefault="00D576CA" w:rsidP="00D576CA">
      <w:pPr>
        <w:pStyle w:val="NormalHanging12a"/>
      </w:pPr>
      <w:r w:rsidRPr="002D7E26">
        <w:t>11.</w:t>
      </w:r>
      <w:r w:rsidRPr="002D7E26">
        <w:tab/>
        <w:t>pripomína záväzok Komisie vytvoriť medzi Komisiou a</w:t>
      </w:r>
      <w:r w:rsidR="00AE50BB">
        <w:t> </w:t>
      </w:r>
      <w:r w:rsidR="00AE50BB" w:rsidRPr="002D7E26">
        <w:t>Európsk</w:t>
      </w:r>
      <w:r w:rsidR="00AE50BB">
        <w:t>ym p</w:t>
      </w:r>
      <w:r w:rsidRPr="002D7E26">
        <w:t xml:space="preserve">arlamentom </w:t>
      </w:r>
      <w:proofErr w:type="spellStart"/>
      <w:r w:rsidRPr="002D7E26">
        <w:t>medziinštitucionálny</w:t>
      </w:r>
      <w:proofErr w:type="spellEnd"/>
      <w:r w:rsidRPr="002D7E26">
        <w:t xml:space="preserve"> IT nástroj na vzájomnú výmenu informácií a dokumentov o všetkých následných opatreniach prijatých v súvislosti s petíciami, ako sú postupy v prípade nesplnenia povinnosti, legislatívne návrhy alebo odpovede vnútroštátnych orgánov, čím sa zvýši transparentnosť a efektívnosť spracovania petícií, čo by v širšom kontexte prispelo k zvýšeniu dôvery občanov v inštitúcie EÚ a v európsky projekt; vyzýva na urýchlené zavedenie takéhoto </w:t>
      </w:r>
      <w:proofErr w:type="spellStart"/>
      <w:r w:rsidRPr="002D7E26">
        <w:t>medziinštitucionálneho</w:t>
      </w:r>
      <w:proofErr w:type="spellEnd"/>
      <w:r w:rsidRPr="002D7E26">
        <w:t xml:space="preserve"> IT nástroja;</w:t>
      </w:r>
    </w:p>
    <w:p w14:paraId="2EE2362D" w14:textId="77777777" w:rsidR="00D576CA" w:rsidRPr="002D7E26" w:rsidRDefault="00D576CA" w:rsidP="00D576CA">
      <w:pPr>
        <w:pStyle w:val="NormalHanging12a"/>
      </w:pPr>
      <w:r w:rsidRPr="002D7E26">
        <w:t>12.</w:t>
      </w:r>
      <w:r w:rsidRPr="002D7E26">
        <w:tab/>
        <w:t>pripomína, že na komplexné spracovanie petícií je nevyhnutná spolupráca s ostatnými výbormi v Európskom parlamente; konštatuje, že v roku 2024 bolo ostatným výborom zaslaných 30 žiadostí o stanovisko a 450 žiadostí o informácie; konštatuje, že do konca roka 2024 bolo doručených 26 stanovísk;</w:t>
      </w:r>
      <w:r w:rsidRPr="002D7E26">
        <w:rPr>
          <w:color w:val="FF0000"/>
        </w:rPr>
        <w:t xml:space="preserve"> </w:t>
      </w:r>
      <w:r w:rsidRPr="002D7E26">
        <w:t xml:space="preserve">pripomína, že predkladatelia petícií sú informovaní o rozhodnutiach požiadať ostatné výbory o stanovisko na účely </w:t>
      </w:r>
      <w:r w:rsidRPr="002D7E26">
        <w:lastRenderedPageBreak/>
        <w:t>spracovania petícií; zdôrazňuje, že parlamentné výbory by mali zintenzívniť svoje úsilie a aktívne prispievať k preskúmaniu petícií poskytovaním svojich odborných znalostí, a tak umožniť Európskemu parlamentu pohotovejšie a komplexnejšie reagovať na obavy občanov;</w:t>
      </w:r>
    </w:p>
    <w:p w14:paraId="374527CD" w14:textId="77777777" w:rsidR="00D576CA" w:rsidRPr="002D7E26" w:rsidRDefault="00D576CA" w:rsidP="00D576CA">
      <w:pPr>
        <w:pStyle w:val="NormalHanging12a"/>
      </w:pPr>
      <w:r w:rsidRPr="002D7E26">
        <w:t>13.</w:t>
      </w:r>
      <w:r w:rsidRPr="002D7E26">
        <w:tab/>
        <w:t xml:space="preserve">domnieva sa, že petičná sieť je užitočným nástrojom na uľahčenie monitorovania petícií v rámci parlamentnej a legislatívnej činnosti; verí, že pravidelné schôdze petičnej siete sú kľúčové pre zvýšenie viditeľnosti činností Výboru pre petície a zabezpečenie lepšieho pochopenia jeho práce a poslania, ako aj na posilnenie spolupráce s ostatnými parlamentnými výbormi; </w:t>
      </w:r>
    </w:p>
    <w:p w14:paraId="7314B9F0" w14:textId="77777777" w:rsidR="00D576CA" w:rsidRPr="002D7E26" w:rsidRDefault="00D576CA" w:rsidP="00D576CA">
      <w:pPr>
        <w:pStyle w:val="NormalHanging12a"/>
      </w:pPr>
      <w:r w:rsidRPr="002D7E26">
        <w:t>14.</w:t>
      </w:r>
      <w:r w:rsidRPr="002D7E26">
        <w:tab/>
        <w:t>všíma si, že aj v roku 2024 bolo témou, ktorá najviac znepokojuje predkladateľov petícií, životné prostredie, pričom environmentálnym otázkam sa venovalo viac ako 20 % petícií; poukazuje na značný počet petícií, v ktorých sa odsudzuje porušovanie právnych predpisov EÚ v oblasti životného prostredia vo viacerých členských štátoch; konštatuje, že medzi problémy, o ktorých informovali predkladatelia petícií a o ktorých sa diskutovalo vo výbore, patrí ochrana vlkov v EÚ, dlhodobé toxické účinky pesticídov a porušenie smernice o priemyselných emisiách</w:t>
      </w:r>
      <w:r w:rsidRPr="002D7E26">
        <w:rPr>
          <w:rStyle w:val="FootnoteReference"/>
        </w:rPr>
        <w:footnoteReference w:id="2"/>
      </w:r>
      <w:r w:rsidRPr="002D7E26">
        <w:t xml:space="preserve"> v súvislosti z riadením oceliarne; zdôrazňuje význam plnenia očakávaní občanov EÚ súvisiacich s ochranou životného prostredia a naliehavo vyzýva Komisiu, aby spolu s členskými štátmi zabezpečila správne vykonávanie právnych predpisov EÚ v oblasti životného prostredia;</w:t>
      </w:r>
    </w:p>
    <w:p w14:paraId="7D2E1D8D" w14:textId="77777777" w:rsidR="00D576CA" w:rsidRPr="002D7E26" w:rsidRDefault="00D576CA" w:rsidP="00D576CA">
      <w:pPr>
        <w:pStyle w:val="NormalHanging12a"/>
      </w:pPr>
      <w:r w:rsidRPr="002D7E26">
        <w:t>15.</w:t>
      </w:r>
      <w:r w:rsidRPr="002D7E26">
        <w:tab/>
        <w:t>berie na vedomie, že Výbor pre petície sa zaoberal ďalšími témami, ako je ochrana práv detí vrátane bezpečnosti na internete a zlepšenie dobrých životných podmienok zvierat; upriamuje pozornosť na petície, ktoré poukazujú na porušovanie práv cestujúcich; konštatuje tiež, že mnohé petície vyvolali obavy týkajúce sa ochrany údajov, a najmä presadzovania všeobecného nariadenia o ochrane údajov</w:t>
      </w:r>
      <w:r w:rsidRPr="002D7E26">
        <w:rPr>
          <w:rStyle w:val="FootnoteReference"/>
        </w:rPr>
        <w:footnoteReference w:id="3"/>
      </w:r>
      <w:r w:rsidRPr="002D7E26">
        <w:t>; upozorňuje takisto na množstvo petícií, ktoré sa zaoberajú krízou bývania v členských štátoch; poukazuje na to, že Výbor pre petície sa zaoberal zodpovednosťou spoločností pôsobiacich v oblasti fosílnych palív v súvislosti s krízou životných nákladov, obavami týkajúcimi sa bezpečnosti železníc a ochranou práv pracovníkov; berie na vedomie posúdenie petícií o kultúre a národnom dedičstve; pripomína, že Výbor pre petície prediskutoval viaceré petície o zrušení povolení na trvalý pobyt ruských občanov; konštatuje, že Výboru pre petície bolo doručené značné množstvo petícií o právnom štáte v členských štátoch, o ktorých sa vo výbore diskutovalo; berie na vedomie predložené petície o podmienkach prijímania prisťahovalcov a žiadateľov o azyl v členských štátoch a berie na vedomie petície, v ktorých sa uvádzajú prípady diskriminácie; očakáva od Komisie náležité následné opatrenia a aktualizované informácie o všetkých týchto petíciách;</w:t>
      </w:r>
    </w:p>
    <w:p w14:paraId="6D30A3AE" w14:textId="5BD4026C" w:rsidR="00D576CA" w:rsidRPr="002D7E26" w:rsidRDefault="00D576CA" w:rsidP="00D576CA">
      <w:pPr>
        <w:pStyle w:val="NormalHanging12a"/>
      </w:pPr>
      <w:r w:rsidRPr="002D7E26">
        <w:t>16.</w:t>
      </w:r>
      <w:r w:rsidRPr="002D7E26">
        <w:tab/>
        <w:t xml:space="preserve">zdôrazňuje dôležitý príspevok Výboru pre petície k ochrane práv osôb so zdravotným postihnutím, o ktorom svedčí riešenie niekoľkých petícií na túto tému vrátane </w:t>
      </w:r>
      <w:r w:rsidRPr="002D7E26">
        <w:lastRenderedPageBreak/>
        <w:t xml:space="preserve">preskúmania petície č 1056/2016 o predkladaní petícií v národných posunkových jazykoch; v tejto súvislosti oceňuje úsilie útvarov </w:t>
      </w:r>
      <w:r w:rsidR="00AE50BB" w:rsidRPr="002D7E26">
        <w:t>Európsk</w:t>
      </w:r>
      <w:r w:rsidR="00AE50BB">
        <w:t>eho p</w:t>
      </w:r>
      <w:r w:rsidRPr="002D7E26">
        <w:t>arlamentu a konštatuje, že je potrebné nájsť nielen najlepšie technické, ale aj najprístupnejšie riešenie pre nepočujúcich občanov, aby sa s nimi dalo komunikovať v ich materinskom jazyku, teda v národných posunkových jazykoch; požaduje zmenu rokovacieho poriadku v úzkej spolupráci s Výborom pre ústavné veci s cieľom odstrániť povinnosť výlučne písomnej komunikácie s občanmi, ktorí používajú posunkový jazyk, sú nepočujúci alebo nedoslýchaví, aby mohli počas postupu na požiadanie používať svoj posunkový jazyk; konštatuje, že predkladatelia petícií vyjadrovali v roku 2024 obavy aj v súvislosti so vzdelávaním žiakov so zdravotným postihnutím, odopieraním služieb zdravotnej starostlivosti osobám so zdravotným postihnutím a prístupnosťou verejných priestorov a služieb; pripomína výročný seminár Výboru pre petície o právach osôb so zdravotným postihnutím z 2. decembra 2024, ktorého ťažiskom bol aktuálny stav Stratégie v oblasti práv osôb so zdravotným postihnutím na roky 2021 – 2030, a naliehavo vyzýva na urýchlené začlenenie zistení petícií do preskúmania stratégie v oblasti práv osôb so zdravotným postihnutím na roky 2021 – 2030 v polovici trvania spolu s merateľnými cieľmi a rozpočtovými záväzkami;</w:t>
      </w:r>
    </w:p>
    <w:p w14:paraId="7E0434FB" w14:textId="77777777" w:rsidR="00D576CA" w:rsidRPr="002D7E26" w:rsidRDefault="00D576CA" w:rsidP="00D576CA">
      <w:pPr>
        <w:pStyle w:val="NormalHanging12a"/>
      </w:pPr>
      <w:r w:rsidRPr="002D7E26">
        <w:t>17.</w:t>
      </w:r>
      <w:r w:rsidRPr="002D7E26">
        <w:tab/>
        <w:t>zdôrazňuje, že Výbor pre petície zohráva v EÚ osobitnú ochrannú úlohu, pokiaľ ide o vykonávanie Dohovoru OSN o právach osôb so zdravotným postihnutím; poukazuje na dôležitú prácu, ktorá vo výbore prebieha v súvislosti s petíciami týkajúcimi sa otázok zdravotného postihnutia; pripomína, že odkaz na petície o potrebe preukazu osoby so zdravotným postihnutím bol zahrnutý do smernice (EÚ) 2024/2841, ktorou sa ustanovuje európsky preukaz osoby so zdravotným postihnutím a európsky parkovací preukaz</w:t>
      </w:r>
      <w:r w:rsidRPr="002D7E26">
        <w:rPr>
          <w:rStyle w:val="FootnoteReference"/>
        </w:rPr>
        <w:footnoteReference w:id="4"/>
      </w:r>
      <w:r w:rsidRPr="002D7E26">
        <w:t>; zdôrazňuje, že petície môžu významne prispieť k legislatívnemu procesu;</w:t>
      </w:r>
    </w:p>
    <w:p w14:paraId="02717B3F" w14:textId="6F6DCB2A" w:rsidR="00D576CA" w:rsidRPr="002D7E26" w:rsidRDefault="00D576CA" w:rsidP="00D576CA">
      <w:pPr>
        <w:pStyle w:val="NormalHanging12a"/>
        <w:rPr>
          <w:rFonts w:eastAsia="Calibri"/>
        </w:rPr>
      </w:pPr>
      <w:r w:rsidRPr="002D7E26">
        <w:t>18.</w:t>
      </w:r>
      <w:r w:rsidRPr="002D7E26">
        <w:tab/>
        <w:t xml:space="preserve">pripomína skutočnosť, že vzťahy s európskym ombudsmanom predstavujú jednu z povinností, ktoré sú podľa rokovacieho poriadku Európskeho parlamentu zverené Výboru pre petície; podčiarkuje úlohu Výboru pre petície vo volebnom procese európskeho ombudsmana, najmä pri organizovaní verejného vypočutia so všetkými oprávnenými kandidátmi, ktoré sa konalo 3. decembra 2024 a bolo prístupné všetkým poslancom Európskeho parlamentu, ktorí mali vďaka tomu demokratickú a transparentnú príležitosť vymeniť si názory s kandidátmi a posúdiť ich nezávislosť, kvalifikáciu a profesionalitu, ako aj víziu pre úrad európskeho ombudsmana v rámci inštitucionálnej štruktúry EÚ; víta konštruktívnu spoluprácu </w:t>
      </w:r>
      <w:r w:rsidR="00AE50BB" w:rsidRPr="002D7E26">
        <w:t>Európsk</w:t>
      </w:r>
      <w:r w:rsidR="00AE50BB">
        <w:t>eho p</w:t>
      </w:r>
      <w:r w:rsidRPr="002D7E26">
        <w:t>arlamentu s európskym ombudsmanom, s ktorým má Výbor pre petície spoločné ciele v oblasti zabezpečenia transparentnosti, profesionality a integrity inštitúcií EÚ vo vzťahu k európskym občanom, ako aj jeho zapojenie do Európskej siete ombudsmanov;</w:t>
      </w:r>
    </w:p>
    <w:p w14:paraId="5691CF51" w14:textId="77777777" w:rsidR="00D576CA" w:rsidRPr="002D7E26" w:rsidRDefault="00D576CA" w:rsidP="00D576CA">
      <w:pPr>
        <w:pStyle w:val="NormalHanging12a"/>
        <w:rPr>
          <w:rFonts w:eastAsia="Calibri"/>
        </w:rPr>
      </w:pPr>
      <w:r w:rsidRPr="002D7E26">
        <w:t>19.</w:t>
      </w:r>
      <w:r w:rsidRPr="002D7E26">
        <w:tab/>
        <w:t xml:space="preserve">podporuje pokračujúci pravidelný prínos európskej ombudsmanky k činnosti Výboru pre petície počas celého roka; vyjadruje pevné presvedčenie, že inštitúcie, orgány a agentúry Únie musia zabezpečiť konzistentné a účinné opatrenia v nadväznosti na odporúčania ombudsmanky; podčiarkuje nezastupiteľnú úlohu európskeho ombudsmana pri podpore transparentnosti, dobrej správy vecí verejných a ochrane práv občanov; vyzýva na užšiu spoluprácu medzi Výborom pre petície a úradom </w:t>
      </w:r>
      <w:r w:rsidRPr="002D7E26">
        <w:lastRenderedPageBreak/>
        <w:t>ombudsmana;</w:t>
      </w:r>
    </w:p>
    <w:p w14:paraId="32CB2F72" w14:textId="77777777" w:rsidR="00D576CA" w:rsidRPr="002D7E26" w:rsidRDefault="00D576CA" w:rsidP="00D576CA">
      <w:pPr>
        <w:pStyle w:val="NormalHanging12a"/>
        <w:rPr>
          <w:b/>
          <w:i/>
        </w:rPr>
      </w:pPr>
      <w:r w:rsidRPr="002D7E26">
        <w:t>20.</w:t>
      </w:r>
      <w:r w:rsidRPr="002D7E26">
        <w:tab/>
        <w:t xml:space="preserve">konštatuje, že napriek parlamentnej prestávke v dôsledku volieb do Európskeho parlamentu Výbor pre petície vyjadril svoju pozíciu a predložil odporúčania k dôležitým otázkam nastoleným v petíciách vrátane prijatia dvoch správ zo služobných ciest po návštevách na účely zistenia potrebných skutočností, ktoré sa uskutočnili v druhej polovici roka 2023, konkrétne služobnej cesty do Írska týkajúcej sa budov zo sľudy a služobnej cesty do Španielska týkajúcej sa jazykovej </w:t>
      </w:r>
      <w:proofErr w:type="spellStart"/>
      <w:r w:rsidRPr="002D7E26">
        <w:t>imerzie</w:t>
      </w:r>
      <w:proofErr w:type="spellEnd"/>
      <w:r w:rsidRPr="002D7E26">
        <w:t xml:space="preserve"> v Katalánsku; zdôrazňuje, že je dôležité, aby katalánske orgány vykonávali odporúčania Výboru pre petície uvedené v jeho správe z 19. marca 2024 s cieľom chrániť jazykové práva študentov a ich rodín;</w:t>
      </w:r>
    </w:p>
    <w:p w14:paraId="37E7EACD" w14:textId="77777777" w:rsidR="00D576CA" w:rsidRPr="002D7E26" w:rsidRDefault="00D576CA" w:rsidP="00D576CA">
      <w:pPr>
        <w:pStyle w:val="NormalHanging12a"/>
      </w:pPr>
      <w:r w:rsidRPr="002D7E26">
        <w:t>21.</w:t>
      </w:r>
      <w:r w:rsidRPr="002D7E26">
        <w:tab/>
        <w:t>berie na vedomie rastúci počet petícií týkajúcich sa politiky vzdelávania, najmä uznávania pedagogických kvalifikácií v členských štátoch; v tejto súvislosti zdôrazňuje otázku Výboru pre petície na ústne zodpovedanie Komisii o pracovných podmienkach učiteľov v EÚ; je znepokojený ústnou odpoveďou Komisie, ktorá potvrdzuje, že nedostatok učiteľov je vážnym problémom, čo sa odrazilo aj v nedávnych výsledkoch PISA, pričom ani jednému členskému štátu sa nepodarilo zlepšiť výsledky v oblasti základných zručností; v tejto súvislosti vyzýva Komisiu a členské štáty, aby výrazne zvýšili úsilie o skvalitnenie svojich systémov školského vzdelávania a zároveň zvýšili atraktívnosť učiteľského povolania, a to aj financovaním a programami;</w:t>
      </w:r>
    </w:p>
    <w:p w14:paraId="572791C3" w14:textId="77777777" w:rsidR="00D576CA" w:rsidRPr="002D7E26" w:rsidRDefault="00D576CA" w:rsidP="00D576CA">
      <w:pPr>
        <w:pStyle w:val="NormalHanging12a"/>
      </w:pPr>
      <w:r w:rsidRPr="002D7E26">
        <w:t>22.</w:t>
      </w:r>
      <w:r w:rsidRPr="002D7E26">
        <w:tab/>
        <w:t>víta prijatie uznesenia Európskeho parlamentu z 10. apríla 2024 o odbavení ťažkých nákladných vozidiel na hraničných priechodoch na základe petície č. 0146/2023</w:t>
      </w:r>
      <w:r w:rsidRPr="002D7E26">
        <w:rPr>
          <w:rStyle w:val="FootnoteReference"/>
        </w:rPr>
        <w:footnoteReference w:id="5"/>
      </w:r>
      <w:r w:rsidRPr="002D7E26">
        <w:t xml:space="preserve">; </w:t>
      </w:r>
    </w:p>
    <w:p w14:paraId="240FD722" w14:textId="5499789C" w:rsidR="00D576CA" w:rsidRPr="002D7E26" w:rsidRDefault="00D576CA" w:rsidP="00D576CA">
      <w:pPr>
        <w:pStyle w:val="NormalHanging12a"/>
      </w:pPr>
      <w:r w:rsidRPr="002D7E26">
        <w:t>23.</w:t>
      </w:r>
      <w:r w:rsidRPr="002D7E26">
        <w:tab/>
        <w:t xml:space="preserve">zdôrazňuje, že webový portál pre petície je základným nástrojom na zabezpečenie hladkého, efektívneho a transparentného petičného procesu; víta zlepšenie, ktoré sa dosiahlo na portáli v prospech predkladateľov petícií, a zdôrazňuje, že je potrebné pokračovať v úsilí o zlepšenie prístupnosti portálu vrátane jeho lepšej prístupnosti pre používateľov posunkového jazyka, ako sa požadovalo v petícií č. 1056/2016, a osoby so zdravotným postihnutím; konštatuje, že webový portál pre petície je jednou z najnavštevovanejších webových stránok </w:t>
      </w:r>
      <w:r w:rsidR="00AE50BB" w:rsidRPr="002D7E26">
        <w:t>Európsk</w:t>
      </w:r>
      <w:r w:rsidR="00AE50BB">
        <w:t>eho p</w:t>
      </w:r>
      <w:r w:rsidRPr="002D7E26">
        <w:t>arlamentu, a preto mnohým občanom EÚ slúži ako prvé kontaktné miesto s</w:t>
      </w:r>
      <w:r w:rsidR="00AE50BB">
        <w:t> </w:t>
      </w:r>
      <w:r w:rsidR="00AE50BB" w:rsidRPr="002D7E26">
        <w:t>Európsk</w:t>
      </w:r>
      <w:r w:rsidR="00AE50BB">
        <w:t>ym p</w:t>
      </w:r>
      <w:r w:rsidRPr="002D7E26">
        <w:t>arlamentom;</w:t>
      </w:r>
    </w:p>
    <w:p w14:paraId="0EBCFF68" w14:textId="77777777" w:rsidR="00D576CA" w:rsidRPr="002D7E26" w:rsidRDefault="00D576CA" w:rsidP="00D576CA">
      <w:pPr>
        <w:pStyle w:val="NormalHanging12a"/>
      </w:pPr>
      <w:r w:rsidRPr="002D7E26">
        <w:t>24.</w:t>
      </w:r>
      <w:r w:rsidRPr="002D7E26">
        <w:tab/>
        <w:t>poveruje svoju predsedníčku, aby postúpila toto uznesenie a správu Výboru pre petície Rade, Komisii, európskej ombudsmanke, vládam a parlamentom členských štátov, ich petičným výborom a ich vnútroštátnym ombudsmanom alebo obdobným príslušným orgánom.</w:t>
      </w:r>
    </w:p>
    <w:sectPr w:rsidR="00D576CA" w:rsidRPr="002D7E26" w:rsidSect="002D7E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3498E" w14:textId="77777777" w:rsidR="00F5260A" w:rsidRPr="002D7E26" w:rsidRDefault="00F5260A">
      <w:r w:rsidRPr="002D7E26">
        <w:separator/>
      </w:r>
    </w:p>
  </w:endnote>
  <w:endnote w:type="continuationSeparator" w:id="0">
    <w:p w14:paraId="531A89D9" w14:textId="77777777" w:rsidR="00F5260A" w:rsidRPr="002D7E26" w:rsidRDefault="00F5260A">
      <w:r w:rsidRPr="002D7E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B3A3" w14:textId="77777777" w:rsidR="00064002" w:rsidRPr="002D7E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F0FC" w14:textId="77777777" w:rsidR="00064002" w:rsidRPr="002D7E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628C" w14:textId="77777777" w:rsidR="00064002" w:rsidRPr="002D7E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4D675" w14:textId="77777777" w:rsidR="00F5260A" w:rsidRPr="002D7E26" w:rsidRDefault="00F5260A">
      <w:r w:rsidRPr="002D7E26">
        <w:separator/>
      </w:r>
    </w:p>
  </w:footnote>
  <w:footnote w:type="continuationSeparator" w:id="0">
    <w:p w14:paraId="3F36D8C6" w14:textId="77777777" w:rsidR="00F5260A" w:rsidRPr="002D7E26" w:rsidRDefault="00F5260A">
      <w:r w:rsidRPr="002D7E26">
        <w:continuationSeparator/>
      </w:r>
    </w:p>
  </w:footnote>
  <w:footnote w:id="1">
    <w:p w14:paraId="1EB62040" w14:textId="2C2D2186" w:rsidR="00D576CA" w:rsidRPr="002D7E26" w:rsidRDefault="00D576CA" w:rsidP="002D7E26">
      <w:pPr>
        <w:pStyle w:val="FootnoteText"/>
        <w:ind w:left="567" w:hanging="567"/>
        <w:rPr>
          <w:sz w:val="24"/>
          <w:lang w:val="sk-SK"/>
        </w:rPr>
      </w:pPr>
      <w:r w:rsidRPr="002D7E26">
        <w:rPr>
          <w:rStyle w:val="FootnoteReference"/>
          <w:sz w:val="24"/>
          <w:lang w:val="sk-SK"/>
        </w:rPr>
        <w:footnoteRef/>
      </w:r>
      <w:r w:rsidR="002D7E26" w:rsidRPr="002D7E26">
        <w:rPr>
          <w:sz w:val="24"/>
          <w:lang w:val="sk-SK"/>
        </w:rPr>
        <w:t xml:space="preserve"> </w:t>
      </w:r>
      <w:r w:rsidR="002D7E26" w:rsidRPr="002D7E26">
        <w:rPr>
          <w:sz w:val="24"/>
          <w:lang w:val="sk-SK"/>
        </w:rPr>
        <w:tab/>
      </w:r>
      <w:r w:rsidRPr="002D7E26">
        <w:rPr>
          <w:sz w:val="24"/>
          <w:lang w:val="sk-SK"/>
        </w:rPr>
        <w:t xml:space="preserve">Ú. v. EÚ L 304, 20.11.2010, s. 47, ELI: </w:t>
      </w:r>
      <w:hyperlink r:id="rId1" w:history="1">
        <w:r w:rsidRPr="002D7E26">
          <w:rPr>
            <w:rStyle w:val="Hyperlink"/>
            <w:sz w:val="24"/>
            <w:lang w:val="sk-SK"/>
          </w:rPr>
          <w:t>http://data.europa.eu/eli/agree_interinstit/2010/1120/oj</w:t>
        </w:r>
      </w:hyperlink>
      <w:r w:rsidRPr="002D7E26">
        <w:rPr>
          <w:sz w:val="24"/>
          <w:lang w:val="sk-SK"/>
        </w:rPr>
        <w:t xml:space="preserve">. </w:t>
      </w:r>
    </w:p>
  </w:footnote>
  <w:footnote w:id="2">
    <w:p w14:paraId="4BFFFECE" w14:textId="76B61BD3" w:rsidR="00D576CA" w:rsidRPr="002D7E26" w:rsidRDefault="00D576CA" w:rsidP="002D7E26">
      <w:pPr>
        <w:pStyle w:val="FootnoteText"/>
        <w:ind w:left="567" w:hanging="567"/>
        <w:rPr>
          <w:sz w:val="24"/>
          <w:lang w:val="sk-SK"/>
        </w:rPr>
      </w:pPr>
      <w:r w:rsidRPr="002D7E26">
        <w:rPr>
          <w:rStyle w:val="FootnoteReference"/>
          <w:sz w:val="24"/>
          <w:lang w:val="sk-SK"/>
        </w:rPr>
        <w:footnoteRef/>
      </w:r>
      <w:r w:rsidR="002D7E26" w:rsidRPr="002D7E26">
        <w:rPr>
          <w:sz w:val="24"/>
          <w:lang w:val="sk-SK"/>
        </w:rPr>
        <w:t xml:space="preserve"> </w:t>
      </w:r>
      <w:r w:rsidR="002D7E26" w:rsidRPr="002D7E26">
        <w:rPr>
          <w:sz w:val="24"/>
          <w:lang w:val="sk-SK"/>
        </w:rPr>
        <w:tab/>
      </w:r>
      <w:r w:rsidRPr="002D7E26">
        <w:rPr>
          <w:sz w:val="24"/>
          <w:lang w:val="sk-SK"/>
        </w:rPr>
        <w:t xml:space="preserve">Smernica Európskeho parlamentu a Rady (EÚ) 2024/1785 z 24. apríla 2024, ktorou sa mení smernica Európskeho parlamentu a Rady 2010/75/EÚ o priemyselných emisiách (integrovaná prevencia a kontrola znečisťovania životného prostredia) a smernica Rady 1999/31/ES o skládkach odpadov (Ú. v. EÚ L, 2024/1785, 15.7.2024, ELI: </w:t>
      </w:r>
      <w:r w:rsidR="006E18D0">
        <w:fldChar w:fldCharType="begin"/>
      </w:r>
      <w:r w:rsidR="006E18D0" w:rsidRPr="006E18D0">
        <w:rPr>
          <w:lang w:val="sk-SK"/>
        </w:rPr>
        <w:instrText>HYPERLINK "http://data.europa.eu/eli/dir/2024/1785/oj"</w:instrText>
      </w:r>
      <w:r w:rsidR="006E18D0">
        <w:fldChar w:fldCharType="separate"/>
      </w:r>
      <w:r w:rsidRPr="002D7E26">
        <w:rPr>
          <w:rStyle w:val="Hyperlink"/>
          <w:sz w:val="24"/>
          <w:lang w:val="sk-SK"/>
        </w:rPr>
        <w:t>http://data.europa.eu/eli/dir/2024/1785/oj</w:t>
      </w:r>
      <w:r w:rsidR="006E18D0">
        <w:rPr>
          <w:rStyle w:val="Hyperlink"/>
          <w:sz w:val="24"/>
          <w:lang w:val="sk-SK"/>
        </w:rPr>
        <w:fldChar w:fldCharType="end"/>
      </w:r>
      <w:r w:rsidRPr="002D7E26">
        <w:rPr>
          <w:sz w:val="24"/>
          <w:lang w:val="sk-SK"/>
        </w:rPr>
        <w:t xml:space="preserve">). </w:t>
      </w:r>
    </w:p>
  </w:footnote>
  <w:footnote w:id="3">
    <w:p w14:paraId="36DF1095" w14:textId="656DE021" w:rsidR="00D576CA" w:rsidRPr="002D7E26" w:rsidRDefault="00D576CA" w:rsidP="002D7E26">
      <w:pPr>
        <w:pStyle w:val="FootnoteText"/>
        <w:ind w:left="567" w:hanging="567"/>
        <w:rPr>
          <w:sz w:val="24"/>
          <w:lang w:val="sk-SK"/>
        </w:rPr>
      </w:pPr>
      <w:r w:rsidRPr="002D7E26">
        <w:rPr>
          <w:rStyle w:val="FootnoteReference"/>
          <w:sz w:val="24"/>
          <w:lang w:val="sk-SK"/>
        </w:rPr>
        <w:footnoteRef/>
      </w:r>
      <w:r w:rsidR="002D7E26" w:rsidRPr="002D7E26">
        <w:rPr>
          <w:sz w:val="24"/>
          <w:lang w:val="sk-SK"/>
        </w:rPr>
        <w:t xml:space="preserve"> </w:t>
      </w:r>
      <w:r w:rsidR="002D7E26" w:rsidRPr="002D7E26">
        <w:rPr>
          <w:sz w:val="24"/>
          <w:lang w:val="sk-SK"/>
        </w:rPr>
        <w:tab/>
      </w:r>
      <w:r w:rsidRPr="002D7E26">
        <w:rPr>
          <w:sz w:val="24"/>
          <w:lang w:val="sk-SK"/>
        </w:rPr>
        <w:t xml:space="preserve">Nariadenie Európskeho parlamentu a Rady (EÚ) 2016/679 z 27. apríla 2016 o ochrane fyzických osôb pri spracúvaní osobných údajov a o voľnom pohybe takýchto údajov, ktorým sa zrušuje smernica 95/46/ES (všeobecné nariadenie o ochrane údajov) (Ú. v. EÚ L 119, 4.5.2016, s. 1, ELI: </w:t>
      </w:r>
      <w:r w:rsidR="006E18D0">
        <w:fldChar w:fldCharType="begin"/>
      </w:r>
      <w:r w:rsidR="006E18D0" w:rsidRPr="006E18D0">
        <w:rPr>
          <w:lang w:val="sk-SK"/>
        </w:rPr>
        <w:instrText>HYPERLINK "http://data.europa.eu/eli/reg/2016/679/oj"</w:instrText>
      </w:r>
      <w:r w:rsidR="006E18D0">
        <w:fldChar w:fldCharType="separate"/>
      </w:r>
      <w:r w:rsidRPr="002D7E26">
        <w:rPr>
          <w:rStyle w:val="Hyperlink"/>
          <w:sz w:val="24"/>
          <w:lang w:val="sk-SK"/>
        </w:rPr>
        <w:t>http://data.europa.eu/eli/reg/2016/679/oj</w:t>
      </w:r>
      <w:r w:rsidR="006E18D0">
        <w:rPr>
          <w:rStyle w:val="Hyperlink"/>
          <w:sz w:val="24"/>
          <w:lang w:val="sk-SK"/>
        </w:rPr>
        <w:fldChar w:fldCharType="end"/>
      </w:r>
      <w:r w:rsidRPr="002D7E26">
        <w:rPr>
          <w:sz w:val="24"/>
          <w:lang w:val="sk-SK"/>
        </w:rPr>
        <w:t>).</w:t>
      </w:r>
    </w:p>
  </w:footnote>
  <w:footnote w:id="4">
    <w:p w14:paraId="268C059D" w14:textId="791936C7" w:rsidR="00D576CA" w:rsidRPr="002D7E26" w:rsidRDefault="00D576CA" w:rsidP="002D7E26">
      <w:pPr>
        <w:pStyle w:val="FootnoteText"/>
        <w:ind w:left="567" w:hanging="567"/>
        <w:rPr>
          <w:sz w:val="24"/>
          <w:lang w:val="sk-SK"/>
        </w:rPr>
      </w:pPr>
      <w:r w:rsidRPr="002D7E26">
        <w:rPr>
          <w:rStyle w:val="FootnoteReference"/>
          <w:sz w:val="24"/>
          <w:lang w:val="sk-SK"/>
        </w:rPr>
        <w:footnoteRef/>
      </w:r>
      <w:r w:rsidR="002D7E26" w:rsidRPr="002D7E26">
        <w:rPr>
          <w:sz w:val="24"/>
          <w:lang w:val="sk-SK"/>
        </w:rPr>
        <w:t xml:space="preserve"> </w:t>
      </w:r>
      <w:r w:rsidR="002D7E26" w:rsidRPr="002D7E26">
        <w:rPr>
          <w:sz w:val="24"/>
          <w:lang w:val="sk-SK"/>
        </w:rPr>
        <w:tab/>
      </w:r>
      <w:r w:rsidRPr="002D7E26">
        <w:rPr>
          <w:sz w:val="24"/>
          <w:lang w:val="sk-SK"/>
        </w:rPr>
        <w:t>Smernica Európskeho parlamentu a Rady (EÚ) 2024/2841 z 23. októbra 2024, ktorou sa ustanovuje európsky preukaz osoby so zdravotným postihnutím a európsky parkovací preukaz pre osoby so zdravotným postihnutím (Ú. v. EÚ L, 2024/2841, 14.11.2024, ELI: </w:t>
      </w:r>
      <w:r w:rsidR="006E18D0">
        <w:fldChar w:fldCharType="begin"/>
      </w:r>
      <w:r w:rsidR="006E18D0" w:rsidRPr="006E18D0">
        <w:rPr>
          <w:lang w:val="sk-SK"/>
        </w:rPr>
        <w:instrText>HYPERLINK "http://data.europa.eu/eli/dir/2024/2841/oj" \t "_blank" \o "Umožňuje prístup k tomuto dokumentu prostredníctvom identifikátora URI používaného v rámci ELI."</w:instrText>
      </w:r>
      <w:r w:rsidR="006E18D0">
        <w:fldChar w:fldCharType="separate"/>
      </w:r>
      <w:r w:rsidRPr="002D7E26">
        <w:rPr>
          <w:rStyle w:val="Hyperlink"/>
          <w:sz w:val="24"/>
          <w:lang w:val="sk-SK"/>
        </w:rPr>
        <w:t>http://data.europa.eu/eli/dir/2024/2841/oj</w:t>
      </w:r>
      <w:r w:rsidR="006E18D0">
        <w:rPr>
          <w:rStyle w:val="Hyperlink"/>
          <w:sz w:val="24"/>
          <w:lang w:val="sk-SK"/>
        </w:rPr>
        <w:fldChar w:fldCharType="end"/>
      </w:r>
      <w:r w:rsidRPr="002D7E26">
        <w:rPr>
          <w:sz w:val="24"/>
          <w:lang w:val="sk-SK"/>
        </w:rPr>
        <w:t>).</w:t>
      </w:r>
    </w:p>
  </w:footnote>
  <w:footnote w:id="5">
    <w:p w14:paraId="64C01793" w14:textId="4C929734" w:rsidR="00D576CA" w:rsidRPr="002D7E26" w:rsidRDefault="00D576CA" w:rsidP="002D7E26">
      <w:pPr>
        <w:pStyle w:val="FootnoteText"/>
        <w:ind w:left="567" w:hanging="567"/>
        <w:rPr>
          <w:sz w:val="24"/>
          <w:lang w:val="sk-SK"/>
        </w:rPr>
      </w:pPr>
      <w:r w:rsidRPr="002D7E26">
        <w:rPr>
          <w:rStyle w:val="FootnoteReference"/>
          <w:sz w:val="24"/>
          <w:lang w:val="sk-SK"/>
        </w:rPr>
        <w:footnoteRef/>
      </w:r>
      <w:r w:rsidR="002D7E26" w:rsidRPr="002D7E26">
        <w:rPr>
          <w:sz w:val="24"/>
          <w:lang w:val="sk-SK"/>
        </w:rPr>
        <w:t xml:space="preserve"> </w:t>
      </w:r>
      <w:r w:rsidR="002D7E26" w:rsidRPr="002D7E26">
        <w:rPr>
          <w:sz w:val="24"/>
          <w:lang w:val="sk-SK"/>
        </w:rPr>
        <w:tab/>
      </w:r>
      <w:r w:rsidRPr="002D7E26">
        <w:rPr>
          <w:sz w:val="24"/>
          <w:lang w:val="sk-SK"/>
        </w:rPr>
        <w:t xml:space="preserve">Ú. v. EÚ C, C/2025/1278, 13.3.2025, ELI: </w:t>
      </w:r>
      <w:r w:rsidR="006E18D0">
        <w:fldChar w:fldCharType="begin"/>
      </w:r>
      <w:r w:rsidR="006E18D0" w:rsidRPr="006E18D0">
        <w:rPr>
          <w:lang w:val="fi-FI"/>
        </w:rPr>
        <w:instrText>HYPERLINK "http://data.europa.eu/eli/C/2025/1278/oj"</w:instrText>
      </w:r>
      <w:r w:rsidR="006E18D0">
        <w:fldChar w:fldCharType="separate"/>
      </w:r>
      <w:r w:rsidRPr="002D7E26">
        <w:rPr>
          <w:rStyle w:val="Hyperlink"/>
          <w:sz w:val="24"/>
          <w:lang w:val="sk-SK"/>
        </w:rPr>
        <w:t>http://data.europa.eu/eli/C/2025/1278/oj</w:t>
      </w:r>
      <w:r w:rsidR="006E18D0">
        <w:rPr>
          <w:rStyle w:val="Hyperlink"/>
          <w:sz w:val="24"/>
          <w:lang w:val="sk-SK"/>
        </w:rPr>
        <w:fldChar w:fldCharType="end"/>
      </w:r>
      <w:r w:rsidRPr="002D7E26">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4BF1F" w14:textId="77777777" w:rsidR="00064002" w:rsidRPr="002D7E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A271B" w14:textId="77777777" w:rsidR="00064002" w:rsidRPr="002D7E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3EA9D" w14:textId="77777777" w:rsidR="00064002" w:rsidRPr="002D7E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5166201">
    <w:abstractNumId w:val="9"/>
  </w:num>
  <w:num w:numId="2" w16cid:durableId="1349872052">
    <w:abstractNumId w:val="9"/>
  </w:num>
  <w:num w:numId="3" w16cid:durableId="516651865">
    <w:abstractNumId w:val="7"/>
  </w:num>
  <w:num w:numId="4" w16cid:durableId="69428096">
    <w:abstractNumId w:val="7"/>
  </w:num>
  <w:num w:numId="5" w16cid:durableId="153105222">
    <w:abstractNumId w:val="6"/>
  </w:num>
  <w:num w:numId="6" w16cid:durableId="1911230260">
    <w:abstractNumId w:val="6"/>
  </w:num>
  <w:num w:numId="7" w16cid:durableId="1818257285">
    <w:abstractNumId w:val="5"/>
  </w:num>
  <w:num w:numId="8" w16cid:durableId="1628003140">
    <w:abstractNumId w:val="5"/>
  </w:num>
  <w:num w:numId="9" w16cid:durableId="696539026">
    <w:abstractNumId w:val="4"/>
  </w:num>
  <w:num w:numId="10" w16cid:durableId="129441292">
    <w:abstractNumId w:val="4"/>
  </w:num>
  <w:num w:numId="11" w16cid:durableId="1976985350">
    <w:abstractNumId w:val="8"/>
  </w:num>
  <w:num w:numId="12" w16cid:durableId="413015649">
    <w:abstractNumId w:val="8"/>
  </w:num>
  <w:num w:numId="13" w16cid:durableId="1618440589">
    <w:abstractNumId w:val="3"/>
  </w:num>
  <w:num w:numId="14" w16cid:durableId="1172722303">
    <w:abstractNumId w:val="3"/>
  </w:num>
  <w:num w:numId="15" w16cid:durableId="1986082262">
    <w:abstractNumId w:val="2"/>
  </w:num>
  <w:num w:numId="16" w16cid:durableId="1967348668">
    <w:abstractNumId w:val="2"/>
  </w:num>
  <w:num w:numId="17" w16cid:durableId="1948389088">
    <w:abstractNumId w:val="1"/>
  </w:num>
  <w:num w:numId="18" w16cid:durableId="827941669">
    <w:abstractNumId w:val="1"/>
  </w:num>
  <w:num w:numId="19" w16cid:durableId="1528524060">
    <w:abstractNumId w:val="0"/>
  </w:num>
  <w:num w:numId="20" w16cid:durableId="1611744934">
    <w:abstractNumId w:val="0"/>
  </w:num>
  <w:num w:numId="21" w16cid:durableId="2138988254">
    <w:abstractNumId w:val="9"/>
  </w:num>
  <w:num w:numId="22" w16cid:durableId="1343507041">
    <w:abstractNumId w:val="7"/>
  </w:num>
  <w:num w:numId="23" w16cid:durableId="1358699544">
    <w:abstractNumId w:val="6"/>
  </w:num>
  <w:num w:numId="24" w16cid:durableId="1898739783">
    <w:abstractNumId w:val="5"/>
  </w:num>
  <w:num w:numId="25" w16cid:durableId="2001617018">
    <w:abstractNumId w:val="4"/>
  </w:num>
  <w:num w:numId="26" w16cid:durableId="1929121798">
    <w:abstractNumId w:val="8"/>
  </w:num>
  <w:num w:numId="27" w16cid:durableId="1491171588">
    <w:abstractNumId w:val="3"/>
  </w:num>
  <w:num w:numId="28" w16cid:durableId="1579052702">
    <w:abstractNumId w:val="2"/>
  </w:num>
  <w:num w:numId="29" w16cid:durableId="1233780897">
    <w:abstractNumId w:val="1"/>
  </w:num>
  <w:num w:numId="30" w16cid:durableId="631181453">
    <w:abstractNumId w:val="0"/>
  </w:num>
  <w:num w:numId="31" w16cid:durableId="1861313839">
    <w:abstractNumId w:val="9"/>
  </w:num>
  <w:num w:numId="32" w16cid:durableId="1021474762">
    <w:abstractNumId w:val="7"/>
  </w:num>
  <w:num w:numId="33" w16cid:durableId="1913656425">
    <w:abstractNumId w:val="6"/>
  </w:num>
  <w:num w:numId="34" w16cid:durableId="144705592">
    <w:abstractNumId w:val="5"/>
  </w:num>
  <w:num w:numId="35" w16cid:durableId="1398473377">
    <w:abstractNumId w:val="4"/>
  </w:num>
  <w:num w:numId="36" w16cid:durableId="1522402063">
    <w:abstractNumId w:val="8"/>
  </w:num>
  <w:num w:numId="37" w16cid:durableId="699357312">
    <w:abstractNumId w:val="3"/>
  </w:num>
  <w:num w:numId="38" w16cid:durableId="642390669">
    <w:abstractNumId w:val="2"/>
  </w:num>
  <w:num w:numId="39" w16cid:durableId="717164240">
    <w:abstractNumId w:val="1"/>
  </w:num>
  <w:num w:numId="40" w16cid:durableId="808203724">
    <w:abstractNumId w:val="0"/>
  </w:num>
  <w:num w:numId="41" w16cid:durableId="235435243">
    <w:abstractNumId w:val="10"/>
  </w:num>
  <w:num w:numId="42" w16cid:durableId="1947424551">
    <w:abstractNumId w:val="10"/>
  </w:num>
  <w:num w:numId="43" w16cid:durableId="40062940">
    <w:abstractNumId w:val="10"/>
  </w:num>
  <w:num w:numId="44" w16cid:durableId="19308925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SK"/>
    <w:docVar w:name="dvnumam" w:val="0"/>
    <w:docVar w:name="dvpe" w:val="773.363"/>
    <w:docVar w:name="dvrapporteur" w:val="Spravodajca: "/>
    <w:docVar w:name="dvtitre" w:val="Uznesenie Európskeho parlamentu z xx. októbra 2025 o rokovaniach Výboru pre petície v roku 2024(2025/2114(INI))"/>
  </w:docVars>
  <w:rsids>
    <w:rsidRoot w:val="00F5260A"/>
    <w:rsid w:val="00002272"/>
    <w:rsid w:val="00022309"/>
    <w:rsid w:val="00064002"/>
    <w:rsid w:val="000677B9"/>
    <w:rsid w:val="000831BA"/>
    <w:rsid w:val="000A42CC"/>
    <w:rsid w:val="000E7DD9"/>
    <w:rsid w:val="0010095E"/>
    <w:rsid w:val="00125B37"/>
    <w:rsid w:val="00187494"/>
    <w:rsid w:val="001F32AE"/>
    <w:rsid w:val="002767FF"/>
    <w:rsid w:val="002B18FE"/>
    <w:rsid w:val="002B5493"/>
    <w:rsid w:val="002B769A"/>
    <w:rsid w:val="002D7E26"/>
    <w:rsid w:val="00343214"/>
    <w:rsid w:val="00361C00"/>
    <w:rsid w:val="00395FA1"/>
    <w:rsid w:val="003B29F1"/>
    <w:rsid w:val="003E15D4"/>
    <w:rsid w:val="00411CCE"/>
    <w:rsid w:val="00411E36"/>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8D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0BB"/>
    <w:rsid w:val="00AF3B82"/>
    <w:rsid w:val="00B12E95"/>
    <w:rsid w:val="00B22876"/>
    <w:rsid w:val="00B41CE2"/>
    <w:rsid w:val="00B558F0"/>
    <w:rsid w:val="00BD48FE"/>
    <w:rsid w:val="00BD7BD8"/>
    <w:rsid w:val="00BE6ADC"/>
    <w:rsid w:val="00C05BFE"/>
    <w:rsid w:val="00C23CD4"/>
    <w:rsid w:val="00C61C0C"/>
    <w:rsid w:val="00C941CB"/>
    <w:rsid w:val="00CC2357"/>
    <w:rsid w:val="00CF071A"/>
    <w:rsid w:val="00D058B8"/>
    <w:rsid w:val="00D56C11"/>
    <w:rsid w:val="00D576CA"/>
    <w:rsid w:val="00D834A0"/>
    <w:rsid w:val="00D872DF"/>
    <w:rsid w:val="00D91E21"/>
    <w:rsid w:val="00DA7FCD"/>
    <w:rsid w:val="00E365E1"/>
    <w:rsid w:val="00E820A4"/>
    <w:rsid w:val="00E93AD4"/>
    <w:rsid w:val="00EB006A"/>
    <w:rsid w:val="00EB4772"/>
    <w:rsid w:val="00ED169E"/>
    <w:rsid w:val="00ED4235"/>
    <w:rsid w:val="00F04346"/>
    <w:rsid w:val="00F075DC"/>
    <w:rsid w:val="00F149E9"/>
    <w:rsid w:val="00F5134D"/>
    <w:rsid w:val="00F5260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95388"/>
  <w15:chartTrackingRefBased/>
  <w15:docId w15:val="{7E8A981E-D407-4CF1-BCF4-B2716D5C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76CA"/>
    <w:pPr>
      <w:spacing w:after="240"/>
      <w:ind w:left="567" w:hanging="567"/>
    </w:pPr>
  </w:style>
  <w:style w:type="paragraph" w:customStyle="1" w:styleId="EPComma">
    <w:name w:val="EPComma"/>
    <w:basedOn w:val="Normal"/>
    <w:uiPriority w:val="99"/>
    <w:rsid w:val="00D576CA"/>
    <w:pPr>
      <w:spacing w:before="480" w:after="240"/>
    </w:pPr>
  </w:style>
  <w:style w:type="character" w:styleId="Hyperlink">
    <w:name w:val="Hyperlink"/>
    <w:basedOn w:val="DefaultParagraphFont"/>
    <w:rsid w:val="00D576CA"/>
    <w:rPr>
      <w:color w:val="0563C1" w:themeColor="hyperlink"/>
      <w:u w:val="single"/>
    </w:rPr>
  </w:style>
  <w:style w:type="character" w:customStyle="1" w:styleId="NormalHanging12aChar">
    <w:name w:val="NormalHanging12a Char"/>
    <w:basedOn w:val="DefaultParagraphFont"/>
    <w:link w:val="NormalHanging12a"/>
    <w:rsid w:val="00D576CA"/>
    <w:rPr>
      <w:sz w:val="24"/>
      <w:lang w:val="sk-SK"/>
    </w:rPr>
  </w:style>
  <w:style w:type="paragraph" w:styleId="Revision">
    <w:name w:val="Revision"/>
    <w:hidden/>
    <w:uiPriority w:val="99"/>
    <w:semiHidden/>
    <w:rsid w:val="00AE50BB"/>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3900</Words>
  <Characters>23838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2025-10-09T10:24:00Z</dcterms:created>
  <dcterms:modified xsi:type="dcterms:W3CDTF">2025-10-09T10:24:00Z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A10-0170/2025</vt:lpwstr>
  </property>
  <property fmtid="{D5CDD505-2E9C-101B-9397-08002B2CF9AE}" pid="4" name="&lt;Type&gt;">
    <vt:lpwstr>RR</vt:lpwstr>
  </property>
</Properties>
</file>