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193C" w14:paraId="561C5581" w14:textId="77777777" w:rsidTr="0010095E">
        <w:trPr>
          <w:trHeight w:hRule="exact" w:val="1418"/>
        </w:trPr>
        <w:tc>
          <w:tcPr>
            <w:tcW w:w="6804" w:type="dxa"/>
            <w:shd w:val="clear" w:color="auto" w:fill="auto"/>
            <w:vAlign w:val="center"/>
          </w:tcPr>
          <w:p w14:paraId="6FF1D964" w14:textId="77777777" w:rsidR="00751A4A" w:rsidRPr="0050193C" w:rsidRDefault="003A6673" w:rsidP="0010095E">
            <w:pPr>
              <w:pStyle w:val="EPName"/>
            </w:pPr>
            <w:r w:rsidRPr="0050193C">
              <w:t>Europaparlamentet</w:t>
            </w:r>
          </w:p>
          <w:p w14:paraId="2C2DCCA9" w14:textId="77777777" w:rsidR="00751A4A" w:rsidRPr="0050193C" w:rsidRDefault="005F1B17" w:rsidP="005F1B17">
            <w:pPr>
              <w:pStyle w:val="EPTerm"/>
              <w:rPr>
                <w:rStyle w:val="HideTWBExt"/>
                <w:noProof w:val="0"/>
                <w:vanish w:val="0"/>
                <w:color w:val="auto"/>
              </w:rPr>
            </w:pPr>
            <w:r w:rsidRPr="0050193C">
              <w:t>2024</w:t>
            </w:r>
            <w:r w:rsidR="00817416" w:rsidRPr="0050193C">
              <w:t>-202</w:t>
            </w:r>
            <w:r w:rsidRPr="0050193C">
              <w:t>9</w:t>
            </w:r>
          </w:p>
        </w:tc>
        <w:tc>
          <w:tcPr>
            <w:tcW w:w="2268" w:type="dxa"/>
            <w:shd w:val="clear" w:color="auto" w:fill="auto"/>
          </w:tcPr>
          <w:p w14:paraId="741148A2" w14:textId="77777777" w:rsidR="00751A4A" w:rsidRPr="0050193C" w:rsidRDefault="00187494" w:rsidP="0010095E">
            <w:pPr>
              <w:pStyle w:val="EPLogo"/>
            </w:pPr>
            <w:r w:rsidRPr="0050193C">
              <w:rPr>
                <w:noProof/>
                <w:lang w:eastAsia="ja-JP"/>
              </w:rPr>
              <w:drawing>
                <wp:inline distT="0" distB="0" distL="0" distR="0" wp14:anchorId="488411F6" wp14:editId="0DB1E8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090A03" w14:textId="77777777" w:rsidR="00D058B8" w:rsidRPr="0050193C" w:rsidRDefault="00D058B8" w:rsidP="004C5D52">
      <w:pPr>
        <w:pStyle w:val="LineTop"/>
      </w:pPr>
    </w:p>
    <w:p w14:paraId="2DD1C7E5" w14:textId="77777777" w:rsidR="00680577" w:rsidRPr="0050193C" w:rsidRDefault="003A6673" w:rsidP="00680577">
      <w:pPr>
        <w:pStyle w:val="EPBodyTA1"/>
      </w:pPr>
      <w:r w:rsidRPr="0050193C">
        <w:t>ANTAGNA TEXTER</w:t>
      </w:r>
    </w:p>
    <w:p w14:paraId="63EE5582" w14:textId="77777777" w:rsidR="00D058B8" w:rsidRPr="0050193C" w:rsidRDefault="00D058B8" w:rsidP="00D058B8">
      <w:pPr>
        <w:pStyle w:val="LineBottom"/>
      </w:pPr>
    </w:p>
    <w:p w14:paraId="49535AB5" w14:textId="0749C532" w:rsidR="003A6673" w:rsidRPr="0050193C" w:rsidRDefault="003A6673" w:rsidP="003A6673">
      <w:pPr>
        <w:pStyle w:val="ATHeading1"/>
      </w:pPr>
      <w:bookmarkStart w:id="0" w:name="TANumber"/>
      <w:r w:rsidRPr="0050193C">
        <w:t>P10_TA(2025)0</w:t>
      </w:r>
      <w:bookmarkEnd w:id="0"/>
      <w:r w:rsidR="00921C00">
        <w:t>228</w:t>
      </w:r>
    </w:p>
    <w:p w14:paraId="1DCB9C9C" w14:textId="77777777" w:rsidR="003A6673" w:rsidRPr="0050193C" w:rsidRDefault="003A6673" w:rsidP="003A6673">
      <w:pPr>
        <w:pStyle w:val="ATHeading2"/>
      </w:pPr>
      <w:bookmarkStart w:id="1" w:name="title"/>
      <w:r w:rsidRPr="0050193C">
        <w:t>Överläggningarna i utskottet för framställningar under 2024</w:t>
      </w:r>
      <w:bookmarkEnd w:id="1"/>
    </w:p>
    <w:p w14:paraId="2743D1C2" w14:textId="77777777" w:rsidR="003A6673" w:rsidRPr="0050193C" w:rsidRDefault="003A6673" w:rsidP="003A6673">
      <w:pPr>
        <w:rPr>
          <w:i/>
          <w:vanish/>
        </w:rPr>
      </w:pPr>
      <w:r w:rsidRPr="0050193C">
        <w:rPr>
          <w:i/>
        </w:rPr>
        <w:fldChar w:fldCharType="begin"/>
      </w:r>
      <w:r w:rsidRPr="0050193C">
        <w:rPr>
          <w:i/>
        </w:rPr>
        <w:instrText xml:space="preserve"> TC"(</w:instrText>
      </w:r>
      <w:bookmarkStart w:id="2" w:name="DocNumber"/>
      <w:r w:rsidRPr="0050193C">
        <w:rPr>
          <w:i/>
        </w:rPr>
        <w:instrText>A10-0170/2025</w:instrText>
      </w:r>
      <w:bookmarkEnd w:id="2"/>
      <w:r w:rsidRPr="0050193C">
        <w:rPr>
          <w:i/>
        </w:rPr>
        <w:instrText xml:space="preserve"> - Föredragande: Fredis Beleris)"\l3 \n&gt; \* MERGEFORMAT </w:instrText>
      </w:r>
      <w:r w:rsidRPr="0050193C">
        <w:rPr>
          <w:i/>
        </w:rPr>
        <w:fldChar w:fldCharType="end"/>
      </w:r>
    </w:p>
    <w:p w14:paraId="6FD2C515" w14:textId="77777777" w:rsidR="003A6673" w:rsidRPr="0050193C" w:rsidRDefault="003A6673" w:rsidP="003A6673">
      <w:pPr>
        <w:rPr>
          <w:vanish/>
        </w:rPr>
      </w:pPr>
      <w:bookmarkStart w:id="3" w:name="Commission"/>
      <w:r w:rsidRPr="0050193C">
        <w:rPr>
          <w:vanish/>
        </w:rPr>
        <w:t>Utskottet för framställningar</w:t>
      </w:r>
      <w:bookmarkEnd w:id="3"/>
    </w:p>
    <w:p w14:paraId="03DFAD05" w14:textId="77777777" w:rsidR="003A6673" w:rsidRPr="0050193C" w:rsidRDefault="003A6673" w:rsidP="003A6673">
      <w:pPr>
        <w:rPr>
          <w:vanish/>
        </w:rPr>
      </w:pPr>
      <w:bookmarkStart w:id="4" w:name="PE"/>
      <w:r w:rsidRPr="0050193C">
        <w:rPr>
          <w:vanish/>
        </w:rPr>
        <w:t>PE773.363</w:t>
      </w:r>
      <w:bookmarkEnd w:id="4"/>
    </w:p>
    <w:p w14:paraId="36FD4BFE" w14:textId="11B09446" w:rsidR="003A6673" w:rsidRPr="0018541A" w:rsidRDefault="003A6673" w:rsidP="003A6673">
      <w:pPr>
        <w:pStyle w:val="ATHeading3"/>
      </w:pPr>
      <w:bookmarkStart w:id="5" w:name="Sujet"/>
      <w:r w:rsidRPr="0050193C">
        <w:t xml:space="preserve">Europaparlamentets resolution av den </w:t>
      </w:r>
      <w:r w:rsidR="00F36CAE">
        <w:t>9</w:t>
      </w:r>
      <w:r w:rsidR="00F36CAE" w:rsidRPr="0050193C">
        <w:t xml:space="preserve"> </w:t>
      </w:r>
      <w:r w:rsidR="00F36CAE">
        <w:t>oktober</w:t>
      </w:r>
      <w:r w:rsidR="00F36CAE" w:rsidRPr="0050193C">
        <w:t xml:space="preserve"> </w:t>
      </w:r>
      <w:r w:rsidRPr="0050193C">
        <w:t>2025 om överläggningarna i utskottet för framställningar under 202</w:t>
      </w:r>
      <w:r w:rsidRPr="0018541A">
        <w:t>4</w:t>
      </w:r>
      <w:bookmarkEnd w:id="5"/>
      <w:r w:rsidRPr="0018541A">
        <w:t xml:space="preserve"> </w:t>
      </w:r>
      <w:bookmarkStart w:id="6" w:name="References"/>
      <w:r w:rsidRPr="0018541A">
        <w:t>(2025/2114(INI))</w:t>
      </w:r>
      <w:bookmarkEnd w:id="6"/>
    </w:p>
    <w:p w14:paraId="67465AE1" w14:textId="77777777" w:rsidR="009A07C0" w:rsidRPr="0018541A" w:rsidRDefault="009A07C0" w:rsidP="009A07C0">
      <w:pPr>
        <w:pStyle w:val="EPComma"/>
      </w:pPr>
      <w:r w:rsidRPr="0018541A">
        <w:rPr>
          <w:i/>
        </w:rPr>
        <w:t>Europaparlamentet utfärdar denna resolution</w:t>
      </w:r>
    </w:p>
    <w:p w14:paraId="11195DBB" w14:textId="0E1A254C" w:rsidR="009A07C0" w:rsidRPr="0018541A" w:rsidRDefault="009A07C0" w:rsidP="009A07C0">
      <w:pPr>
        <w:pStyle w:val="NormalHanging12a"/>
      </w:pPr>
      <w:r w:rsidRPr="0018541A">
        <w:t>–</w:t>
      </w:r>
      <w:r w:rsidRPr="0018541A">
        <w:tab/>
        <w:t>med beaktande av sina tidigare resolutioner om</w:t>
      </w:r>
      <w:r w:rsidR="00EF68D6">
        <w:t xml:space="preserve"> </w:t>
      </w:r>
      <w:r w:rsidRPr="0018541A">
        <w:t>överläggningarna i utskottet för framställningar,</w:t>
      </w:r>
    </w:p>
    <w:p w14:paraId="152D894E" w14:textId="77777777" w:rsidR="009A07C0" w:rsidRPr="0018541A" w:rsidRDefault="009A07C0" w:rsidP="009A07C0">
      <w:pPr>
        <w:pStyle w:val="NormalHanging12a"/>
      </w:pPr>
      <w:r w:rsidRPr="0018541A">
        <w:t>–</w:t>
      </w:r>
      <w:r w:rsidRPr="0018541A">
        <w:tab/>
        <w:t>med beaktande av artiklarna 10 och 11 i fördraget om Europeiska unionen,</w:t>
      </w:r>
    </w:p>
    <w:p w14:paraId="0EF93BEC" w14:textId="77777777" w:rsidR="009A07C0" w:rsidRPr="0018541A" w:rsidRDefault="009A07C0" w:rsidP="009A07C0">
      <w:pPr>
        <w:pStyle w:val="NormalHanging12a"/>
      </w:pPr>
      <w:r w:rsidRPr="0018541A">
        <w:t>–</w:t>
      </w:r>
      <w:r w:rsidRPr="0018541A">
        <w:tab/>
        <w:t>med beaktande av artiklarna 20, 24 och 227 i fördraget om Europeiska unionens funktionssätt (EUF-fördraget) om rätten för medborgare och bosatta i EU att göra framställningar till Europaparlamentet,</w:t>
      </w:r>
    </w:p>
    <w:p w14:paraId="0A7C8443" w14:textId="77777777" w:rsidR="009A07C0" w:rsidRPr="0018541A" w:rsidRDefault="009A07C0" w:rsidP="009A07C0">
      <w:pPr>
        <w:pStyle w:val="NormalHanging12a"/>
      </w:pPr>
      <w:r w:rsidRPr="0018541A">
        <w:t>–</w:t>
      </w:r>
      <w:r w:rsidRPr="0018541A">
        <w:tab/>
        <w:t>med beaktande av artikel 228 i EUF-fördraget om Europeiska ombudsmannens roll och uppgifter,</w:t>
      </w:r>
    </w:p>
    <w:p w14:paraId="65EAA24E" w14:textId="77777777" w:rsidR="009A07C0" w:rsidRPr="0018541A" w:rsidRDefault="009A07C0" w:rsidP="009A07C0">
      <w:pPr>
        <w:pStyle w:val="NormalHanging12a"/>
      </w:pPr>
      <w:r w:rsidRPr="0018541A">
        <w:t>–</w:t>
      </w:r>
      <w:r w:rsidRPr="0018541A">
        <w:tab/>
        <w:t>med beaktande av artikel 44 i Europeiska unionens stadga om de grundläggande rättigheterna om rätten att göra framställningar till Europaparlamentet,</w:t>
      </w:r>
    </w:p>
    <w:p w14:paraId="75616B5D" w14:textId="77777777" w:rsidR="009A07C0" w:rsidRPr="0018541A" w:rsidRDefault="009A07C0" w:rsidP="009A07C0">
      <w:pPr>
        <w:pStyle w:val="NormalHanging12a"/>
      </w:pPr>
      <w:r w:rsidRPr="0018541A">
        <w:t>–</w:t>
      </w:r>
      <w:r w:rsidRPr="0018541A">
        <w:tab/>
        <w:t>med beaktande av bestämmelserna i EUF-fördraget om överträdelseförfarandet, särskilt artiklarna 258 och 260,</w:t>
      </w:r>
    </w:p>
    <w:p w14:paraId="3560D79B" w14:textId="77777777" w:rsidR="009A07C0" w:rsidRPr="0018541A" w:rsidRDefault="009A07C0" w:rsidP="009A07C0">
      <w:pPr>
        <w:pStyle w:val="NormalHanging12a"/>
      </w:pPr>
      <w:r w:rsidRPr="0018541A">
        <w:t>–</w:t>
      </w:r>
      <w:r w:rsidRPr="0018541A">
        <w:tab/>
        <w:t>med beaktande av artiklarna 55 och 233.7 i arbetsordningen,</w:t>
      </w:r>
    </w:p>
    <w:p w14:paraId="5F3C22DC" w14:textId="77777777" w:rsidR="009A07C0" w:rsidRPr="0018541A" w:rsidRDefault="009A07C0" w:rsidP="009A07C0">
      <w:pPr>
        <w:pStyle w:val="NormalHanging12a"/>
      </w:pPr>
      <w:r w:rsidRPr="0018541A">
        <w:t>–</w:t>
      </w:r>
      <w:r w:rsidRPr="0018541A">
        <w:tab/>
        <w:t>med beaktande av betänkandet från utskottet för framställningar (A10-0170/2025), och av följande skäl:</w:t>
      </w:r>
    </w:p>
    <w:p w14:paraId="21122BB0" w14:textId="77777777" w:rsidR="009A07C0" w:rsidRPr="0018541A" w:rsidRDefault="009A07C0" w:rsidP="009A07C0">
      <w:pPr>
        <w:pStyle w:val="NormalHanging12a"/>
      </w:pPr>
      <w:r w:rsidRPr="0018541A">
        <w:t>A.</w:t>
      </w:r>
      <w:r w:rsidRPr="0018541A">
        <w:tab/>
        <w:t xml:space="preserve">Efter valet till Europaparlamentet, som ägde rum den 6–9 juni 2024, och det nya parlamentets konstituerande sammanträde den 16 juli 2024, höll utskottet för framställningar sitt konstituerande sammanträde den 23 juli 2024. </w:t>
      </w:r>
    </w:p>
    <w:p w14:paraId="5122C9A4" w14:textId="77777777" w:rsidR="009A07C0" w:rsidRPr="0018541A" w:rsidRDefault="009A07C0" w:rsidP="009A07C0">
      <w:pPr>
        <w:pStyle w:val="NormalHanging12a"/>
      </w:pPr>
      <w:r w:rsidRPr="0018541A">
        <w:t>B.</w:t>
      </w:r>
      <w:r w:rsidRPr="0018541A">
        <w:tab/>
        <w:t>Syftet med det årliga betänkandet om överläggningarna i utskottet för framställningar är att analysera de framställningar som mottogs 2024 och förbindelserna med andra institutioner och att ge en rättvisande bild av de mål som uppnåddes 2024.</w:t>
      </w:r>
    </w:p>
    <w:p w14:paraId="3E9E7617" w14:textId="77777777" w:rsidR="009A07C0" w:rsidRPr="0018541A" w:rsidRDefault="009A07C0" w:rsidP="009A07C0">
      <w:pPr>
        <w:pStyle w:val="NormalHanging12a"/>
      </w:pPr>
      <w:r w:rsidRPr="0018541A">
        <w:t>C.</w:t>
      </w:r>
      <w:r w:rsidRPr="0018541A">
        <w:tab/>
        <w:t xml:space="preserve">Under 2024 mottog parlamentet 1 518 framställningar, vilket innebär en ökning med 4,3 % jämfört med de 1 452 framställningar som mottogs 2023 och 19,8 % jämfört med </w:t>
      </w:r>
      <w:r w:rsidRPr="0018541A">
        <w:lastRenderedPageBreak/>
        <w:t>de 1 217 framställningar som mottogs 2022. Det totala antalet mottagna framställningar är fortfarande märkbart lägre än topparna 2013 och 2014, då parlamentet mottog 2 891 respektive 2 715 framställningar.</w:t>
      </w:r>
    </w:p>
    <w:p w14:paraId="60251E34" w14:textId="77777777" w:rsidR="009A07C0" w:rsidRPr="0018541A" w:rsidRDefault="009A07C0" w:rsidP="009A07C0">
      <w:pPr>
        <w:pStyle w:val="NormalHanging12a"/>
      </w:pPr>
      <w:r w:rsidRPr="0018541A">
        <w:t>D.</w:t>
      </w:r>
      <w:r w:rsidRPr="0018541A">
        <w:tab/>
        <w:t>Under 2024 stödde 15 661 användare framställningar på parlamentets webbportal för framställningar – en betydande minskning jämfört med 26 331 under 2023 och 22 441 under 2022. Antalet stödklick minskade också till 17 745 år 2024, från 29 287 år 2023 och 27 927 år 2022.</w:t>
      </w:r>
    </w:p>
    <w:p w14:paraId="0B04A688" w14:textId="77777777" w:rsidR="009A07C0" w:rsidRPr="0018541A" w:rsidRDefault="009A07C0" w:rsidP="009A07C0">
      <w:pPr>
        <w:pStyle w:val="NormalHanging12a"/>
      </w:pPr>
      <w:r w:rsidRPr="0018541A">
        <w:t>E.</w:t>
      </w:r>
      <w:r w:rsidRPr="0018541A">
        <w:tab/>
        <w:t>Det totala antalet framställningar är fortfarande blygsamt i förhållande till EU:s totala befolkning, vilket visar att det även fortsättningsvis krävs intensifierade insatser för att göra medborgarna mer medvetna om sin rätt att göra framställningar och om framställningarnas eventuella användbarhet som ett sätt att uppmärksamma institutionerna och medlemsstaterna på frågor som direkt påverkar och berör medborgarna. Utskottet för framställningar, som åtnjuter stor popularitet bland ungdomar i samband med evenemang såsom det europeiska ungdomsevenemanget (EYE) i Strasbourg, kan på ett effektivt sätt främja denna rätt och öka medvetenheten om dess betydelse bland medborgarna, särskilt bland yngre personer. Det är därför viktigt att säkerställa utskottets aktiva och systematiska närvaro vid varje upplaga av EYE, så att det blir mer synligt och tillgängligt. När medborgarna utövar sin rätt att göra framställningar förväntar de sig att EU-institutionerna ska tillföra ett mervärde när det gäller att finna en lösning på deras problem. Denna rätt att göra framställningar måste också stödja grundläggande principer såsom god förvaltning av EU:s institutioner, yttrandefrihet och respekt för demokratiska uttrycksformer.</w:t>
      </w:r>
    </w:p>
    <w:p w14:paraId="4C7569A0" w14:textId="77777777" w:rsidR="009A07C0" w:rsidRPr="0018541A" w:rsidRDefault="009A07C0" w:rsidP="009A07C0">
      <w:pPr>
        <w:pStyle w:val="NormalHanging12a"/>
      </w:pPr>
      <w:r w:rsidRPr="0018541A">
        <w:t>F.</w:t>
      </w:r>
      <w:r w:rsidRPr="0018541A">
        <w:tab/>
        <w:t>Enligt kriterierna för framställningars tillåtlighet i artikel 227 i EUF-fördraget och artikel 232.1 i parlamentets arbetsordning ska framställningar inges av en EU-medborgare eller en fysisk eller juridisk person som är bosatt eller har sitt säte i en medlemsstat, antingen enskilt eller tillsammans med andra, i frågor som hör till EU:s verksamhetsområde och som direkt berör framställarna, där tolkningen av det sistnämnda villkoret är mycket bred.</w:t>
      </w:r>
    </w:p>
    <w:p w14:paraId="4F61FE22" w14:textId="77777777" w:rsidR="009A07C0" w:rsidRPr="0018541A" w:rsidRDefault="009A07C0" w:rsidP="009A07C0">
      <w:pPr>
        <w:pStyle w:val="NormalHanging12a"/>
      </w:pPr>
      <w:r w:rsidRPr="0018541A">
        <w:t>G.</w:t>
      </w:r>
      <w:r w:rsidRPr="0018541A">
        <w:tab/>
        <w:t xml:space="preserve">Av de 1 518 framställningar som ingavs 2024 förklarades 611 otillåtliga, medan 31 drogs tillbaka. Den stora och växande andelen otillåtliga framställningar 2024 (40,25 %) bekräftar att det fortfarande råder en utbredd brist på klarhet om omfattningen av EU:s ansvarsområde. För att antalet otillåtliga framställningar ska minska krävs det fortfarande insatser för att ytterligare klargöra omfattningen av EU:s verksamhetsområde. </w:t>
      </w:r>
    </w:p>
    <w:p w14:paraId="7D5F447A" w14:textId="77777777" w:rsidR="009A07C0" w:rsidRPr="0018541A" w:rsidRDefault="009A07C0" w:rsidP="009A07C0">
      <w:pPr>
        <w:pStyle w:val="NormalHanging12a"/>
      </w:pPr>
      <w:r w:rsidRPr="0018541A">
        <w:t>H.</w:t>
      </w:r>
      <w:r w:rsidRPr="0018541A">
        <w:tab/>
        <w:t>Rätten att göra framställningar till parlamentet är en grundläggande rättighet för EU-medborgarna som erbjuder både medborgare och invånare en öppen, demokratisk och transparent mekanism varigenom de kan vända sig direkt till sina valda företrädare. Många personer med funktionsnedsättning saknar lika tillgång till information och kommunikation på grund av den begränsade tillgången på tillgängliga format och på grund av att nationella teckenspråk inte erkänns som en del av EU:s flerspråkighet. Detta viktiga verktyg ger medborgarna möjlighet att aktivt och effektivt delta i unionslivet. Genom framställningar kan EU-medborgarna framföra klagomål över underlåtenhet att genomföra unionsrätten samt hjälpa till att upptäcka överträdelser av unionsrätten, i enlighet med medlemsstaternas suveränitet och tillämpningen av EU</w:t>
      </w:r>
      <w:r w:rsidRPr="0018541A">
        <w:noBreakHyphen/>
        <w:t>fördragen.</w:t>
      </w:r>
    </w:p>
    <w:p w14:paraId="4AD2EC43" w14:textId="77777777" w:rsidR="009A07C0" w:rsidRPr="0018541A" w:rsidRDefault="009A07C0" w:rsidP="009A07C0">
      <w:pPr>
        <w:pStyle w:val="NormalHanging12a"/>
      </w:pPr>
      <w:r w:rsidRPr="0018541A">
        <w:lastRenderedPageBreak/>
        <w:t>I.</w:t>
      </w:r>
      <w:r w:rsidRPr="0018541A">
        <w:tab/>
        <w:t>Europaparlamentet har länge internationellt gått i täten för utvecklingen av processen för framställningar och har det mest öppna och transparenta framställningsförfarandet i Europa, som gör det möjligt för framställarna att delta fullt ut i institutionens verksamhet. Onlineplattformen för framställningar skulle kunna göras mer intuitiv så att användarna lättare kan navigera. Genom att införa artificiell intelligens skulle man kunna förenkla undersökningarna och förbättra framställningarnas tillgänglighet genom att erbjuda mer avancerade funktioner än i det nuvarande formatet.</w:t>
      </w:r>
    </w:p>
    <w:p w14:paraId="18BEAE91" w14:textId="77777777" w:rsidR="009A07C0" w:rsidRPr="0018541A" w:rsidRDefault="009A07C0" w:rsidP="009A07C0">
      <w:pPr>
        <w:pStyle w:val="NormalHanging12a"/>
      </w:pPr>
      <w:r w:rsidRPr="0018541A">
        <w:t>J.</w:t>
      </w:r>
      <w:r w:rsidRPr="0018541A">
        <w:tab/>
        <w:t>Utskottet för framställningar framhåller vikten av ökad transparens i behandlingen av framställningar, inklusive systematisk återkoppling till framställarna i viktiga skeden av förfarandet och en tydlig tidsplan för EU-institutionernas uppföljningsåtgärder.</w:t>
      </w:r>
    </w:p>
    <w:p w14:paraId="663BBD8D" w14:textId="77777777" w:rsidR="009A07C0" w:rsidRPr="0018541A" w:rsidRDefault="009A07C0" w:rsidP="009A07C0">
      <w:pPr>
        <w:pStyle w:val="NormalHanging12a"/>
      </w:pPr>
      <w:r w:rsidRPr="0018541A">
        <w:t>K.</w:t>
      </w:r>
      <w:r w:rsidRPr="0018541A">
        <w:tab/>
        <w:t>Verksamheten i utskottet för framställningar bygger på framställarnas synpunkter och den information de tillhandahåller. Denna information är tillsammans med kommissionens, medlemsstaternas och andra organs sakkunskap avgörande för arbetet i utskottet för framställningar. Tillåtliga framställningar ger ofta värdefulla bidrag till arbetet i parlamentets övriga utskott. Framställningar kan därför också spela en roll i lagstiftningsprocessen, genom att ge konkret återkoppling om effekterna av EU:s politik och göra det möjligt för politiken att tillgodose nya behov.</w:t>
      </w:r>
    </w:p>
    <w:p w14:paraId="1CE3B200" w14:textId="77777777" w:rsidR="009A07C0" w:rsidRPr="0018541A" w:rsidRDefault="009A07C0" w:rsidP="009A07C0">
      <w:pPr>
        <w:pStyle w:val="NormalHanging12a"/>
      </w:pPr>
      <w:r w:rsidRPr="0018541A">
        <w:t>L.</w:t>
      </w:r>
      <w:r w:rsidRPr="0018541A">
        <w:tab/>
        <w:t>Rätten att göra framställningar ökar parlamentets lyhördhet för klagomål och farhågor i fråga om respekten för EU:s grundläggande rättigheter och efterlevnaden av unionsrätten i medlemsstaterna. Framställningar kan vara en värdefull källa till information om fall av felaktig tillämpning eller överträdelser av unionsrätten och göra det möjligt för parlamentet och andra institutioner att bedöma införlivandet och tillämpningen av unionsrätten och hur rättigheterna för medborgare och bosatta i EU påverkas.</w:t>
      </w:r>
    </w:p>
    <w:p w14:paraId="6630736D" w14:textId="77777777" w:rsidR="009A07C0" w:rsidRPr="0018541A" w:rsidRDefault="009A07C0" w:rsidP="009A07C0">
      <w:pPr>
        <w:pStyle w:val="NormalHanging12a"/>
      </w:pPr>
      <w:r w:rsidRPr="0018541A">
        <w:t>M.</w:t>
      </w:r>
      <w:r w:rsidRPr="0018541A">
        <w:tab/>
        <w:t>Behandlingen av alla framställningar är noggrann, effektiv och transparent. Alla framställare har rätt att inom rimlig tid få ett svar med information om det beslut om tillåtlighet och uppföljningsåtgärder som utskottet har fattat, på det egna språket eller på det språk som använts i framställningen. I framställning nr 1056/2016, som diskuterades den 19 mars 2024, uppmanas parlamentet att tillåta ingivande av framställningar på nationella teckenspråk som används i EU.</w:t>
      </w:r>
    </w:p>
    <w:p w14:paraId="6BC91D19" w14:textId="77777777" w:rsidR="009A07C0" w:rsidRPr="0018541A" w:rsidRDefault="009A07C0" w:rsidP="009A07C0">
      <w:pPr>
        <w:pStyle w:val="NormalHanging12a"/>
      </w:pPr>
      <w:r w:rsidRPr="0018541A">
        <w:t>N.</w:t>
      </w:r>
      <w:r w:rsidRPr="0018541A">
        <w:tab/>
        <w:t>Utskottet för framställningar fäster mycket stor vikt vid granskningen av framställningar och vid den offentliga diskussionen kring dessa vid utskottets sammanträden. Framställarna har rätt att presentera sina framställningar och får ofta ordet i diskussionen. De bidrar därmed aktivt till utskottets arbete. Under 2024 höll utskottet för framställningar åtta utskottssammanträden – utöver sitt konstituerande sammanträde – där 106 framställningar diskuterades med 106 framställare närvarande, vilka aktivt deltog genom att yttra sig.</w:t>
      </w:r>
    </w:p>
    <w:p w14:paraId="1D6E35A1" w14:textId="77777777" w:rsidR="009A07C0" w:rsidRPr="0018541A" w:rsidRDefault="009A07C0" w:rsidP="009A07C0">
      <w:pPr>
        <w:pStyle w:val="NormalHanging12a"/>
      </w:pPr>
      <w:r w:rsidRPr="0018541A">
        <w:t>O.</w:t>
      </w:r>
      <w:r w:rsidRPr="0018541A">
        <w:tab/>
        <w:t>De viktigaste orosfrågor som togs upp i de framställningar som ingavs 2024 rörde miljö, grundläggande rättigheter, rättsstaten (inbegripet rätten till god förvaltning, rätten till tillgång till handlingar samt yttrande- och informationsfriheten), den inre marknaden, rättsliga frågor, konsumenträttigheter och hälsa.</w:t>
      </w:r>
    </w:p>
    <w:p w14:paraId="280C2A8C" w14:textId="77777777" w:rsidR="009A07C0" w:rsidRPr="0018541A" w:rsidRDefault="009A07C0" w:rsidP="009A07C0">
      <w:pPr>
        <w:pStyle w:val="NormalHanging12a"/>
      </w:pPr>
      <w:r w:rsidRPr="0018541A">
        <w:t>P.</w:t>
      </w:r>
      <w:r w:rsidRPr="0018541A">
        <w:tab/>
        <w:t xml:space="preserve">När utskottet för framställningar fastställer sin föredragningslista för sammanträden försöker det se till att diskutera sådana framställningar och frågor som har stor relevans för diskussionen på EU-nivå och ta hänsyn till behovet att upprätthålla en balanserad </w:t>
      </w:r>
      <w:r w:rsidRPr="0018541A">
        <w:lastRenderedPageBreak/>
        <w:t>geografisk täckning av ämnen utifrån de framställningar som mottagits.</w:t>
      </w:r>
    </w:p>
    <w:p w14:paraId="75C8F427" w14:textId="77777777" w:rsidR="009A07C0" w:rsidRPr="0018541A" w:rsidRDefault="009A07C0" w:rsidP="009A07C0">
      <w:pPr>
        <w:pStyle w:val="NormalHanging12a"/>
      </w:pPr>
      <w:r w:rsidRPr="0018541A">
        <w:t>Q.</w:t>
      </w:r>
      <w:r w:rsidRPr="0018541A">
        <w:tab/>
        <w:t>Av de framställningar som parlamentet mottog 2024 lämnades 82 % in via parlamentets webbportal för framställningar – en siffra som är nästan identisk med den för 2023 (82,4 %) – vilket återigen visar att portalen är den överlägset mest använda kanalen för medborgarnas ingivande av framställningar till parlamentet.</w:t>
      </w:r>
    </w:p>
    <w:p w14:paraId="394B7E52" w14:textId="77777777" w:rsidR="009A07C0" w:rsidRPr="0018541A" w:rsidRDefault="009A07C0" w:rsidP="009A07C0">
      <w:pPr>
        <w:pStyle w:val="NormalHanging12a"/>
      </w:pPr>
      <w:r w:rsidRPr="0018541A">
        <w:t>R.</w:t>
      </w:r>
      <w:r w:rsidRPr="0018541A">
        <w:tab/>
        <w:t>På den omarbetade webbportalen för framställningar publiceras automatiskt information om antagandet av framställningar och statusändringar, ytterligare information (</w:t>
      </w:r>
      <w:proofErr w:type="gramStart"/>
      <w:r w:rsidRPr="0018541A">
        <w:t>t.ex.</w:t>
      </w:r>
      <w:proofErr w:type="gramEnd"/>
      <w:r w:rsidRPr="0018541A">
        <w:t xml:space="preserve"> land och ämnen) och sammanfattningar på alla 24 officiella EU-språk. Under 2024 bereddes och offentliggjordes återigen alla framställningar i god tid, inom några dagar från antagandet, och alla interna och externa begäranden om stöd avseende användningen av webbportalen för framställningar och dess innehåll besvarades snabbt och på ett tillfredsställande sätt på något av de officiella EU-språken.</w:t>
      </w:r>
    </w:p>
    <w:p w14:paraId="2039D6E6" w14:textId="77777777" w:rsidR="009A07C0" w:rsidRPr="0018541A" w:rsidRDefault="009A07C0" w:rsidP="009A07C0">
      <w:pPr>
        <w:pStyle w:val="NormalHanging12a"/>
      </w:pPr>
      <w:r w:rsidRPr="0018541A">
        <w:t>S.</w:t>
      </w:r>
      <w:r w:rsidRPr="0018541A">
        <w:tab/>
        <w:t>Inga undersökningsresor gjordes 2024 för framställningar där en undersökning pågick, på grund av uppehållet i samband med valet till Europaparlamentet. Utskottet genomförde uppföljningsbedömningen och antog två rapporter avseende tidigare undersökningsresor, som ägde rum 2023. Två undersökningsresor planerades in under första halvåret 2025.</w:t>
      </w:r>
    </w:p>
    <w:p w14:paraId="65F5F77D" w14:textId="77777777" w:rsidR="009A07C0" w:rsidRPr="0018541A" w:rsidRDefault="009A07C0" w:rsidP="009A07C0">
      <w:pPr>
        <w:pStyle w:val="NormalHanging12a"/>
      </w:pPr>
      <w:r w:rsidRPr="0018541A">
        <w:t>T.</w:t>
      </w:r>
      <w:r w:rsidRPr="0018541A">
        <w:tab/>
        <w:t xml:space="preserve">Den 4 november 2024 deltog utskottet för framställningar i den bekräftande utfrågningen av den nominerade kommissionsledamoten med ansvar för handel och ekonomisk säkerhet samt kontakter mellan institutionerna och öppenhet, </w:t>
      </w:r>
      <w:proofErr w:type="spellStart"/>
      <w:r w:rsidRPr="0018541A">
        <w:t>Maroš</w:t>
      </w:r>
      <w:proofErr w:type="spellEnd"/>
      <w:r w:rsidRPr="0018541A">
        <w:t xml:space="preserve"> </w:t>
      </w:r>
      <w:proofErr w:type="spellStart"/>
      <w:r w:rsidRPr="0018541A">
        <w:t>Šefčovič</w:t>
      </w:r>
      <w:proofErr w:type="spellEnd"/>
      <w:r w:rsidRPr="0018541A">
        <w:t xml:space="preserve">, som inbjudet utskott. Som svar på de skriftliga och muntliga frågor som utskottet för framställningar ställde till honom i samband med den bekräftande utfrågningen gjorde </w:t>
      </w:r>
      <w:proofErr w:type="spellStart"/>
      <w:r w:rsidRPr="0018541A">
        <w:t>Maroš</w:t>
      </w:r>
      <w:proofErr w:type="spellEnd"/>
      <w:r w:rsidRPr="0018541A">
        <w:t xml:space="preserve"> </w:t>
      </w:r>
      <w:proofErr w:type="spellStart"/>
      <w:r w:rsidRPr="0018541A">
        <w:t>Šefčovič</w:t>
      </w:r>
      <w:proofErr w:type="spellEnd"/>
      <w:r w:rsidRPr="0018541A">
        <w:t xml:space="preserve"> ett antal åtaganden angående framställningsförfarandet och transparensen i kommissionens efterlevnadsåtgärder. </w:t>
      </w:r>
    </w:p>
    <w:p w14:paraId="2824709F" w14:textId="77777777" w:rsidR="009A07C0" w:rsidRPr="0018541A" w:rsidRDefault="009A07C0" w:rsidP="009A07C0">
      <w:pPr>
        <w:pStyle w:val="NormalHanging12a"/>
      </w:pPr>
      <w:r w:rsidRPr="0018541A">
        <w:t>U.</w:t>
      </w:r>
      <w:r w:rsidRPr="0018541A">
        <w:tab/>
        <w:t xml:space="preserve">Enligt parlamentets arbetsordning ansvarar utskottet för framställningar även för förbindelserna med Europeiska ombudsmannen, som utreder klagomål om administrativa missförhållanden inom EU:s institutioner och organ. Under 2024 spelade utskottet för framställningar en viktig roll i anordnandet av valet av Europeiska ombudsmannen genom att hålla en offentlig utfrågning av kandidaterna i enlighet med artikel 237 i parlamentets arbetsordning. Den 17 december 2024 valdes Teresa </w:t>
      </w:r>
      <w:proofErr w:type="spellStart"/>
      <w:r w:rsidRPr="0018541A">
        <w:t>Anjinho</w:t>
      </w:r>
      <w:proofErr w:type="spellEnd"/>
      <w:r w:rsidRPr="0018541A">
        <w:t xml:space="preserve"> till Europeisk ombudsman för valperioden 2024–2029. </w:t>
      </w:r>
    </w:p>
    <w:p w14:paraId="1901410E" w14:textId="77777777" w:rsidR="009A07C0" w:rsidRPr="0018541A" w:rsidRDefault="009A07C0" w:rsidP="009A07C0">
      <w:pPr>
        <w:pStyle w:val="NormalHanging12a"/>
      </w:pPr>
      <w:r w:rsidRPr="0018541A">
        <w:t>V.</w:t>
      </w:r>
      <w:r w:rsidRPr="0018541A">
        <w:tab/>
        <w:t xml:space="preserve">Under 2024 förblev förbindelserna mellan utskottet för framställningar och Europeiska ombudsmannen konstruktiva, vilket det aktiva deltagandet av den tidigare ombudsmannen, Emily </w:t>
      </w:r>
      <w:proofErr w:type="spellStart"/>
      <w:r w:rsidRPr="0018541A">
        <w:t>O’Reilly</w:t>
      </w:r>
      <w:proofErr w:type="spellEnd"/>
      <w:r w:rsidRPr="0018541A">
        <w:t xml:space="preserve">, i utskottets sammanträden visade. Hon lade fram sin årsrapport för 2023 för utskottet för framställningar vid dess sammanträde den 4 september 2024 och deltog i utskottets årliga workshop om rättigheter för personer med funktionsnedsättning den 2 december 2024. </w:t>
      </w:r>
    </w:p>
    <w:p w14:paraId="60297FE3" w14:textId="77777777" w:rsidR="009A07C0" w:rsidRPr="0018541A" w:rsidRDefault="009A07C0" w:rsidP="009A07C0">
      <w:pPr>
        <w:pStyle w:val="NormalHanging12a"/>
      </w:pPr>
      <w:r w:rsidRPr="0018541A">
        <w:t>W.</w:t>
      </w:r>
      <w:r w:rsidRPr="0018541A">
        <w:tab/>
        <w:t>Utskottet för framställningar är medlem i Europeiska ombudsmannanätverket, som också innefattar Europeiska ombudsmannen, nationella och regionala ombudsmän och liknande organ i medlemsstaterna, kandidatländerna och andra länder i Europeiska ekonomiska samarbetsområdet, och där syftet är att främja utbyte av information om EU-rätten och EU:s politik och dela med sig av bästa praxis.</w:t>
      </w:r>
    </w:p>
    <w:p w14:paraId="331C2472" w14:textId="77777777" w:rsidR="009A07C0" w:rsidRPr="0018541A" w:rsidRDefault="009A07C0" w:rsidP="009A07C0">
      <w:pPr>
        <w:pStyle w:val="NormalHanging12a"/>
      </w:pPr>
      <w:r w:rsidRPr="0018541A">
        <w:t>1.</w:t>
      </w:r>
      <w:r w:rsidRPr="0018541A">
        <w:tab/>
        <w:t xml:space="preserve">Europaparlamentet erinrar om den viktiga rollen för utskottet för framställningar när det </w:t>
      </w:r>
      <w:r w:rsidRPr="0018541A">
        <w:lastRenderedPageBreak/>
        <w:t>gäller att skydda och främja rättigheterna för medborgare och bosatta i EU, och betonar att det måste se till att framställarnas farhågor och klagomål behandlas i god tid och på ett effektivt, tillgängligt och lämpligt sätt och att framställarna informeras i vederbörlig ordning om de åtgärder som vidtas och de framsteg som görs med avseende på deras framställningar. Parlamentet beklagar dock att detta inte alltid är fallet i praktiken. Parlamentet påminner om att alla framställningar måste behandlas genom ett öppet, demokratiskt och transparent framställningsförfarande, som utskottet förväntas upprätthålla konsekvent. Parlamentet rekommenderar att man ser över de interna förfarandena så att liknande eller upprepade framställningar grupperas och hanteras mer effektivt, samtidigt som varje framställares rätt att bli hörd enskilt skyddas.</w:t>
      </w:r>
    </w:p>
    <w:p w14:paraId="59AF025A" w14:textId="77777777" w:rsidR="009A07C0" w:rsidRPr="0018541A" w:rsidRDefault="009A07C0" w:rsidP="009A07C0">
      <w:pPr>
        <w:pStyle w:val="NormalHanging12a"/>
      </w:pPr>
      <w:r w:rsidRPr="0018541A">
        <w:t>2.</w:t>
      </w:r>
      <w:r w:rsidRPr="0018541A">
        <w:tab/>
        <w:t>Europaparlamentet upprepar hur viktigt det är med en fortlöpande offentlig debatt om EU:s verksamhetsområden för att säkerställa att medborgarna får korrekt information om omfattningen av unionens befogenheter och de olika beslutsnivåerna i syfte att minska antalet otillåtliga framställningar. Parlamentet upprepar sin uppmaning till bredare informationskampanjer, särskilt i avlägsna områden och bland underrepresenterade befolkningsgrupper, bland annat ungdomar, kvinnor och landsbygds- och ösamhällen, med aktivt deltagande av EU:s befintliga kommunikationstjänster i hela unionen, för att bidra till att öka medborgarnas kunskap om sin rätt att göra framställningar och om omfattningen av EU:s ansvar och befogenheterna för utskottet för framställningar. Parlamentet efterlyser tydligare, jargongfri kommunikation till framställarna och en bättre offentlig förklaring av utskottets roll och begränsningar, särskilt för sårbara användare och förstagångsanvändare.</w:t>
      </w:r>
    </w:p>
    <w:p w14:paraId="29FA27D7" w14:textId="77777777" w:rsidR="009A07C0" w:rsidRPr="0018541A" w:rsidRDefault="009A07C0" w:rsidP="009A07C0">
      <w:pPr>
        <w:pStyle w:val="NormalHanging12a"/>
      </w:pPr>
      <w:r w:rsidRPr="0018541A">
        <w:t>3.</w:t>
      </w:r>
      <w:r w:rsidRPr="0018541A">
        <w:tab/>
        <w:t>Europaparlamentet påminner om den europeiska dimensionen av utskottet för framställningar, som medborgare från alla 27 medlemsstater kan vända sig till med frågor som omfattas av EU-fördragen och EU-rätten. Parlamentet anser att utskottet, med respekt för suveränitet och nationella särdrag, har ett särskilt ansvar för att upprätthålla denna europeiska dimension och visa mervärdet av europeisk enighet och integration för medborgarna.</w:t>
      </w:r>
    </w:p>
    <w:p w14:paraId="7CD72138" w14:textId="77777777" w:rsidR="009A07C0" w:rsidRPr="0018541A" w:rsidRDefault="009A07C0" w:rsidP="009A07C0">
      <w:pPr>
        <w:pStyle w:val="NormalHanging12a"/>
      </w:pPr>
      <w:r w:rsidRPr="0018541A">
        <w:t>4.</w:t>
      </w:r>
      <w:r w:rsidRPr="0018541A">
        <w:tab/>
        <w:t>Europaparlamentet påpekar att framställningar är en unik möjlighet för parlamentet och de andra EU-institutionerna att etablera direkt kontakt med EU-medborgare och ha en regelbunden dialog med dem, särskilt i fall där de påverkas av felaktig tillämpning eller överträdelser av EU-rätten. Parlamentet betonar behovet av ökat samarbete mellan EU</w:t>
      </w:r>
      <w:r w:rsidRPr="0018541A">
        <w:noBreakHyphen/>
        <w:t>institutionerna och nationella, regionala och lokala myndigheter i frågor som rör genomförandet och efterlevnaden av EU-rätten. Parlamentet anser att sådant samarbete är avgörande för att ta itu med och svara på medborgarnas frågor om tillämpningen av EU-rätten och att det bidrar till att stärka unionens demokratiska legitimitet och ansvarsskyldighet. Parlamentet efterlyser därför ett meningsfullt deltagande från medlemsstaternas företrädare i utskottssammanträden samt snabba och utförliga svar på begäranden om förtydliganden och information från utskottet för framställningar till nationella myndigheter, i syfte att säkerställa att framställningarna följs upp ordentligt.</w:t>
      </w:r>
    </w:p>
    <w:p w14:paraId="6422516F" w14:textId="77777777" w:rsidR="009A07C0" w:rsidRPr="0018541A" w:rsidRDefault="009A07C0" w:rsidP="009A07C0">
      <w:pPr>
        <w:pStyle w:val="NormalHanging12a"/>
      </w:pPr>
      <w:r w:rsidRPr="0018541A">
        <w:t>5.</w:t>
      </w:r>
      <w:r w:rsidRPr="0018541A">
        <w:tab/>
        <w:t>Europaparlamentet påminner om att utskottet för framställningar mottog ett betydande antal framställningar i början av 2024 där oro uttrycktes över de upplevda hoten mot rättsstaten i Spanien. Parlamentet uppmärksammar den gemensamma debatt som hölls i januari 2024 om flera framställningar om utvecklingen i Spanien, särskilt när det gäller regeringens förslag till amnestilag och dess potentiella konsekvenser för Spaniens och EU:s rättsliga ramar.</w:t>
      </w:r>
    </w:p>
    <w:p w14:paraId="139B0557" w14:textId="77777777" w:rsidR="009A07C0" w:rsidRPr="0018541A" w:rsidRDefault="009A07C0" w:rsidP="009A07C0">
      <w:pPr>
        <w:pStyle w:val="NormalHanging12a"/>
      </w:pPr>
      <w:r w:rsidRPr="0018541A">
        <w:lastRenderedPageBreak/>
        <w:t>6.</w:t>
      </w:r>
      <w:r w:rsidRPr="0018541A">
        <w:tab/>
        <w:t xml:space="preserve">Europaparlamentet påminner om att framställningar i hög grad bidrar till kommissionens utövande av sin roll som fördragens väktare genom att ge medborgarna ytterligare ett verktyg för att rapportera påstådda överträdelser av EU-rätten. Parlamentet betonar att ett konstruktivt samarbete mellan utskottet för framställningar och kommissionen genom snabba och detaljerade svar från kommissionen, som bygger på grundliga granskningar av de frågor som tas upp i framställningarna, är avgörande för att säkerställa en framgångsrik behandling av framställningarna. Parlamentet upprepar att dessa svar, som vidarebefordras till framställarna, bör vara tydliga, enkla och empatiska för att främja en bättre förståelse. </w:t>
      </w:r>
    </w:p>
    <w:p w14:paraId="3D28914E" w14:textId="77777777" w:rsidR="009A07C0" w:rsidRPr="0018541A" w:rsidRDefault="009A07C0" w:rsidP="009A07C0">
      <w:pPr>
        <w:pStyle w:val="NormalHanging12a"/>
      </w:pPr>
      <w:r w:rsidRPr="0018541A">
        <w:t>7.</w:t>
      </w:r>
      <w:r w:rsidRPr="0018541A">
        <w:tab/>
        <w:t xml:space="preserve">Europaparlamentet välkomnar kommissionens nya webbsida om överträdelseärenden, införlivande av direktiv och EU Pilot-dialogen. Parlamentet upprepar dock sin uppmaning till kommissionen att ge utskottet för framställningar regelbundna uppdateringar om utvecklingen i överträdelseförfaranden och att se till att utskottet får tillgång till relevant information om överträdelseförfaranden och EU Pilot-förfaranden som rör öppna framställningar. Parlamentet upprepar behovet att förbättra transparensen i överträdelseförfaranden samt kommunikationen med framställarna om läget i sådana förfaranden och betonar att detta skulle gynna framställningsförfarandet. Parlamentet välkomnar kommissionens initiativ att inkludera framställningar i kommissionens offentliga register över beslut i överträdelseärenden och att inkludera en länk till kommissionens offentliga register i portalen för framställningar. Parlamentet gläds åt kommissionsledamot </w:t>
      </w:r>
      <w:proofErr w:type="spellStart"/>
      <w:r w:rsidRPr="0018541A">
        <w:t>Šefčovičs</w:t>
      </w:r>
      <w:proofErr w:type="spellEnd"/>
      <w:r w:rsidRPr="0018541A">
        <w:t xml:space="preserve"> åtagande att ytterligare koppla samman kommissionens offentliga register och parlamentets portal för framställningar. Parlamentet upprepar sin uppmaning till kommissionen att inkludera alla dessa krav i ramavtalet om förbindelserna mellan Europaparlamentet och Europeiska kommissionen</w:t>
      </w:r>
      <w:r w:rsidRPr="0018541A">
        <w:rPr>
          <w:rStyle w:val="FootnoteReference"/>
        </w:rPr>
        <w:footnoteReference w:id="1"/>
      </w:r>
      <w:r w:rsidRPr="0018541A">
        <w:t>.</w:t>
      </w:r>
    </w:p>
    <w:p w14:paraId="585B27BD" w14:textId="77777777" w:rsidR="009A07C0" w:rsidRPr="0018541A" w:rsidRDefault="009A07C0" w:rsidP="009A07C0">
      <w:pPr>
        <w:pStyle w:val="NormalHanging12a"/>
      </w:pPr>
      <w:r w:rsidRPr="0018541A">
        <w:t>8.</w:t>
      </w:r>
      <w:r w:rsidRPr="0018541A">
        <w:tab/>
        <w:t>Europaparlamentet efterlyser en oberoende och regelbunden utvärdering av kvaliteten och tydligheten i kommissionens svar på framställningar, med särskilt fokus på läsbarhet, relevans och lyhördhet för framställarnas situationer, så att medborgarna möts av ett meningsfullt och respektfullt engagemang.</w:t>
      </w:r>
    </w:p>
    <w:p w14:paraId="3C1065A9" w14:textId="77777777" w:rsidR="009A07C0" w:rsidRPr="0018541A" w:rsidRDefault="009A07C0" w:rsidP="009A07C0">
      <w:pPr>
        <w:pStyle w:val="NormalHanging12a"/>
      </w:pPr>
      <w:r w:rsidRPr="0018541A">
        <w:t>9.</w:t>
      </w:r>
      <w:r w:rsidRPr="0018541A">
        <w:tab/>
        <w:t>Europaparlamentet anser att ett mer aktivt samarbete mellan medlemsstaterna och utskottet för framställningar kan komma till nytta när det gäller att häva blockeringen av de framställningar som kräver snabba svar och reaktioner från de nationella myndigheterna.</w:t>
      </w:r>
    </w:p>
    <w:p w14:paraId="5C18E2BA" w14:textId="77777777" w:rsidR="009A07C0" w:rsidRPr="0018541A" w:rsidRDefault="009A07C0" w:rsidP="009A07C0">
      <w:pPr>
        <w:pStyle w:val="NormalHanging12a"/>
      </w:pPr>
      <w:r w:rsidRPr="0018541A">
        <w:t>10.</w:t>
      </w:r>
      <w:r w:rsidRPr="0018541A">
        <w:tab/>
        <w:t xml:space="preserve">Europaparlamentet påminner om att </w:t>
      </w:r>
      <w:proofErr w:type="spellStart"/>
      <w:r w:rsidRPr="0018541A">
        <w:t>ePetition</w:t>
      </w:r>
      <w:proofErr w:type="spellEnd"/>
      <w:r w:rsidRPr="0018541A">
        <w:t xml:space="preserve">-databasen är ett viktigt internt verktyg som ger ledamöterna i utskottet för framställningar tillgång till all information som är nödvändig för att följa upp läget för varje framställning och fatta välgrundade beslut om behandlingen av framställningarna. Parlamentet noterar att </w:t>
      </w:r>
      <w:proofErr w:type="spellStart"/>
      <w:r w:rsidRPr="0018541A">
        <w:t>ePetition</w:t>
      </w:r>
      <w:proofErr w:type="spellEnd"/>
      <w:r w:rsidRPr="0018541A">
        <w:t>-databasen också spelar en viktig roll för kommunikationen med framställarna. Parlamentet betonar att man måste fortsätta att modernisera utskottets digitala verktyg och föreslår att man undersöker möjligheten till ansvarsfull och människostyrd användning av artificiell intelligens för att ytterligare förbättra behandlingen av framställningar.</w:t>
      </w:r>
    </w:p>
    <w:p w14:paraId="41BEEDB6" w14:textId="77777777" w:rsidR="009A07C0" w:rsidRPr="0018541A" w:rsidRDefault="009A07C0" w:rsidP="009A07C0">
      <w:pPr>
        <w:pStyle w:val="NormalHanging12a"/>
      </w:pPr>
      <w:r w:rsidRPr="0018541A">
        <w:t>11.</w:t>
      </w:r>
      <w:r w:rsidRPr="0018541A">
        <w:tab/>
        <w:t xml:space="preserve">Europaparlamentet påminner om att kommissionen åtagit sig att skapa ett interinstitutionellt </w:t>
      </w:r>
      <w:proofErr w:type="spellStart"/>
      <w:r w:rsidRPr="0018541A">
        <w:t>it-verktyg</w:t>
      </w:r>
      <w:proofErr w:type="spellEnd"/>
      <w:r w:rsidRPr="0018541A">
        <w:t xml:space="preserve"> mellan kommissionen och parlamentet för utbyte av information och handlingar om alla uppföljningsåtgärder i anslutning till </w:t>
      </w:r>
      <w:r w:rsidRPr="0018541A">
        <w:lastRenderedPageBreak/>
        <w:t xml:space="preserve">framställningar, såsom överträdelseförfaranden, lagstiftningsförslag och svar från nationella myndigheter, för att på så sätt öka transparensen och effektiviteten i behandlingen av framställningarna, vilket ur ett bredare perspektiv skulle bidra till att öka medborgarnas förtroende för EU-institutionerna och det europeiska projektet. Parlamentet efterlyser ett snabbt införande av ett sådant interinstitutionellt </w:t>
      </w:r>
      <w:proofErr w:type="spellStart"/>
      <w:r w:rsidRPr="0018541A">
        <w:t>it-verktyg</w:t>
      </w:r>
      <w:proofErr w:type="spellEnd"/>
      <w:r w:rsidRPr="0018541A">
        <w:t>.</w:t>
      </w:r>
    </w:p>
    <w:p w14:paraId="54B2276C" w14:textId="77777777" w:rsidR="009A07C0" w:rsidRPr="0018541A" w:rsidRDefault="009A07C0" w:rsidP="009A07C0">
      <w:pPr>
        <w:pStyle w:val="NormalHanging12a"/>
      </w:pPr>
      <w:r w:rsidRPr="0018541A">
        <w:t>12.</w:t>
      </w:r>
      <w:r w:rsidRPr="0018541A">
        <w:tab/>
        <w:t>Europaparlamentet påminner om att samarbete med andra utskott i parlamentet är avgörande för att framställningarna ska behandlas på ett grundligt sätt. Parlamentet noterar att 30 begäranden om yttrande och 450 begäranden om information skickades till andra utskott 2024. Parlamentet noterar att 26 yttranden hade mottagits i slutet av 2024.</w:t>
      </w:r>
      <w:r w:rsidRPr="0018541A">
        <w:rPr>
          <w:color w:val="FF0000"/>
        </w:rPr>
        <w:t xml:space="preserve"> </w:t>
      </w:r>
      <w:r w:rsidRPr="0018541A">
        <w:t>Parlamentet påminner om att framställarna informeras om beslut att begära yttranden från andra utskott inom ramen för behandlingen av deras framställningar. Parlamentet understryker att parlamentsutskotten bör öka sina ansträngningar att aktivt bidra till granskningen av framställningar – genom att tillhandahålla sin sakkunskap – för att göra det möjligt för parlamentet att reagera snabbare och mer heltäckande på medborgarnas farhågor.</w:t>
      </w:r>
    </w:p>
    <w:p w14:paraId="519F3EF0" w14:textId="77777777" w:rsidR="009A07C0" w:rsidRPr="0018541A" w:rsidRDefault="009A07C0" w:rsidP="009A07C0">
      <w:pPr>
        <w:pStyle w:val="NormalHanging12a"/>
      </w:pPr>
      <w:r w:rsidRPr="0018541A">
        <w:t>13.</w:t>
      </w:r>
      <w:r w:rsidRPr="0018541A">
        <w:tab/>
        <w:t xml:space="preserve">Europaparlamentet anser att nätverket för framställningar är ett användbart verktyg för att underlätta uppföljningen av framställningar i det parlamentariska arbetet och lagstiftningsarbetet. Parlamentet tror att regelbundna möten i nätverket för framställningar är avgörande för att öka synligheten för verksamheten i utskottet för framställningar och säkerställa en bättre förståelse av dess arbete och uppdrag samt för att stärka samarbetet med parlamentets övriga utskott. </w:t>
      </w:r>
    </w:p>
    <w:p w14:paraId="653E5BD2" w14:textId="77777777" w:rsidR="009A07C0" w:rsidRPr="0018541A" w:rsidRDefault="009A07C0" w:rsidP="009A07C0">
      <w:pPr>
        <w:pStyle w:val="NormalHanging12a"/>
      </w:pPr>
      <w:r w:rsidRPr="0018541A">
        <w:t>14.</w:t>
      </w:r>
      <w:r w:rsidRPr="0018541A">
        <w:tab/>
        <w:t>Europaparlamentet konstaterar att miljö fortsatte att vara det viktigaste området för framställarna 2024, och att mer än 20 % av framställningarna handlade om miljöfrågor. Parlamentet noterar det stora antalet framställningar som kritiserar överträdelser av EU:s miljölagstiftning i flera medlemsstater. Parlamentet noterar att frågor som togs upp av framställare och diskuterades i utskottet inbegriper skyddet av varg i EU, de långsiktiga toxiska effekterna av bekämpningsmedel och överträdelsen av direktivet om industriutsläpp</w:t>
      </w:r>
      <w:r w:rsidRPr="0018541A">
        <w:rPr>
          <w:rStyle w:val="FootnoteReference"/>
        </w:rPr>
        <w:footnoteReference w:id="2"/>
      </w:r>
      <w:r w:rsidRPr="0018541A">
        <w:t xml:space="preserve"> i samband med förvaltningen av ett stålverk. Parlamentet betonar vikten av att uppfylla unionsmedborgarnas förväntningar i fråga om miljöskydd och uppmanar eftertryckligen kommissionen att tillsammans med medlemsstaterna säkerställa att EU:s miljölagstiftning genomförs på ett korrekt sätt.</w:t>
      </w:r>
    </w:p>
    <w:p w14:paraId="245570F1" w14:textId="77777777" w:rsidR="009A07C0" w:rsidRPr="0018541A" w:rsidRDefault="009A07C0" w:rsidP="009A07C0">
      <w:pPr>
        <w:pStyle w:val="NormalHanging12a"/>
      </w:pPr>
      <w:r w:rsidRPr="0018541A">
        <w:t>15.</w:t>
      </w:r>
      <w:r w:rsidRPr="0018541A">
        <w:tab/>
        <w:t xml:space="preserve">Europaparlamentet uppmärksammar att andra frågor behandlades i utskottet för framställningar, bland annat skyddet av barns rättigheter, inbegripet säkerheten på nätet, och förbättringar av djurskyddet. Parlamentet framhåller de framställningar som lyfter fram kränkningar av passagerares rättigheter. Vidare uttrycktes i många framställningar oro över dataskyddet och i synnerhet efterlevnaden av den allmänna </w:t>
      </w:r>
      <w:r w:rsidRPr="0018541A">
        <w:lastRenderedPageBreak/>
        <w:t>dataskyddsförordningen</w:t>
      </w:r>
      <w:r w:rsidRPr="0018541A">
        <w:rPr>
          <w:rStyle w:val="FootnoteReference"/>
        </w:rPr>
        <w:footnoteReference w:id="3"/>
      </w:r>
      <w:r w:rsidRPr="0018541A">
        <w:t>. Det fanns även ett antal framställningar om bostadskrisen i medlemsstaterna. Utskottet för framställningar behandlade fossilbränsleföretagens ansvar i levnadskostnadskrisen, med frågor rörande järnvägssäkerheten och skyddet av arbetstagarnas rättigheter. Parlamentet noterar att framställningar om kultur och nationella kulturarv behandlades. Parlamentet påminner om att utskottet för framställningar diskuterade flera framställningar om upphävandet av permanenta uppehållstillstånd för ryska medborgare. Utskottet för framställningar mottog ett betydande antal framställningar om rättsstaten i medlemsstaterna, som diskuterades i utskottet. Det ingavs framställningar om mottagningsvillkoren för invandrare och asylsökande i medlemsstaterna och framställningar om fall av diskriminering. Parlamentet förväntar sig vederbörlig uppföljning och uppdaterad information från kommissionen om alla dessa framställningar.</w:t>
      </w:r>
    </w:p>
    <w:p w14:paraId="7CDA855E" w14:textId="77777777" w:rsidR="009A07C0" w:rsidRPr="0018541A" w:rsidRDefault="009A07C0" w:rsidP="009A07C0">
      <w:pPr>
        <w:pStyle w:val="NormalHanging12a"/>
      </w:pPr>
      <w:r w:rsidRPr="0018541A">
        <w:t>16.</w:t>
      </w:r>
      <w:r w:rsidRPr="0018541A">
        <w:tab/>
        <w:t>Europaparlamentet framhåller det viktiga bidraget från utskottet för framställningar till skyddet av rättigheter för personer med funktionsnedsättning, som framgår av dess behandling av en rad framställningar om detta ämne, inbegripet behandlingen av framställning nr 1056/2016 om att Europaparlamentet ska tillåta att framställningar inges på nationella teckenspråk. Parlamentet erkänner i detta sammanhang insatserna från parlamentets avdelningar och konstaterar att man måste hitta inte bara den bästa tekniska lösningen utan även den mest tillgängliga lösningen för döva medborgare för att kunna kommunicera med dem på deras eget modersmål – på nationella teckenspråk. Parlamentet begär en ändring av arbetsordningen i nära samarbete med utskottet för konstitutionella frågor som består i att slopa den obligatoriska endast skriftliga kommunikationen med medborgare som använder teckenspråk, som är döva eller som har en hörselnedsättning, så att de på egen begäran kan använda teckenspråk under förfarandet. Parlamentet noterar att utbildning för elever med funktionsnedsättning, nekad hälso- och sjukvård för personer med funktionsnedsättning och offentliga platsers och tjänsters tillgänglighet också hörde till framställarnas orosfrågor under 2024. Parlamentet påminner om den årliga workshop om rättigheter för personer med funktionsnedsättning som utskottet för framställningar anordnade den 2 december 2024, med fokus på läget vad gäller strategin för rättigheter för personer med funktionsnedsättning 2021–2030, och uppmanar eftertryckligen till snabbt införlivande av det man kommit fram till i samband med framställningarna i halvtidsöversynen av denna strategi, med mätbara mål och budgetåtaganden.</w:t>
      </w:r>
    </w:p>
    <w:p w14:paraId="663B73B6" w14:textId="77777777" w:rsidR="009A07C0" w:rsidRPr="0018541A" w:rsidRDefault="009A07C0" w:rsidP="009A07C0">
      <w:pPr>
        <w:pStyle w:val="NormalHanging12a"/>
      </w:pPr>
      <w:r w:rsidRPr="0018541A">
        <w:t>17.</w:t>
      </w:r>
      <w:r w:rsidRPr="0018541A">
        <w:tab/>
        <w:t xml:space="preserve">Europaparlamentet understryker den särskilda skyddande roll som utskottet för framställningar har i EU inom ramen för FN:s konvention om rättigheter för personer med funktionsnedsättning. Parlamentet pekar på utskottets viktiga pågående arbete i samband med framställningar om frågor som rör funktionsnedsättning. Parlamentet påminner om att hänvisningar till framställningar om behovet av ett EU-omfattande intyg om funktionsnedsättning har tagits med i direktiv (EU) 2024/2841 om inrättande </w:t>
      </w:r>
      <w:r w:rsidRPr="0018541A">
        <w:lastRenderedPageBreak/>
        <w:t>av EU-intyget om funktionsnedsättning och EU-parkeringstillståndet</w:t>
      </w:r>
      <w:r w:rsidRPr="0018541A">
        <w:rPr>
          <w:rStyle w:val="FootnoteReference"/>
        </w:rPr>
        <w:footnoteReference w:id="4"/>
      </w:r>
      <w:r w:rsidRPr="0018541A">
        <w:t>. Parlamentet understryker att framställningar i hög grad kan bidra till lagstiftningsprocessen.</w:t>
      </w:r>
    </w:p>
    <w:p w14:paraId="11D30408" w14:textId="77777777" w:rsidR="009A07C0" w:rsidRPr="0018541A" w:rsidRDefault="009A07C0" w:rsidP="009A07C0">
      <w:pPr>
        <w:pStyle w:val="NormalHanging12a"/>
        <w:rPr>
          <w:rFonts w:eastAsia="Calibri"/>
        </w:rPr>
      </w:pPr>
      <w:r w:rsidRPr="0018541A">
        <w:t>18.</w:t>
      </w:r>
      <w:r w:rsidRPr="0018541A">
        <w:tab/>
        <w:t>Europaparlamentet påminner om att förbindelserna med Europeiska ombudsmannen utgör ett av de ansvarsområden som utskottet för framställningar har tilldelats genom parlamentets arbetsordning. Parlamentet framhåller den roll som utskottet för framställningar spelade i valet av Europeiska ombudsmannen, särskilt när det gällde att anordna den offentliga utfrågning med alla behöriga kandidater som hölls den 3 december 2024 och som alla ledamöter av Europaparlamentet fick delta i, vilket gav dem en demokratisk och transparent möjlighet att diskutera med kandidaterna och bedöma deras oberoende, kvalifikationer och professionalism samt deras vision för Europeiska ombudsmannens ämbete inom EU:s institutionella struktur. Parlamentet välkomnar det konstruktiva samarbetet med Europeiska ombudsmannen, med vilken utskottet för framställningar delar målet att säkerställa EU-institutionernas transparens, professionalism och integritet gentemot EU-medborgarna, liksom deltagandet i Europeiska ombudsmannanätverket.</w:t>
      </w:r>
    </w:p>
    <w:p w14:paraId="674E647F" w14:textId="77777777" w:rsidR="009A07C0" w:rsidRPr="0018541A" w:rsidRDefault="009A07C0" w:rsidP="009A07C0">
      <w:pPr>
        <w:pStyle w:val="NormalHanging12a"/>
        <w:rPr>
          <w:rFonts w:eastAsia="Calibri"/>
        </w:rPr>
      </w:pPr>
      <w:r w:rsidRPr="0018541A">
        <w:t>19.</w:t>
      </w:r>
      <w:r w:rsidRPr="0018541A">
        <w:tab/>
        <w:t>Europaparlamentet uppmuntrar Europeiska ombudsmannens fortsatta regelbundna bidrag till arbetet i utskottet för framställningar under hela året. Parlamentet har den bestämda uppfattningen att unionens institutioner, organ och byråer måste säkerställa en konsekvent och ändamålsenlig uppföljning av ombudsmannens rekommendationer. Parlamentet framhåller Europeiska ombudsmannens viktiga roll när det gäller att främja transparens, god förvaltning och skydd av medborgarnas rättigheter. Parlamentet efterlyser ett närmare samarbete mellan utskottet för framställningar och ombudsmannens kontor.</w:t>
      </w:r>
    </w:p>
    <w:p w14:paraId="457241D0" w14:textId="77777777" w:rsidR="009A07C0" w:rsidRPr="0018541A" w:rsidRDefault="009A07C0" w:rsidP="009A07C0">
      <w:pPr>
        <w:pStyle w:val="NormalHanging12a"/>
        <w:rPr>
          <w:b/>
          <w:i/>
        </w:rPr>
      </w:pPr>
      <w:r w:rsidRPr="0018541A">
        <w:t>20.</w:t>
      </w:r>
      <w:r w:rsidRPr="0018541A">
        <w:tab/>
        <w:t>Europaparlamentet konstaterar att utskottet för framställningar, trots uppehållet i samband med valet till Europaparlamentet, uttryckte sin ståndpunkt och kom med rekommendationer om viktiga frågor som tagits upp i framställningar, bland annat genom att anta två uppdragsrapporter efter undersökningsresor som genomfördes under andra halvåret 2023, nämligen en resa till Irland på temat glimmerbyggnader och en resa till Spanien på temat språkbad i Katalonien. Parlamentet betonar hur viktigt det är att de katalanska myndigheterna genomför de rekommendationer som utskottet för framställningar framförde i sin rapport av den 19 mars 2024, i syfte att skydda de språkliga rättigheterna för studerande och deras familjer.</w:t>
      </w:r>
    </w:p>
    <w:p w14:paraId="4B53B50F" w14:textId="77777777" w:rsidR="009A07C0" w:rsidRPr="0018541A" w:rsidRDefault="009A07C0" w:rsidP="009A07C0">
      <w:pPr>
        <w:pStyle w:val="NormalHanging12a"/>
      </w:pPr>
      <w:r w:rsidRPr="0018541A">
        <w:t>21.</w:t>
      </w:r>
      <w:r w:rsidRPr="0018541A">
        <w:tab/>
        <w:t xml:space="preserve">Europaparlamentet noterar det ökande antalet framställningar om utbildningspolitik, särskilt erkännandet av lärarkvalifikationer i medlemsstaterna. Parlamentet framhåller i detta avseende den muntliga fråga som utskottet för framställningar ställde till kommissionen om arbetsvillkoren för lärare i EU. Parlamentet uttrycker oro över kommissionens muntliga svar, som bekräftar att bristen på lärare är en stor utmaning, vilket också återspeglas i de senaste Pisa-resultaten, där inte en enda medlemsstat lyckades förbättra sina resultat vad gäller grundläggande färdigheter. Parlamentet uppmanar i detta sammanhang kommissionen och medlemsstaterna att avsevärt öka sina insatser för att förbättra skolutbildningssystemen och samtidigt öka läraryrkets </w:t>
      </w:r>
      <w:r w:rsidRPr="0018541A">
        <w:lastRenderedPageBreak/>
        <w:t>attraktionskraft, bland annat genom finansiering och program.</w:t>
      </w:r>
    </w:p>
    <w:p w14:paraId="6555DAE3" w14:textId="77777777" w:rsidR="009A07C0" w:rsidRPr="0018541A" w:rsidRDefault="009A07C0" w:rsidP="009A07C0">
      <w:pPr>
        <w:pStyle w:val="NormalHanging12a"/>
      </w:pPr>
      <w:r w:rsidRPr="0018541A">
        <w:t>22.</w:t>
      </w:r>
      <w:r w:rsidRPr="0018541A">
        <w:tab/>
        <w:t>Europaparlamentet välkomnar antagandet av parlamentets resolution av den 10 april 2024 om expediering av tunga lastbilar vid gränsövergångsställen på grundval av framställning nr 0146/2023</w:t>
      </w:r>
      <w:r w:rsidRPr="0018541A">
        <w:rPr>
          <w:rStyle w:val="FootnoteReference"/>
        </w:rPr>
        <w:footnoteReference w:id="5"/>
      </w:r>
      <w:r w:rsidRPr="0018541A">
        <w:t xml:space="preserve">. </w:t>
      </w:r>
    </w:p>
    <w:p w14:paraId="29BB1986" w14:textId="77777777" w:rsidR="009A07C0" w:rsidRPr="0018541A" w:rsidRDefault="009A07C0" w:rsidP="009A07C0">
      <w:pPr>
        <w:pStyle w:val="NormalHanging12a"/>
      </w:pPr>
      <w:r w:rsidRPr="0018541A">
        <w:t>23.</w:t>
      </w:r>
      <w:r w:rsidRPr="0018541A">
        <w:tab/>
        <w:t>Europaparlamentet understryker att webbportalen för framställningar är ett viktigt verktyg för att säkerställa ett smidigt, effektivt och transparent framställningsförfarande. Parlamentet välkomnar förbättringarna av portalen till förmån för framställarna och betonar att ansträngningarna att göra portalen mer tillgänglig måste fortsätta, bland annat när det gäller att göra den mer tillgänglig för personer som använder teckenspråk i enlighet med framställning nr 1056/2016 och för personer med funktionsnedsättning. Parlamentet konstaterar att webbportalen för framställningar är en av parlamentets mest besökta webbplatser och att den därmed fungerar som en första kontaktpunkt vid parlamentet för många EU-medborgare.</w:t>
      </w:r>
    </w:p>
    <w:p w14:paraId="09CEE21B" w14:textId="77777777" w:rsidR="009A07C0" w:rsidRPr="0050193C" w:rsidRDefault="009A07C0" w:rsidP="009A07C0">
      <w:pPr>
        <w:pStyle w:val="NormalHanging12a"/>
      </w:pPr>
      <w:r w:rsidRPr="0018541A">
        <w:t>24.</w:t>
      </w:r>
      <w:r w:rsidRPr="0018541A">
        <w:tab/>
        <w:t>Europaparlamentet uppdrar åt talmannen att översända denna resolution och betänkandet från utskottet för framställningar till rådet, kommissionen, Europeiska ombudsmannen, medlemsstaternas regeringar och parlament samt deras utskott för framställningar och ombudsmän eller motsvarande behöriga organ.</w:t>
      </w:r>
    </w:p>
    <w:p w14:paraId="255A1042" w14:textId="1748EF8C" w:rsidR="00E365E1" w:rsidRPr="0050193C" w:rsidRDefault="00E365E1" w:rsidP="0018541A">
      <w:pPr>
        <w:widowControl/>
      </w:pPr>
    </w:p>
    <w:sectPr w:rsidR="00E365E1" w:rsidRPr="0050193C" w:rsidSect="0050193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BA9EB" w14:textId="77777777" w:rsidR="003A6673" w:rsidRPr="0050193C" w:rsidRDefault="003A6673">
      <w:r w:rsidRPr="0050193C">
        <w:separator/>
      </w:r>
    </w:p>
  </w:endnote>
  <w:endnote w:type="continuationSeparator" w:id="0">
    <w:p w14:paraId="20DA60A4" w14:textId="77777777" w:rsidR="003A6673" w:rsidRPr="0050193C" w:rsidRDefault="003A6673">
      <w:r w:rsidRPr="005019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E24E8" w14:textId="77777777" w:rsidR="00064002" w:rsidRPr="0050193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B8FF1" w14:textId="77777777" w:rsidR="00064002" w:rsidRPr="0050193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EF6B9" w14:textId="77777777" w:rsidR="00064002" w:rsidRPr="005019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79B79" w14:textId="77777777" w:rsidR="003A6673" w:rsidRPr="0050193C" w:rsidRDefault="003A6673">
      <w:r w:rsidRPr="0050193C">
        <w:separator/>
      </w:r>
    </w:p>
  </w:footnote>
  <w:footnote w:type="continuationSeparator" w:id="0">
    <w:p w14:paraId="670F3643" w14:textId="77777777" w:rsidR="003A6673" w:rsidRPr="0050193C" w:rsidRDefault="003A6673">
      <w:r w:rsidRPr="0050193C">
        <w:continuationSeparator/>
      </w:r>
    </w:p>
  </w:footnote>
  <w:footnote w:id="1">
    <w:p w14:paraId="25A37AC4" w14:textId="24A7945D" w:rsidR="009A07C0" w:rsidRPr="0018541A" w:rsidRDefault="009A07C0" w:rsidP="0050193C">
      <w:pPr>
        <w:pStyle w:val="FootnoteText"/>
        <w:ind w:left="567" w:hanging="567"/>
        <w:rPr>
          <w:sz w:val="24"/>
          <w:lang w:val="fi-FI"/>
        </w:rPr>
      </w:pPr>
      <w:r w:rsidRPr="0018541A">
        <w:rPr>
          <w:rStyle w:val="FootnoteReference"/>
          <w:sz w:val="24"/>
          <w:lang w:val="sv-SE"/>
        </w:rPr>
        <w:footnoteRef/>
      </w:r>
      <w:r w:rsidR="0050193C" w:rsidRPr="0018541A">
        <w:rPr>
          <w:sz w:val="24"/>
          <w:lang w:val="fi-FI"/>
        </w:rPr>
        <w:t xml:space="preserve"> </w:t>
      </w:r>
      <w:r w:rsidR="0050193C" w:rsidRPr="0018541A">
        <w:rPr>
          <w:sz w:val="24"/>
          <w:lang w:val="fi-FI"/>
        </w:rPr>
        <w:tab/>
      </w:r>
      <w:r w:rsidRPr="0018541A">
        <w:rPr>
          <w:sz w:val="24"/>
          <w:lang w:val="fi-FI"/>
        </w:rPr>
        <w:t xml:space="preserve">EUT L 304, 20.11.2010, s. 47, ELI: </w:t>
      </w:r>
      <w:hyperlink r:id="rId1" w:history="1">
        <w:r w:rsidRPr="0018541A">
          <w:rPr>
            <w:rStyle w:val="Hyperlink"/>
            <w:sz w:val="24"/>
            <w:lang w:val="fi-FI"/>
          </w:rPr>
          <w:t>http://data.europa.eu/eli/agree_interinstit/2010/1120/oj</w:t>
        </w:r>
      </w:hyperlink>
      <w:r w:rsidRPr="0018541A">
        <w:rPr>
          <w:sz w:val="24"/>
          <w:lang w:val="fi-FI"/>
        </w:rPr>
        <w:t xml:space="preserve">. </w:t>
      </w:r>
    </w:p>
  </w:footnote>
  <w:footnote w:id="2">
    <w:p w14:paraId="0BA97ADC" w14:textId="541523C7" w:rsidR="009A07C0" w:rsidRPr="0018541A" w:rsidRDefault="009A07C0" w:rsidP="0050193C">
      <w:pPr>
        <w:pStyle w:val="FootnoteText"/>
        <w:ind w:left="567" w:hanging="567"/>
        <w:rPr>
          <w:sz w:val="24"/>
          <w:lang w:val="sv-SE"/>
        </w:rPr>
      </w:pPr>
      <w:r w:rsidRPr="0018541A">
        <w:rPr>
          <w:rStyle w:val="FootnoteReference"/>
          <w:sz w:val="24"/>
          <w:lang w:val="sv-SE"/>
        </w:rPr>
        <w:footnoteRef/>
      </w:r>
      <w:r w:rsidR="0050193C" w:rsidRPr="0018541A">
        <w:rPr>
          <w:sz w:val="24"/>
          <w:lang w:val="sv-SE"/>
        </w:rPr>
        <w:t xml:space="preserve"> </w:t>
      </w:r>
      <w:r w:rsidR="0050193C" w:rsidRPr="0018541A">
        <w:rPr>
          <w:sz w:val="24"/>
          <w:lang w:val="sv-SE"/>
        </w:rPr>
        <w:tab/>
      </w:r>
      <w:r w:rsidRPr="0018541A">
        <w:rPr>
          <w:sz w:val="24"/>
          <w:lang w:val="sv-SE"/>
        </w:rPr>
        <w:t xml:space="preserve">Europaparlamentets och rådets direktiv (EU) 2024/1785 av den 24 april 2024 om ändring av Europaparlamentets och rådets direktiv 2010/75/EU om industriutsläpp (samordnade åtgärder för att förebygga och begränsa föroreningar) och rådets direktiv 1999/31/EG om deponering av avfall (EUT L, 2024/1785, 15.7.2024, ELI: </w:t>
      </w:r>
      <w:hyperlink r:id="rId2" w:history="1">
        <w:r w:rsidRPr="0018541A">
          <w:rPr>
            <w:rStyle w:val="Hyperlink"/>
            <w:sz w:val="24"/>
            <w:lang w:val="sv-SE"/>
          </w:rPr>
          <w:t>http://data.europa.eu/eli/dir/2024/1785/oj</w:t>
        </w:r>
      </w:hyperlink>
      <w:r w:rsidRPr="0018541A">
        <w:rPr>
          <w:sz w:val="24"/>
          <w:lang w:val="sv-SE"/>
        </w:rPr>
        <w:t xml:space="preserve">). </w:t>
      </w:r>
    </w:p>
  </w:footnote>
  <w:footnote w:id="3">
    <w:p w14:paraId="7FDB1299" w14:textId="0D476CFB" w:rsidR="009A07C0" w:rsidRPr="0018541A" w:rsidRDefault="009A07C0" w:rsidP="0050193C">
      <w:pPr>
        <w:pStyle w:val="FootnoteText"/>
        <w:ind w:left="567" w:hanging="567"/>
        <w:rPr>
          <w:sz w:val="24"/>
          <w:lang w:val="sv-SE"/>
        </w:rPr>
      </w:pPr>
      <w:r w:rsidRPr="0018541A">
        <w:rPr>
          <w:rStyle w:val="FootnoteReference"/>
          <w:sz w:val="24"/>
          <w:lang w:val="sv-SE"/>
        </w:rPr>
        <w:footnoteRef/>
      </w:r>
      <w:r w:rsidR="0050193C" w:rsidRPr="0018541A">
        <w:rPr>
          <w:sz w:val="24"/>
          <w:lang w:val="sv-SE"/>
        </w:rPr>
        <w:t xml:space="preserve"> </w:t>
      </w:r>
      <w:r w:rsidR="0050193C" w:rsidRPr="0018541A">
        <w:rPr>
          <w:sz w:val="24"/>
          <w:lang w:val="sv-SE"/>
        </w:rPr>
        <w:tab/>
      </w:r>
      <w:r w:rsidRPr="0018541A">
        <w:rPr>
          <w:sz w:val="24"/>
          <w:lang w:val="sv-SE"/>
        </w:rPr>
        <w:t xml:space="preserve">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 ELI: </w:t>
      </w:r>
      <w:hyperlink r:id="rId3" w:history="1">
        <w:r w:rsidRPr="0018541A">
          <w:rPr>
            <w:rStyle w:val="Hyperlink"/>
            <w:sz w:val="24"/>
            <w:lang w:val="sv-SE"/>
          </w:rPr>
          <w:t>http://data.europa.eu/eli/reg/2016/679/oj</w:t>
        </w:r>
      </w:hyperlink>
      <w:r w:rsidRPr="0018541A">
        <w:rPr>
          <w:sz w:val="24"/>
          <w:lang w:val="sv-SE"/>
        </w:rPr>
        <w:t>).</w:t>
      </w:r>
    </w:p>
  </w:footnote>
  <w:footnote w:id="4">
    <w:p w14:paraId="12657F21" w14:textId="320E4AB2" w:rsidR="009A07C0" w:rsidRPr="0018541A" w:rsidRDefault="009A07C0" w:rsidP="0050193C">
      <w:pPr>
        <w:pStyle w:val="FootnoteText"/>
        <w:ind w:left="567" w:hanging="567"/>
        <w:rPr>
          <w:sz w:val="24"/>
          <w:lang w:val="sv-SE"/>
        </w:rPr>
      </w:pPr>
      <w:r w:rsidRPr="0018541A">
        <w:rPr>
          <w:rStyle w:val="FootnoteReference"/>
          <w:sz w:val="24"/>
          <w:lang w:val="sv-SE"/>
        </w:rPr>
        <w:footnoteRef/>
      </w:r>
      <w:r w:rsidR="0050193C" w:rsidRPr="0018541A">
        <w:rPr>
          <w:sz w:val="24"/>
          <w:lang w:val="sv-SE"/>
        </w:rPr>
        <w:t xml:space="preserve"> </w:t>
      </w:r>
      <w:r w:rsidR="0050193C" w:rsidRPr="0018541A">
        <w:rPr>
          <w:sz w:val="24"/>
          <w:lang w:val="sv-SE"/>
        </w:rPr>
        <w:tab/>
      </w:r>
      <w:r w:rsidRPr="0018541A">
        <w:rPr>
          <w:sz w:val="24"/>
          <w:lang w:val="sv-SE"/>
        </w:rPr>
        <w:t>Europaparlamentets och rådets direktiv (EU) 2024/2841 av den 23 oktober 2024 om inrättande av EU-intyget om funktionsnedsättning och EU-parkeringstillståndet för personer med funktionsnedsättning (EUT L, 2024/2841, 14.11.2024, ELI: </w:t>
      </w:r>
      <w:hyperlink r:id="rId4" w:tgtFrame="_blank" w:tooltip="Ger åtkomst till dokumentet via dess ELI-URI." w:history="1">
        <w:r w:rsidRPr="0018541A">
          <w:rPr>
            <w:rStyle w:val="Hyperlink"/>
            <w:sz w:val="24"/>
            <w:lang w:val="sv-SE"/>
          </w:rPr>
          <w:t>http://data.europa.eu/</w:t>
        </w:r>
        <w:r w:rsidRPr="0018541A">
          <w:rPr>
            <w:rStyle w:val="Hyperlink"/>
            <w:sz w:val="24"/>
            <w:lang w:val="sv-SE"/>
          </w:rPr>
          <w:t>eli/dir/2024/2841/oj</w:t>
        </w:r>
      </w:hyperlink>
      <w:r w:rsidRPr="0018541A">
        <w:rPr>
          <w:sz w:val="24"/>
          <w:lang w:val="sv-SE"/>
        </w:rPr>
        <w:t>).</w:t>
      </w:r>
    </w:p>
  </w:footnote>
  <w:footnote w:id="5">
    <w:p w14:paraId="5ACADF17" w14:textId="62CD35FA" w:rsidR="009A07C0" w:rsidRPr="0018541A" w:rsidRDefault="009A07C0" w:rsidP="0050193C">
      <w:pPr>
        <w:pStyle w:val="FootnoteText"/>
        <w:ind w:left="567" w:hanging="567"/>
        <w:rPr>
          <w:sz w:val="24"/>
          <w:lang w:val="fi-FI"/>
        </w:rPr>
      </w:pPr>
      <w:r w:rsidRPr="0018541A">
        <w:rPr>
          <w:rStyle w:val="FootnoteReference"/>
          <w:sz w:val="24"/>
          <w:lang w:val="sv-SE"/>
        </w:rPr>
        <w:footnoteRef/>
      </w:r>
      <w:r w:rsidR="0050193C" w:rsidRPr="0018541A">
        <w:rPr>
          <w:sz w:val="24"/>
          <w:lang w:val="fi-FI"/>
        </w:rPr>
        <w:t xml:space="preserve"> </w:t>
      </w:r>
      <w:r w:rsidR="0050193C" w:rsidRPr="0018541A">
        <w:rPr>
          <w:sz w:val="24"/>
          <w:lang w:val="fi-FI"/>
        </w:rPr>
        <w:tab/>
      </w:r>
      <w:r w:rsidRPr="0018541A">
        <w:rPr>
          <w:sz w:val="24"/>
          <w:lang w:val="fi-FI"/>
        </w:rPr>
        <w:t xml:space="preserve">EUT C, C/2025/1278, 13.3.2025, ELI: </w:t>
      </w:r>
      <w:hyperlink r:id="rId5" w:history="1">
        <w:r w:rsidRPr="0018541A">
          <w:rPr>
            <w:rStyle w:val="Hyperlink"/>
            <w:sz w:val="24"/>
            <w:lang w:val="fi-FI"/>
          </w:rPr>
          <w:t>http://data.europa.eu/eli/C/2025/1278/oj</w:t>
        </w:r>
      </w:hyperlink>
      <w:r w:rsidRPr="0018541A">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852EA" w14:textId="77777777" w:rsidR="00064002" w:rsidRPr="0050193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BD356" w14:textId="77777777" w:rsidR="00064002" w:rsidRPr="0050193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7B2DC" w14:textId="77777777" w:rsidR="00064002" w:rsidRPr="005019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05050162">
    <w:abstractNumId w:val="9"/>
  </w:num>
  <w:num w:numId="2" w16cid:durableId="308444559">
    <w:abstractNumId w:val="9"/>
  </w:num>
  <w:num w:numId="3" w16cid:durableId="2080664998">
    <w:abstractNumId w:val="7"/>
  </w:num>
  <w:num w:numId="4" w16cid:durableId="397169849">
    <w:abstractNumId w:val="7"/>
  </w:num>
  <w:num w:numId="5" w16cid:durableId="2102682594">
    <w:abstractNumId w:val="6"/>
  </w:num>
  <w:num w:numId="6" w16cid:durableId="785002429">
    <w:abstractNumId w:val="6"/>
  </w:num>
  <w:num w:numId="7" w16cid:durableId="205801749">
    <w:abstractNumId w:val="5"/>
  </w:num>
  <w:num w:numId="8" w16cid:durableId="859398321">
    <w:abstractNumId w:val="5"/>
  </w:num>
  <w:num w:numId="9" w16cid:durableId="2081708635">
    <w:abstractNumId w:val="4"/>
  </w:num>
  <w:num w:numId="10" w16cid:durableId="1823767043">
    <w:abstractNumId w:val="4"/>
  </w:num>
  <w:num w:numId="11" w16cid:durableId="719717482">
    <w:abstractNumId w:val="8"/>
  </w:num>
  <w:num w:numId="12" w16cid:durableId="906378110">
    <w:abstractNumId w:val="8"/>
  </w:num>
  <w:num w:numId="13" w16cid:durableId="1335953906">
    <w:abstractNumId w:val="3"/>
  </w:num>
  <w:num w:numId="14" w16cid:durableId="1330327130">
    <w:abstractNumId w:val="3"/>
  </w:num>
  <w:num w:numId="15" w16cid:durableId="1445805129">
    <w:abstractNumId w:val="2"/>
  </w:num>
  <w:num w:numId="16" w16cid:durableId="20786741">
    <w:abstractNumId w:val="2"/>
  </w:num>
  <w:num w:numId="17" w16cid:durableId="250823035">
    <w:abstractNumId w:val="1"/>
  </w:num>
  <w:num w:numId="18" w16cid:durableId="2068602335">
    <w:abstractNumId w:val="1"/>
  </w:num>
  <w:num w:numId="19" w16cid:durableId="2086873406">
    <w:abstractNumId w:val="0"/>
  </w:num>
  <w:num w:numId="20" w16cid:durableId="132914157">
    <w:abstractNumId w:val="0"/>
  </w:num>
  <w:num w:numId="21" w16cid:durableId="1398094545">
    <w:abstractNumId w:val="9"/>
  </w:num>
  <w:num w:numId="22" w16cid:durableId="2033263929">
    <w:abstractNumId w:val="7"/>
  </w:num>
  <w:num w:numId="23" w16cid:durableId="305823677">
    <w:abstractNumId w:val="6"/>
  </w:num>
  <w:num w:numId="24" w16cid:durableId="1512254974">
    <w:abstractNumId w:val="5"/>
  </w:num>
  <w:num w:numId="25" w16cid:durableId="163590089">
    <w:abstractNumId w:val="4"/>
  </w:num>
  <w:num w:numId="26" w16cid:durableId="1317883942">
    <w:abstractNumId w:val="8"/>
  </w:num>
  <w:num w:numId="27" w16cid:durableId="1148742168">
    <w:abstractNumId w:val="3"/>
  </w:num>
  <w:num w:numId="28" w16cid:durableId="591399101">
    <w:abstractNumId w:val="2"/>
  </w:num>
  <w:num w:numId="29" w16cid:durableId="1361397230">
    <w:abstractNumId w:val="1"/>
  </w:num>
  <w:num w:numId="30" w16cid:durableId="225116347">
    <w:abstractNumId w:val="0"/>
  </w:num>
  <w:num w:numId="31" w16cid:durableId="1374960554">
    <w:abstractNumId w:val="9"/>
  </w:num>
  <w:num w:numId="32" w16cid:durableId="871843104">
    <w:abstractNumId w:val="7"/>
  </w:num>
  <w:num w:numId="33" w16cid:durableId="871456999">
    <w:abstractNumId w:val="6"/>
  </w:num>
  <w:num w:numId="34" w16cid:durableId="1274173807">
    <w:abstractNumId w:val="5"/>
  </w:num>
  <w:num w:numId="35" w16cid:durableId="683089157">
    <w:abstractNumId w:val="4"/>
  </w:num>
  <w:num w:numId="36" w16cid:durableId="503473803">
    <w:abstractNumId w:val="8"/>
  </w:num>
  <w:num w:numId="37" w16cid:durableId="1688943911">
    <w:abstractNumId w:val="3"/>
  </w:num>
  <w:num w:numId="38" w16cid:durableId="473564092">
    <w:abstractNumId w:val="2"/>
  </w:num>
  <w:num w:numId="39" w16cid:durableId="2091464015">
    <w:abstractNumId w:val="1"/>
  </w:num>
  <w:num w:numId="40" w16cid:durableId="540365251">
    <w:abstractNumId w:val="0"/>
  </w:num>
  <w:num w:numId="41" w16cid:durableId="1188714386">
    <w:abstractNumId w:val="10"/>
  </w:num>
  <w:num w:numId="42" w16cid:durableId="1914074494">
    <w:abstractNumId w:val="10"/>
  </w:num>
  <w:num w:numId="43" w16cid:durableId="1047990516">
    <w:abstractNumId w:val="10"/>
  </w:num>
  <w:num w:numId="44" w16cid:durableId="19934829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5"/>
    <w:docVar w:name="dvlangue" w:val="SV"/>
    <w:docVar w:name="dvnumam" w:val="0"/>
    <w:docVar w:name="dvpe" w:val="773.363"/>
    <w:docVar w:name="dvrapporteur" w:val="Föredragande: "/>
    <w:docVar w:name="dvtitre" w:val="Europaparlamentets resolution av den xx xx 2025 om överläggningarna i utskottet för framställningar under 2024(2025/2114(INI))"/>
  </w:docVars>
  <w:rsids>
    <w:rsidRoot w:val="003A6673"/>
    <w:rsid w:val="00002272"/>
    <w:rsid w:val="00064002"/>
    <w:rsid w:val="000677B9"/>
    <w:rsid w:val="000831BA"/>
    <w:rsid w:val="000A42CC"/>
    <w:rsid w:val="000E7DD9"/>
    <w:rsid w:val="0010095E"/>
    <w:rsid w:val="00125B37"/>
    <w:rsid w:val="00136500"/>
    <w:rsid w:val="0018541A"/>
    <w:rsid w:val="00187494"/>
    <w:rsid w:val="001F32AE"/>
    <w:rsid w:val="002767FF"/>
    <w:rsid w:val="002B18FE"/>
    <w:rsid w:val="002B5493"/>
    <w:rsid w:val="00343214"/>
    <w:rsid w:val="00361C00"/>
    <w:rsid w:val="00395FA1"/>
    <w:rsid w:val="003A6673"/>
    <w:rsid w:val="003E15D4"/>
    <w:rsid w:val="00411CCE"/>
    <w:rsid w:val="0041666E"/>
    <w:rsid w:val="00421060"/>
    <w:rsid w:val="00471C19"/>
    <w:rsid w:val="004867E3"/>
    <w:rsid w:val="00494A28"/>
    <w:rsid w:val="004C0004"/>
    <w:rsid w:val="004C5D52"/>
    <w:rsid w:val="0050193C"/>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6C2B"/>
    <w:rsid w:val="00921C00"/>
    <w:rsid w:val="00930C23"/>
    <w:rsid w:val="0093193B"/>
    <w:rsid w:val="009509D8"/>
    <w:rsid w:val="00950B64"/>
    <w:rsid w:val="00981893"/>
    <w:rsid w:val="009A07C0"/>
    <w:rsid w:val="00A1687D"/>
    <w:rsid w:val="00A43E52"/>
    <w:rsid w:val="00A4678D"/>
    <w:rsid w:val="00A778C7"/>
    <w:rsid w:val="00AB0133"/>
    <w:rsid w:val="00AB441E"/>
    <w:rsid w:val="00AB6293"/>
    <w:rsid w:val="00AE0928"/>
    <w:rsid w:val="00AF3B82"/>
    <w:rsid w:val="00B12E95"/>
    <w:rsid w:val="00B22876"/>
    <w:rsid w:val="00B558F0"/>
    <w:rsid w:val="00BD48FE"/>
    <w:rsid w:val="00BD5EA1"/>
    <w:rsid w:val="00BD7BD8"/>
    <w:rsid w:val="00BE6ADC"/>
    <w:rsid w:val="00BF153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68D6"/>
    <w:rsid w:val="00F04346"/>
    <w:rsid w:val="00F075DC"/>
    <w:rsid w:val="00F149E9"/>
    <w:rsid w:val="00F36CA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DDE1BA"/>
  <w15:chartTrackingRefBased/>
  <w15:docId w15:val="{15002BAD-C8D6-4BD3-B39F-C21538DD3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A07C0"/>
    <w:pPr>
      <w:spacing w:after="240"/>
      <w:ind w:left="567" w:hanging="567"/>
    </w:pPr>
  </w:style>
  <w:style w:type="paragraph" w:customStyle="1" w:styleId="EPComma">
    <w:name w:val="EPComma"/>
    <w:basedOn w:val="Normal"/>
    <w:uiPriority w:val="99"/>
    <w:rsid w:val="009A07C0"/>
    <w:pPr>
      <w:spacing w:before="480" w:after="240"/>
    </w:pPr>
  </w:style>
  <w:style w:type="character" w:styleId="Hyperlink">
    <w:name w:val="Hyperlink"/>
    <w:basedOn w:val="DefaultParagraphFont"/>
    <w:rsid w:val="009A07C0"/>
    <w:rPr>
      <w:color w:val="0563C1" w:themeColor="hyperlink"/>
      <w:u w:val="single"/>
    </w:rPr>
  </w:style>
  <w:style w:type="character" w:customStyle="1" w:styleId="NormalHanging12aChar">
    <w:name w:val="NormalHanging12a Char"/>
    <w:basedOn w:val="DefaultParagraphFont"/>
    <w:link w:val="NormalHanging12a"/>
    <w:rsid w:val="009A07C0"/>
    <w:rPr>
      <w:sz w:val="24"/>
      <w:lang w:val="sv-SE"/>
    </w:rPr>
  </w:style>
  <w:style w:type="paragraph" w:styleId="Revision">
    <w:name w:val="Revision"/>
    <w:hidden/>
    <w:uiPriority w:val="99"/>
    <w:semiHidden/>
    <w:rsid w:val="00F36CAE"/>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679/oj" TargetMode="External"/><Relationship Id="rId2" Type="http://schemas.openxmlformats.org/officeDocument/2006/relationships/hyperlink" Target="http://data.europa.eu/eli/dir/2024/1785/oj" TargetMode="External"/><Relationship Id="rId1" Type="http://schemas.openxmlformats.org/officeDocument/2006/relationships/hyperlink" Target="http://data.europa.eu/eli/agree_interinstit/2010/1120/oj" TargetMode="External"/><Relationship Id="rId5" Type="http://schemas.openxmlformats.org/officeDocument/2006/relationships/hyperlink" Target="http://data.europa.eu/eli/C/2025/1278/oj" TargetMode="External"/><Relationship Id="rId4" Type="http://schemas.openxmlformats.org/officeDocument/2006/relationships/hyperlink" Target="http://data.europa.eu/eli/dir/2024/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3909</Words>
  <Characters>26165</Characters>
  <Application>Microsoft Office Word</Application>
  <DocSecurity>0</DocSecurity>
  <Lines>218</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EDHOLM Erik Thomas</cp:lastModifiedBy>
  <cp:revision>2</cp:revision>
  <cp:lastPrinted>2004-11-19T15:42:00Z</cp:lastPrinted>
  <dcterms:created xsi:type="dcterms:W3CDTF">2025-11-06T12:37:00Z</dcterms:created>
  <dcterms:modified xsi:type="dcterms:W3CDTF">2025-11-06T12:37:00Z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A10-0170/2025</vt:lpwstr>
  </property>
  <property fmtid="{D5CDD505-2E9C-101B-9397-08002B2CF9AE}" pid="4" name="&lt;Type&gt;">
    <vt:lpwstr>RR</vt:lpwstr>
  </property>
</Properties>
</file>