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7DF2" w14:paraId="203723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8E362F" w14:textId="2ABEBBB0" w:rsidR="00751A4A" w:rsidRPr="00C47DF2" w:rsidRDefault="00A9254A" w:rsidP="0010095E">
            <w:pPr>
              <w:pStyle w:val="EPName"/>
            </w:pPr>
            <w:r w:rsidRPr="00C47DF2">
              <w:t>Evropský parlament</w:t>
            </w:r>
          </w:p>
          <w:p w14:paraId="64C16F5B" w14:textId="77777777" w:rsidR="00751A4A" w:rsidRPr="00C47DF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7DF2">
              <w:t>2024</w:t>
            </w:r>
            <w:r w:rsidR="00817416" w:rsidRPr="00C47DF2">
              <w:t>-202</w:t>
            </w:r>
            <w:r w:rsidRPr="00C47DF2">
              <w:t>9</w:t>
            </w:r>
          </w:p>
        </w:tc>
        <w:tc>
          <w:tcPr>
            <w:tcW w:w="2268" w:type="dxa"/>
            <w:shd w:val="clear" w:color="auto" w:fill="auto"/>
          </w:tcPr>
          <w:p w14:paraId="6BD9DE6E" w14:textId="77777777" w:rsidR="00751A4A" w:rsidRPr="00C47DF2" w:rsidRDefault="00187494" w:rsidP="0010095E">
            <w:pPr>
              <w:pStyle w:val="EPLogo"/>
            </w:pPr>
            <w:r w:rsidRPr="00C47DF2">
              <w:rPr>
                <w:noProof/>
                <w:lang w:eastAsia="ja-JP"/>
              </w:rPr>
              <w:drawing>
                <wp:inline distT="0" distB="0" distL="0" distR="0" wp14:anchorId="617EED8C" wp14:editId="5D6BF29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4BD53F" w14:textId="77777777" w:rsidR="00D058B8" w:rsidRPr="00C47DF2" w:rsidRDefault="00D058B8" w:rsidP="004C5D52">
      <w:pPr>
        <w:pStyle w:val="LineTop"/>
      </w:pPr>
    </w:p>
    <w:p w14:paraId="3E40C26E" w14:textId="2F7F4E2A" w:rsidR="00680577" w:rsidRPr="00C47DF2" w:rsidRDefault="00A9254A" w:rsidP="00680577">
      <w:pPr>
        <w:pStyle w:val="EPBodyTA1"/>
      </w:pPr>
      <w:r w:rsidRPr="00C47DF2">
        <w:t>PŘIJATÉ TEXTY</w:t>
      </w:r>
    </w:p>
    <w:p w14:paraId="556FC935" w14:textId="77777777" w:rsidR="00D058B8" w:rsidRPr="00C47DF2" w:rsidRDefault="00D058B8" w:rsidP="00D058B8">
      <w:pPr>
        <w:pStyle w:val="LineBottom"/>
      </w:pPr>
    </w:p>
    <w:p w14:paraId="7499A580" w14:textId="6A1D0642" w:rsidR="00A9254A" w:rsidRPr="00C47DF2" w:rsidRDefault="00A9254A" w:rsidP="00A9254A">
      <w:pPr>
        <w:pStyle w:val="ATHeading1"/>
      </w:pPr>
      <w:bookmarkStart w:id="0" w:name="TANumber"/>
      <w:r w:rsidRPr="00C47DF2">
        <w:t>P10_</w:t>
      </w:r>
      <w:proofErr w:type="gramStart"/>
      <w:r w:rsidRPr="00C47DF2">
        <w:t>TA(</w:t>
      </w:r>
      <w:proofErr w:type="gramEnd"/>
      <w:r w:rsidRPr="00C47DF2">
        <w:t>2025)0</w:t>
      </w:r>
      <w:bookmarkEnd w:id="0"/>
      <w:r w:rsidR="002547ED">
        <w:t>229</w:t>
      </w:r>
    </w:p>
    <w:p w14:paraId="2165AE14" w14:textId="77777777" w:rsidR="00A9254A" w:rsidRPr="00C47DF2" w:rsidRDefault="00A9254A" w:rsidP="00A9254A">
      <w:pPr>
        <w:pStyle w:val="ATHeading2"/>
      </w:pPr>
      <w:bookmarkStart w:id="1" w:name="title"/>
      <w:r w:rsidRPr="00C47DF2">
        <w:t>Situace v Afghánistánu: podpora žen a komunit, kterých se dotkla nedávná zemětřesení</w:t>
      </w:r>
      <w:bookmarkEnd w:id="1"/>
    </w:p>
    <w:p w14:paraId="0F8AB49D" w14:textId="77777777" w:rsidR="00A9254A" w:rsidRPr="00C47DF2" w:rsidRDefault="00A9254A" w:rsidP="00A9254A">
      <w:pPr>
        <w:rPr>
          <w:i/>
          <w:vanish/>
        </w:rPr>
      </w:pPr>
      <w:r w:rsidRPr="00C47DF2">
        <w:rPr>
          <w:i/>
        </w:rPr>
        <w:fldChar w:fldCharType="begin"/>
      </w:r>
      <w:r w:rsidRPr="00C47DF2">
        <w:rPr>
          <w:i/>
        </w:rPr>
        <w:instrText xml:space="preserve"> TC"(</w:instrText>
      </w:r>
      <w:bookmarkStart w:id="2" w:name="DocNumber"/>
      <w:r w:rsidRPr="00C47DF2">
        <w:rPr>
          <w:i/>
        </w:rPr>
        <w:instrText>B10-0415, 0417, 0418, 0420, 0425 a 0427/2025</w:instrText>
      </w:r>
      <w:bookmarkEnd w:id="2"/>
      <w:r w:rsidRPr="00C47DF2">
        <w:rPr>
          <w:i/>
        </w:rPr>
        <w:instrText xml:space="preserve">)"\l3 \n&gt; \* MERGEFORMAT </w:instrText>
      </w:r>
      <w:r w:rsidRPr="00C47DF2">
        <w:rPr>
          <w:i/>
        </w:rPr>
        <w:fldChar w:fldCharType="end"/>
      </w:r>
    </w:p>
    <w:p w14:paraId="77A931AD" w14:textId="77777777" w:rsidR="00A9254A" w:rsidRPr="00C47DF2" w:rsidRDefault="00A9254A" w:rsidP="00A9254A">
      <w:pPr>
        <w:rPr>
          <w:vanish/>
        </w:rPr>
      </w:pPr>
      <w:bookmarkStart w:id="3" w:name="PE"/>
      <w:r w:rsidRPr="00C47DF2">
        <w:rPr>
          <w:vanish/>
        </w:rPr>
        <w:t>PE776.254</w:t>
      </w:r>
      <w:bookmarkEnd w:id="3"/>
    </w:p>
    <w:p w14:paraId="25F67151" w14:textId="7965F035" w:rsidR="00A9254A" w:rsidRPr="00C47DF2" w:rsidRDefault="00A9254A" w:rsidP="00A9254A">
      <w:pPr>
        <w:pStyle w:val="ATHeading3"/>
      </w:pPr>
      <w:bookmarkStart w:id="4" w:name="Sujet"/>
      <w:r w:rsidRPr="00C47DF2">
        <w:t>Usnesení Evropského parlamentu ze dne</w:t>
      </w:r>
      <w:r w:rsidR="00602C87">
        <w:t xml:space="preserve"> 9. října</w:t>
      </w:r>
      <w:r w:rsidRPr="00C47DF2">
        <w:t xml:space="preserve"> 2025 o situaci v Afghánistánu: podpora žen a komunit, kterých se dotkla nedávná zemětřesení</w:t>
      </w:r>
      <w:bookmarkEnd w:id="4"/>
      <w:r w:rsidRPr="00C47DF2">
        <w:t xml:space="preserve"> </w:t>
      </w:r>
      <w:bookmarkStart w:id="5" w:name="References"/>
      <w:r w:rsidRPr="00C47DF2">
        <w:t>(2025/2872(RSP))</w:t>
      </w:r>
      <w:bookmarkEnd w:id="5"/>
    </w:p>
    <w:p w14:paraId="269938AD" w14:textId="77777777" w:rsidR="000B0F2C" w:rsidRPr="00C47DF2" w:rsidRDefault="000B0F2C" w:rsidP="000B0F2C">
      <w:pPr>
        <w:pStyle w:val="EPComma"/>
      </w:pPr>
      <w:bookmarkStart w:id="6" w:name="TextBodyBegin"/>
      <w:bookmarkEnd w:id="6"/>
      <w:r w:rsidRPr="00C47DF2">
        <w:rPr>
          <w:i/>
        </w:rPr>
        <w:t>Evropský parlament</w:t>
      </w:r>
      <w:r w:rsidRPr="00C47DF2">
        <w:t>,</w:t>
      </w:r>
    </w:p>
    <w:p w14:paraId="5F2017CB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Všeobecnou deklaraci lidských práv ze dne 10. prosince 1948 a na Mezinárodní pakt o občanských a politických právech ze dne 16. prosince 1966,</w:t>
      </w:r>
    </w:p>
    <w:p w14:paraId="6D3DA381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Úmluvu OSN o odstranění všech forem diskriminace žen ze dne 18. prosince 1979 a Úmluvu OSN o právech dítěte ze dne 20. listopadu 1989, které Afghánistán ratifikoval,</w:t>
      </w:r>
    </w:p>
    <w:p w14:paraId="70B6871E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rezoluci Valného shromáždění OSN ze dne 7. července 2025 o situaci v Afghánistánu,</w:t>
      </w:r>
    </w:p>
    <w:p w14:paraId="256A8276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zprávu generálního tajemníka OSN ze dne 11. června 2025 Radě bezpečnosti OSN o situaci v Afghánistánu a jejích dopadech na mezinárodní mír a bezpečnost,</w:t>
      </w:r>
    </w:p>
    <w:p w14:paraId="021BA663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Úmluvu OSN o právním postavení uprchlíků ze dne 28. července 1951 a její dodatkový protokol z roku 1967,</w:t>
      </w:r>
    </w:p>
    <w:p w14:paraId="79CADC4F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zásadu nenavracení podle mezinárodního práva,</w:t>
      </w:r>
    </w:p>
    <w:p w14:paraId="7672B351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závěry třetího zasedání zvláštních vyslanců OSN pro Afghánistán, které se konalo v katarském Dauhá ve dnech 30. června a 1. července 2024,</w:t>
      </w:r>
    </w:p>
    <w:p w14:paraId="29561B7F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svá předchozí usnesení o situaci v Afghánistánu, zejména na své usnesení ze dne 19. září 2024 o zhoršující se situaci žen v Afghánistánu v důsledku nedávno přijatého zákona o „šíření ctnosti a předcházení neřesti“</w:t>
      </w:r>
      <w:r w:rsidRPr="00C47DF2">
        <w:rPr>
          <w:rStyle w:val="FootnoteReference"/>
        </w:rPr>
        <w:footnoteReference w:id="1"/>
      </w:r>
      <w:r w:rsidRPr="00C47DF2">
        <w:t>,</w:t>
      </w:r>
    </w:p>
    <w:p w14:paraId="67698E5B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 xml:space="preserve">s ohledem na závěry Rady ze dne 14. listopadu 2022 o ženách, míru a bezpečnosti a na závěry Rady ze dne 15. září 2021 o Afghánistánu, které nastínily pět kritérií pro </w:t>
      </w:r>
      <w:r w:rsidRPr="00C47DF2">
        <w:lastRenderedPageBreak/>
        <w:t>spolupráci EU s faktickými orgány vedenými Tálibánem,</w:t>
      </w:r>
    </w:p>
    <w:p w14:paraId="5787343D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rozsudek Soudního dvora Evropské unie (SDEU) ze dne 4. října 2024</w:t>
      </w:r>
      <w:r w:rsidRPr="00C47DF2">
        <w:rPr>
          <w:rStyle w:val="FootnoteReference"/>
        </w:rPr>
        <w:footnoteReference w:id="2"/>
      </w:r>
      <w:r w:rsidRPr="00C47DF2">
        <w:t>, v němž se konstatuje, že systémová diskriminace, jaké čelí afghánské ženy pod vládou Tálibánu, představuje pronásledování podle azylového práva EU,</w:t>
      </w:r>
    </w:p>
    <w:p w14:paraId="78EBF9AC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návrh Dohody o spolupráci v oblasti partnerství a rozvoje mezi Evropskou unií a jejími členskými státy na jedné straně a Islámskou republikou Afghánistán na straně druhé</w:t>
      </w:r>
      <w:r w:rsidRPr="00C47DF2">
        <w:rPr>
          <w:rStyle w:val="FootnoteReference"/>
        </w:rPr>
        <w:footnoteReference w:id="3"/>
      </w:r>
      <w:r w:rsidRPr="00C47DF2">
        <w:t>, podepsané dne 18. února 2017,</w:t>
      </w:r>
    </w:p>
    <w:p w14:paraId="0FD642CF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tematické obecné zásady EU týkající se obránců lidských práv, podpory a ochrany práv dítěte, násilí páchaného na ženách a dívkách a boje proti všem formám jejich diskriminace,</w:t>
      </w:r>
    </w:p>
    <w:p w14:paraId="29CDB47A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 ohledem na sdělení Komise ze dne 10. března 2021 o humanitární činnosti EU: nové výzvy, stejné zásady (</w:t>
      </w:r>
      <w:proofErr w:type="gramStart"/>
      <w:r w:rsidRPr="00C47DF2">
        <w:t>COM(</w:t>
      </w:r>
      <w:proofErr w:type="gramEnd"/>
      <w:r w:rsidRPr="00C47DF2">
        <w:t>2021)0110), který upřednostňuje ochranu, připravenost na katastrofy a potřeby žen a zranitelných skupin,</w:t>
      </w:r>
    </w:p>
    <w:p w14:paraId="5391656A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výroční zprávu Světového potravinového programu o Afghánistánu za rok 2024, zveřejněnou dne 27. března 2025,</w:t>
      </w:r>
    </w:p>
    <w:p w14:paraId="0BEC7D16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index lidského rozvoje pro rok 2022,</w:t>
      </w:r>
    </w:p>
    <w:p w14:paraId="0A8765D9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 ohledem na společné prohlášení Rady a zástupců vlád členských států zasedajících v Radě, Evropského parlamentu a Komise ze dne 30. června 2017 nazvané „Nový Evropský konsensus o rozvoji – Náš svět, naše důstojnost, naše budoucnost“,</w:t>
      </w:r>
    </w:p>
    <w:p w14:paraId="075AF9CC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analýzu Mezinárodní krizové skupiny nazvanou „Afghánistán: Tálibán omezuje práva žen a zhoršuje humanitární krizi“, zveřejněnou dne 31. ledna 2023,</w:t>
      </w:r>
    </w:p>
    <w:p w14:paraId="482DB0EB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výzvu UNICEF k financování humanitární pomoci pro rok 2025, zveřejněnou dne 5. prosince 2024,</w:t>
      </w:r>
    </w:p>
    <w:p w14:paraId="1BE90ED9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výzvu k poskytnutí nouzového financování pro Afghánistán, kterou v září 2025 vyhlásila Agentura OSN pro uprchlíky,</w:t>
      </w:r>
    </w:p>
    <w:p w14:paraId="56EB6EC0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výzvu UNICEF k poskytnutí pomoci Afghánistánu po zemětřesení v roce 2025, kterou UNICEF zveřejnil dne 9. září 2025,</w:t>
      </w:r>
    </w:p>
    <w:p w14:paraId="2104A660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plán reakce na krizi v Afghánistánu na rok 2025, který Mezinárodní organizace pro migraci zveřejnila dne 16. prosince 2024,</w:t>
      </w:r>
    </w:p>
    <w:p w14:paraId="4A6F768F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výzvu Světové zdravotnické organizace k řešení mimořádných situací v oblasti zdraví v roce 2025, zveřejněnou dne 16. ledna 2025,</w:t>
      </w:r>
    </w:p>
    <w:p w14:paraId="312422F1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 xml:space="preserve">s ohledem na zatykače na nejvyššího vůdce Tálibánu </w:t>
      </w:r>
      <w:proofErr w:type="spellStart"/>
      <w:r w:rsidRPr="00C47DF2">
        <w:t>Hajbatulláha</w:t>
      </w:r>
      <w:proofErr w:type="spellEnd"/>
      <w:r w:rsidRPr="00C47DF2">
        <w:t xml:space="preserve"> </w:t>
      </w:r>
      <w:proofErr w:type="spellStart"/>
      <w:r w:rsidRPr="00C47DF2">
        <w:t>Achúndzádu</w:t>
      </w:r>
      <w:proofErr w:type="spellEnd"/>
      <w:r w:rsidRPr="00C47DF2">
        <w:t xml:space="preserve"> a předsedu Nejvyššího soudu Tálibánu Abdula Hakima </w:t>
      </w:r>
      <w:proofErr w:type="spellStart"/>
      <w:r w:rsidRPr="00C47DF2">
        <w:t>Haqqáního</w:t>
      </w:r>
      <w:proofErr w:type="spellEnd"/>
      <w:r w:rsidRPr="00C47DF2">
        <w:t xml:space="preserve">, které Mezinárodní </w:t>
      </w:r>
      <w:r w:rsidRPr="00C47DF2">
        <w:lastRenderedPageBreak/>
        <w:t>trestní soud (ICC) vydal dne 8. července 2025,</w:t>
      </w:r>
    </w:p>
    <w:p w14:paraId="525D4CF8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rozsudek Soudního dvora Evropské unie ze dne 16. ledna 2024 ve věci C-621/21 o poskytnutí mezinárodní ochrany ženám čelícím genderově podmíněnému násilí</w:t>
      </w:r>
      <w:r w:rsidRPr="00C47DF2">
        <w:rPr>
          <w:rStyle w:val="FootnoteReference"/>
        </w:rPr>
        <w:footnoteReference w:id="4"/>
      </w:r>
      <w:r w:rsidRPr="00C47DF2">
        <w:t>,</w:t>
      </w:r>
    </w:p>
    <w:p w14:paraId="605EA2A1" w14:textId="77777777" w:rsidR="000B0F2C" w:rsidRPr="00C47DF2" w:rsidRDefault="000B0F2C" w:rsidP="000B0F2C">
      <w:pPr>
        <w:pStyle w:val="NormalHanging12a"/>
      </w:pPr>
      <w:r w:rsidRPr="00C47DF2">
        <w:t>–</w:t>
      </w:r>
      <w:r w:rsidRPr="00C47DF2">
        <w:tab/>
        <w:t>s ohledem na čl. 136 odst. 2 a 4 jednacího řádu,</w:t>
      </w:r>
    </w:p>
    <w:p w14:paraId="2991E0D8" w14:textId="77777777" w:rsidR="000B0F2C" w:rsidRPr="00C47DF2" w:rsidRDefault="000B0F2C" w:rsidP="000B0F2C">
      <w:pPr>
        <w:pStyle w:val="NormalHanging12a"/>
        <w:rPr>
          <w:rFonts w:eastAsia="Calibri"/>
        </w:rPr>
      </w:pPr>
      <w:r w:rsidRPr="00C47DF2">
        <w:t>A.</w:t>
      </w:r>
      <w:r w:rsidRPr="00C47DF2">
        <w:tab/>
        <w:t xml:space="preserve">vzhledem k tomu, že dne 31. srpna 2025 zasáhlo provincii </w:t>
      </w:r>
      <w:proofErr w:type="spellStart"/>
      <w:r w:rsidRPr="00C47DF2">
        <w:t>Kunár</w:t>
      </w:r>
      <w:proofErr w:type="spellEnd"/>
      <w:r w:rsidRPr="00C47DF2">
        <w:t xml:space="preserve"> ve východním Afghánistánu smrtící zemětřesení o síle 6,0 stupňů, které si vyžádalo více než 2 200 obětí a tisíce zraněných jak v provincii </w:t>
      </w:r>
      <w:proofErr w:type="spellStart"/>
      <w:r w:rsidRPr="00C47DF2">
        <w:t>Kunár</w:t>
      </w:r>
      <w:proofErr w:type="spellEnd"/>
      <w:r w:rsidRPr="00C47DF2">
        <w:t xml:space="preserve">, tak v sousední provincii </w:t>
      </w:r>
      <w:proofErr w:type="spellStart"/>
      <w:r w:rsidRPr="00C47DF2">
        <w:t>Nangarhár</w:t>
      </w:r>
      <w:proofErr w:type="spellEnd"/>
      <w:r w:rsidRPr="00C47DF2">
        <w:t>; vzhledem k tomu, že bylo zničeno více než 6 700 domů a celé vesnice se proměnily v trosky, v důsledku čehož nejméně 11 000 lidí žije ve stanech a s blížící se zimou jim hrozí podchlazení; vzhledem k tomu, že závažný dopad na řešení této krize měly globální škrty v humanitární pomoci;</w:t>
      </w:r>
    </w:p>
    <w:p w14:paraId="5C6B7697" w14:textId="77777777" w:rsidR="000B0F2C" w:rsidRPr="00C47DF2" w:rsidRDefault="000B0F2C" w:rsidP="000B0F2C">
      <w:pPr>
        <w:pStyle w:val="NormalHanging12a"/>
        <w:rPr>
          <w:rFonts w:eastAsia="Calibri"/>
        </w:rPr>
      </w:pPr>
      <w:r w:rsidRPr="00C47DF2">
        <w:t>B.</w:t>
      </w:r>
      <w:r w:rsidRPr="00C47DF2">
        <w:tab/>
        <w:t>vzhledem k tomu, že vláda Tálibánu zásadním způsobem izolovala Afghánistán na mezinárodní scéně, což vedlo ke zpoždění v dodávkách mezinárodní pomoci; vzhledem k tomu, že ženy byly zemětřesením postiženy neúměrně více kvůli přísným společenským pravidlům Tálibánu, která brání mužským dobrovolníkům dotýkat se žen, a tím brzdí záchranné práce a lékařskou péči; vzhledem k tomu, že od 5. září 2025 brání Tálibán afghánským zaměstnankyním a smluvním pracovnicím ve vstupu do areálů OSN v Kábulu, čímž vážně omezuje dodávky humanitární pomoci ženám a dívkám; vzhledem k tomu, že důsledky genderového apartheidu, který tálibánský režim uvalil na Afghánistán, měly negativní dopad na poskytování pomoci obětem z řad žen a dívek; vzhledem k tomu, že vysoký počet obětí zemětřesení byl dán i nedostatkem lékařek a přísným omezením cestování pro ženy a dívky; vzhledem k tomu, že klíčovou roli při průniku do postižených vesnic, poskytování zdravotní péče a psychosociální podpory a při distribuci pomoci sehrály humanitární pracovnice;</w:t>
      </w:r>
    </w:p>
    <w:p w14:paraId="21B15A92" w14:textId="77777777" w:rsidR="000B0F2C" w:rsidRPr="00C47DF2" w:rsidRDefault="000B0F2C" w:rsidP="000B0F2C">
      <w:pPr>
        <w:pStyle w:val="NormalHanging12a"/>
        <w:rPr>
          <w:rFonts w:eastAsia="Calibri"/>
        </w:rPr>
      </w:pPr>
      <w:r w:rsidRPr="00C47DF2">
        <w:t>C.</w:t>
      </w:r>
      <w:r w:rsidRPr="00C47DF2">
        <w:tab/>
        <w:t>vzhledem k tomu, že od svého návratu k moci v srpnu 2021 zavedl Tálibán radikální výklad a prosazování práva šaría, což vedlo k téměř úplnému vymizení žen a dívek z veřejného života v Afghánistánu; vzhledem k tomu, že tento režim je vymáhán prostřednictvím rozsáhlých omezení pro ženy a dívky, včetně zákazu studia na středních a vysokých školách, zákazu výkonu většiny druhů zaměstnání, odepření přístupu do veřejných prostor a ke sportu, zavedení přísných pravidel pro oděv, zrušení systémů podpory pro oběti násilí a ustanovení povinného doprovodu mužského opatrovníka pro cestující ženy; vzhledem k tomu, že další nařízení, jako například zákaz z prosince 2024, který ženám znemožňuje studovat medicínu nebo skládat závěrečné lékařské zkoušky, drasticky snížila počet žen v lékařských profesích v Afghánistánu;</w:t>
      </w:r>
    </w:p>
    <w:p w14:paraId="2BEC531B" w14:textId="190C8E36" w:rsidR="000B0F2C" w:rsidRPr="00C23425" w:rsidRDefault="000B0F2C" w:rsidP="000B0F2C">
      <w:pPr>
        <w:pStyle w:val="NormalHanging12a"/>
      </w:pPr>
      <w:r w:rsidRPr="00C47DF2">
        <w:t>D.</w:t>
      </w:r>
      <w:r w:rsidRPr="00C47DF2">
        <w:tab/>
        <w:t>vzhledem k tomu, že v roce 2024 vydal Soudní dvůr Evropské unie tři rozsudky</w:t>
      </w:r>
      <w:r w:rsidRPr="00C47DF2">
        <w:rPr>
          <w:rStyle w:val="FootnoteReference"/>
        </w:rPr>
        <w:footnoteReference w:id="5"/>
      </w:r>
      <w:r w:rsidRPr="00C47DF2">
        <w:t xml:space="preserve"> </w:t>
      </w:r>
      <w:r w:rsidRPr="00C47DF2">
        <w:lastRenderedPageBreak/>
        <w:t xml:space="preserve">týkající se genderově podmíněného násilí a pronásledování, </w:t>
      </w:r>
      <w:r w:rsidR="002547ED" w:rsidRPr="00265CD1">
        <w:t>v nichž uvedl, že členské státy jsou oprávněny při individuálním posuzování žádosti o azyl podané ženou afghánské národnosti zohlednit pouze pohlaví a státní příslušnost</w:t>
      </w:r>
      <w:r w:rsidRPr="00C23425">
        <w:t>;</w:t>
      </w:r>
    </w:p>
    <w:p w14:paraId="243CF1E6" w14:textId="10F2FEB4" w:rsidR="000B0F2C" w:rsidRPr="00C47DF2" w:rsidRDefault="000B0F2C" w:rsidP="000B0F2C">
      <w:pPr>
        <w:pStyle w:val="NormalHanging12a"/>
        <w:rPr>
          <w:rFonts w:eastAsia="Calibri"/>
        </w:rPr>
      </w:pPr>
      <w:r w:rsidRPr="00C47DF2">
        <w:t>E.</w:t>
      </w:r>
      <w:r w:rsidRPr="00C47DF2">
        <w:tab/>
        <w:t>vzhledem k tomu, že od 30. září do 2. října 2025 Tálibán nařídil celostátní vypnutí internetu, čímž narušil komunikační sítě, leteckou dopravu, bankovní služby a základní služby a připravil miliony Afghánců o přístup k informacím a vzdělání a</w:t>
      </w:r>
      <w:r w:rsidR="00C23425">
        <w:t xml:space="preserve"> </w:t>
      </w:r>
      <w:r w:rsidRPr="00C47DF2">
        <w:t>s ohledem na zákaz vzdělávání žen a dívek nad šestou třídu, který Taliban zavedl, zejména odstranil jednu z posledních možností vzdělávání, která ženám a dívkám zbývala;</w:t>
      </w:r>
    </w:p>
    <w:p w14:paraId="5118DC25" w14:textId="77777777" w:rsidR="000B0F2C" w:rsidRPr="00C47DF2" w:rsidRDefault="000B0F2C" w:rsidP="000B0F2C">
      <w:pPr>
        <w:pStyle w:val="NormalHanging12a"/>
        <w:rPr>
          <w:rFonts w:eastAsia="Calibri"/>
        </w:rPr>
      </w:pPr>
      <w:r w:rsidRPr="00C47DF2">
        <w:t>F.</w:t>
      </w:r>
      <w:r w:rsidRPr="00C47DF2">
        <w:tab/>
        <w:t>vzhledem k tomu, že podle Světové zdravotnické organizace bylo 422 zdravotnických zařízení v Afghánistánu uzavřeno kvůli nedostatku finančních prostředků, což mělo dopad na 3,08 milionu lidí; vzhledem k tomu, že Afghánistán čelí kritické situaci v mnoha oblastech zdravotní péče, což zhoršuje i úmrtnost matek, která je již tak jednou z nejvyšších na světě;</w:t>
      </w:r>
    </w:p>
    <w:p w14:paraId="41C25E3E" w14:textId="77777777" w:rsidR="000B0F2C" w:rsidRPr="00C47DF2" w:rsidRDefault="000B0F2C" w:rsidP="000B0F2C">
      <w:pPr>
        <w:pStyle w:val="NormalHanging12a"/>
        <w:rPr>
          <w:rFonts w:eastAsia="Calibri"/>
        </w:rPr>
      </w:pPr>
      <w:r w:rsidRPr="00C47DF2">
        <w:t>G.</w:t>
      </w:r>
      <w:r w:rsidRPr="00C47DF2">
        <w:tab/>
        <w:t>vzhledem k tomu, že humanitární situace v Afghánistánu je zoufalá, neboť na humanitární pomoci závisí téměř 24 milionů lidí a téměř 15 milionů trpí akutním nedostatkem potravin; vzhledem k tomu, že v období od ledna do října 2024 se vrátilo do Afghánistánu více než 1,1 milionu Afghánců, z nichž mnozí byli k návratu donuceni, a že komunity, které se již tak nacházely v těžké situaci, čelí v důsledku jejich příchodu velkým problémům; vzhledem k tomu, že v Afghánistánu žije více než 3,2 milionu vnitřně vysídlených osob a že 5,3 milionu afghánských uprchlíků a žadatelů o azyl se nachází v sousedních zemích;</w:t>
      </w:r>
    </w:p>
    <w:p w14:paraId="58A65274" w14:textId="77777777" w:rsidR="000B0F2C" w:rsidRPr="00C47DF2" w:rsidRDefault="000B0F2C" w:rsidP="000B0F2C">
      <w:pPr>
        <w:pStyle w:val="NormalHanging12a"/>
        <w:rPr>
          <w:szCs w:val="24"/>
        </w:rPr>
      </w:pPr>
      <w:r w:rsidRPr="00C47DF2">
        <w:t>H.</w:t>
      </w:r>
      <w:r w:rsidRPr="00C47DF2">
        <w:tab/>
        <w:t>vzhledem k tomu, že škrty v rozpočtu USA na zahraniční pomoc vážně zasáhly afghánský systém zdravotní péče a programy potravinové pomoci; vzhledem k tomu, že EU a její členské státy zůstávají jedním z největších dárců humanitární pomoci Afghánistánu, přičemž 1 milion EUR byl schválen jako pomoc v mimořádných situacích, a to nad rámec 161 milionů EUR vyčleněných na humanitární pomoc, které již byly v roce 2025 organizacím v celém Afghánistánu přiděleny; vzhledem k tomu, že humanitární pomoc EU v Afghánistánu je poskytována výhradně prostřednictvím humanitárních partnerů;</w:t>
      </w:r>
    </w:p>
    <w:p w14:paraId="7FB6157C" w14:textId="77777777" w:rsidR="000B0F2C" w:rsidRPr="00C47DF2" w:rsidRDefault="000B0F2C" w:rsidP="000B0F2C">
      <w:pPr>
        <w:pStyle w:val="NormalHanging12a"/>
        <w:rPr>
          <w:szCs w:val="24"/>
        </w:rPr>
      </w:pPr>
      <w:r w:rsidRPr="00C47DF2">
        <w:t>I.</w:t>
      </w:r>
      <w:r w:rsidRPr="00C47DF2">
        <w:tab/>
        <w:t>vzhledem k tomu, že Afghánistán se stále potýká s častými teroristickými útoky extremistických islamistických skupin, včetně Tálibánu, al-Káidy a ISIS-Chorásánu, které se cíleně zaměřují na civilisty, menšiny a humanitární pracovníky; vzhledem k tomu, že EU nemá vztahy s faktickými orgány Afghánistánu, což je správné;</w:t>
      </w:r>
    </w:p>
    <w:p w14:paraId="07634517" w14:textId="77777777" w:rsidR="000B0F2C" w:rsidRPr="00C47DF2" w:rsidRDefault="000B0F2C" w:rsidP="000B0F2C">
      <w:pPr>
        <w:pStyle w:val="NormalHanging12a"/>
      </w:pPr>
      <w:r w:rsidRPr="00C47DF2">
        <w:t>1.</w:t>
      </w:r>
      <w:r w:rsidRPr="00C47DF2">
        <w:tab/>
        <w:t>vyjadřuje hluboké znepokojení nad humanitární situací v </w:t>
      </w:r>
      <w:proofErr w:type="spellStart"/>
      <w:r w:rsidRPr="00C47DF2">
        <w:t>Kúnaru</w:t>
      </w:r>
      <w:proofErr w:type="spellEnd"/>
      <w:r w:rsidRPr="00C47DF2">
        <w:t xml:space="preserve">, </w:t>
      </w:r>
      <w:proofErr w:type="spellStart"/>
      <w:r w:rsidRPr="00C47DF2">
        <w:t>Nangarháru</w:t>
      </w:r>
      <w:proofErr w:type="spellEnd"/>
      <w:r w:rsidRPr="00C47DF2">
        <w:t xml:space="preserve"> a sousedních provinciích zasažených zemětřesením, vyjadřuje soustrast rodinám obětí a naléhavě vyzývá mezinárodní aktéry, aby pomohli co nejdříve poskytnout podporu přeživším; trvá na tom, že je třeba posílit nouzovou pomoc opomíjeným komunitám, poskytovat podporu vracejícím se migrantům na hraničních přechodech a zlepšit zejména služby zdravotní péče pro matky a děti; vyzývá faktické orgány Afghánistánu, aby zrušily veškerá omezení přístupu k humanitární pomoci nebo její distribuce; odsuzuje jako zločin proti lidskosti úmyslné opuštění, k němuž afghánský režim odsoudil ženy a dívky jako oběti této tragédie;</w:t>
      </w:r>
    </w:p>
    <w:p w14:paraId="065E2D65" w14:textId="77777777" w:rsidR="000B0F2C" w:rsidRPr="00C47DF2" w:rsidRDefault="000B0F2C" w:rsidP="000B0F2C">
      <w:pPr>
        <w:pStyle w:val="NormalHanging12a"/>
      </w:pPr>
      <w:r w:rsidRPr="00C47DF2">
        <w:t>2.</w:t>
      </w:r>
      <w:r w:rsidRPr="00C47DF2">
        <w:tab/>
        <w:t xml:space="preserve">ostře odsuzuje represivní opatření, jako například nedávné rozhodnutí Tálibánu vypnout v celé zemi internet; opakuje, že tyto praktiky obyvatele Afghánistánu ještě více izolují, </w:t>
      </w:r>
      <w:r w:rsidRPr="00C47DF2">
        <w:lastRenderedPageBreak/>
        <w:t>a to zejména ženy, které využívají možnosti on-line vzdělávání, a mají negativní dopad na operace humanitární pomoci a již tak křehké hospodářství země; vyzývá faktické orgány, aby se v budoucnu těchto zásahů zdržely;</w:t>
      </w:r>
    </w:p>
    <w:p w14:paraId="66002B58" w14:textId="77777777" w:rsidR="000B0F2C" w:rsidRPr="00C47DF2" w:rsidRDefault="000B0F2C" w:rsidP="000B0F2C">
      <w:pPr>
        <w:pStyle w:val="NormalHanging12a"/>
        <w:rPr>
          <w:szCs w:val="18"/>
        </w:rPr>
      </w:pPr>
      <w:r w:rsidRPr="00C47DF2">
        <w:t>3.</w:t>
      </w:r>
      <w:r w:rsidRPr="00C47DF2">
        <w:tab/>
        <w:t>apeluje na mezinárodní společenství, aby koordinovalo poskytování a rozšiřování humanitární pomoci, činnosti v rámci obnovy infrastruktury a poskytování lékařské a psychologické podpory přeživším, včetně posttraumatické péče; žádá větší investice do odolnosti komunit, včetně bydlení odolného vůči zemětřesení, místních systémů zdravotní péče, potravinového zabezpečení a zdrojů obživy žen; vyzývá Komisi, aby urychleně zvýšila podporu poskytovanou Afghánistánu na zajišťování základních potřeb a zdrojů obživy jeho obyvatel a aby navýšila objem finančních prostředků poskytovaných z vnitrostátních rozpočtů; vyzývá Komisi, aby pokračovala v práci na propojení humanitární pomoci, rozvoje a míru; připomíná, že zhoršující se humanitární situace a mizivá perspektiva lepší budoucnosti mohou vést k rostoucí destabilizaci a radikalizaci, jakož i k vysídlování obyvatelstva uvnitř Afghánistánu i za jeho hranice; vítá záměr Komise vyjádřený v jejím návrhu „Globální Evropa“</w:t>
      </w:r>
      <w:r w:rsidRPr="00C47DF2">
        <w:rPr>
          <w:rStyle w:val="FootnoteReference"/>
        </w:rPr>
        <w:footnoteReference w:id="6"/>
      </w:r>
      <w:r w:rsidRPr="00C47DF2">
        <w:t xml:space="preserve"> zvýšit podporu EU na opatření v oblasti odolnosti a integrované reakce na nestabilitu a apeluje na Komisi a členské státy, aby v tomto ohledu zvýšily úroveň flexibilního víceletého financování; vybízí EU, aby zintenzivnila svou spolupráci s regionálními partnery a důvěryhodnými nevládními organizacemi, aby se Tálibán nemohl dostat k dodávkám humanitární pomoci, kdykoli je to možné zajistit;</w:t>
      </w:r>
    </w:p>
    <w:p w14:paraId="2F8BBCE4" w14:textId="77777777" w:rsidR="000B0F2C" w:rsidRPr="00C47DF2" w:rsidRDefault="000B0F2C" w:rsidP="000B0F2C">
      <w:pPr>
        <w:pStyle w:val="NormalHanging12a"/>
      </w:pPr>
      <w:r w:rsidRPr="00C47DF2">
        <w:t>4.</w:t>
      </w:r>
      <w:r w:rsidRPr="00C47DF2">
        <w:tab/>
        <w:t>s vážným znepokojením konstatuje, že do oblasti zasažené zemětřesením míří velké množství afghánských rodin, které se vracejí do zničených domovů a na zemědělskou půdu poté, co byly nuceně vyhoštěny z Íránu a Pákistánu; odsuzuje porušování lidských práv, k němuž během těchto deportací dochází; vyjadřuje velké znepokojení nad přetížením infrastruktury humanitární pomoci v těchto provinciích v důsledku této situace; vyzývá Írán a Pákistán, aby deportace do Afghánistánu okamžitě zastavily; zdůrazňuje v této souvislosti, že je důležité dodržovat zásadu nenavracení, zejména vzhledem k pokračujícímu konfliktu a nestabilitě v Afghánistánu a pronásledování etnických skupin, žen a politických oponentů;</w:t>
      </w:r>
    </w:p>
    <w:p w14:paraId="1EDA3C37" w14:textId="55473959" w:rsidR="000B0F2C" w:rsidRPr="00C23425" w:rsidRDefault="000B0F2C" w:rsidP="000B0F2C">
      <w:pPr>
        <w:pStyle w:val="NormalHanging12a"/>
        <w:rPr>
          <w:szCs w:val="18"/>
        </w:rPr>
      </w:pPr>
      <w:r w:rsidRPr="00C47DF2">
        <w:t>5.</w:t>
      </w:r>
      <w:r w:rsidRPr="00C47DF2">
        <w:tab/>
      </w:r>
      <w:r w:rsidR="002547ED" w:rsidRPr="00C23425">
        <w:t xml:space="preserve">konstatuje, že je vážně znepokojen </w:t>
      </w:r>
      <w:r w:rsidR="002547ED" w:rsidRPr="00265CD1">
        <w:t>situací afghánských</w:t>
      </w:r>
      <w:r w:rsidR="002547ED" w:rsidRPr="00C23425">
        <w:t xml:space="preserve"> obránců lidských práv, novinářů a dalších veřejně aktivních osobností, kteří se v </w:t>
      </w:r>
      <w:r w:rsidR="002547ED" w:rsidRPr="00265CD1">
        <w:t>uplynulém</w:t>
      </w:r>
      <w:r w:rsidR="002547ED" w:rsidRPr="00C23425">
        <w:t xml:space="preserve"> desetiletí snažili o rozvoj demokracie v Afghánistánu </w:t>
      </w:r>
      <w:r w:rsidR="002547ED" w:rsidRPr="00265CD1">
        <w:t>a kteří získali dokumenty umožňující jim dočasný</w:t>
      </w:r>
      <w:r w:rsidR="002547ED" w:rsidRPr="00C23425">
        <w:t xml:space="preserve"> pobyt v Pákistánu; vyzývá EU </w:t>
      </w:r>
      <w:r w:rsidR="002547ED" w:rsidRPr="00265CD1">
        <w:t>a její</w:t>
      </w:r>
      <w:r w:rsidR="002547ED" w:rsidRPr="00C23425">
        <w:t xml:space="preserve"> členské státy, aby </w:t>
      </w:r>
      <w:r w:rsidR="002547ED" w:rsidRPr="00265CD1">
        <w:t>těmto osobám v příslušných případech a pokud je to možné pomáhaly s procesem podávání žádostí</w:t>
      </w:r>
      <w:r w:rsidR="002547ED" w:rsidRPr="00C23425">
        <w:t>;</w:t>
      </w:r>
    </w:p>
    <w:p w14:paraId="3544C51A" w14:textId="77777777" w:rsidR="000B0F2C" w:rsidRPr="00C47DF2" w:rsidRDefault="000B0F2C" w:rsidP="000B0F2C">
      <w:pPr>
        <w:pStyle w:val="NormalHanging12a"/>
      </w:pPr>
      <w:r w:rsidRPr="00C47DF2">
        <w:t>6.</w:t>
      </w:r>
      <w:r w:rsidRPr="00C47DF2">
        <w:tab/>
        <w:t xml:space="preserve">důrazně odsuzuje řadu genderově podmíněných omezení a diskriminačních politik Tálibánu, které brání afghánským ženám v přístupu ke vzdělání, zdravotnické odborné přípravě, zdravotní péči a humanitární práci, čímž se vytváří genderový apartheid; vyzývá EU, aby podpořila uznání genderového apartheidu jako zločinu proti lidskosti; vyzývá faktické orgány Afghánistánu, aby zrušily veškerá omezení týkající se žen, a vyzývá k okamžitému obnovení plné, rovné a nikoli jen formální účasti žen a dívek na veřejném životě; znovu vyzývá EU a členské státy, aby přijaly veškerá nezbytná opatření, která afghánským ženám umožní fakticky se účastnit mezinárodních fór a jednání; konkrétně vyzývá faktické orgány, aby vzhledem k drastickému nedostatku </w:t>
      </w:r>
      <w:r w:rsidRPr="00C47DF2">
        <w:lastRenderedPageBreak/>
        <w:t>lékařského personálu v zemi znovu otevřely střediska lékařského vzdělávání pro ženy;</w:t>
      </w:r>
    </w:p>
    <w:p w14:paraId="2A4A35FC" w14:textId="77777777" w:rsidR="000B0F2C" w:rsidRPr="00C47DF2" w:rsidRDefault="000B0F2C" w:rsidP="000B0F2C">
      <w:pPr>
        <w:pStyle w:val="NormalHanging12a"/>
      </w:pPr>
      <w:r w:rsidRPr="00C47DF2">
        <w:t>7.</w:t>
      </w:r>
      <w:r w:rsidRPr="00C47DF2">
        <w:tab/>
        <w:t>vyzývá faktické orgány, aby okamžitě zrušily omezení týkající se humanitárních pracovnic a studentek, umožnily ženám plně se zapojit do příslušných činností v reakci na katastrofy a umožnily organizacím hájícím práva žen ve své práci v Afghánistánu pokračovat; konkrétně vyzývá orgány, aby okamžitě zrušily veškerá omezení týkající se žen pracujících pro organizace občanské společnosti, a to jak na místní, tak na mezinárodní úrovni, aby mohly ve své práci pokračovat;</w:t>
      </w:r>
    </w:p>
    <w:p w14:paraId="7C05DF95" w14:textId="77777777" w:rsidR="000B0F2C" w:rsidRPr="00C47DF2" w:rsidRDefault="000B0F2C" w:rsidP="000B0F2C">
      <w:pPr>
        <w:pStyle w:val="NormalHanging12a"/>
        <w:rPr>
          <w:szCs w:val="18"/>
        </w:rPr>
      </w:pPr>
      <w:r w:rsidRPr="00C47DF2">
        <w:t>8.</w:t>
      </w:r>
      <w:r w:rsidRPr="00C47DF2">
        <w:tab/>
        <w:t>odsuzuje přetrvávající násilí páchané na ženách v Afghánistánu, které zahrnuje i případy znásilnění a sexuálního násilí, nucených (dětských) sňatků, domácího násilí a mrzačení ženských pohlavních orgánů;</w:t>
      </w:r>
    </w:p>
    <w:p w14:paraId="085F4B92" w14:textId="77777777" w:rsidR="000B0F2C" w:rsidRPr="00C47DF2" w:rsidRDefault="000B0F2C" w:rsidP="000B0F2C">
      <w:pPr>
        <w:pStyle w:val="NormalHanging12a"/>
      </w:pPr>
      <w:r w:rsidRPr="00C47DF2">
        <w:t>9.</w:t>
      </w:r>
      <w:r w:rsidRPr="00C47DF2">
        <w:tab/>
        <w:t xml:space="preserve">opakuje, že Tálibán musí zabránit al-Káidě, </w:t>
      </w:r>
      <w:proofErr w:type="spellStart"/>
      <w:r w:rsidRPr="00C47DF2">
        <w:t>Dá’iš</w:t>
      </w:r>
      <w:proofErr w:type="spellEnd"/>
      <w:r w:rsidRPr="00C47DF2">
        <w:t>, ISIS-Chorásánu a dalším teroristickým skupinám a jednotlivcům v používání afghánského území k ohrožování nebo porušování bezpečnosti jakékoli jiné země, a že proto členy těchto skupin musí odmítat a bránit jim v náboru bojovníků a jejich výcviku nebo v získávání finančních prostředků; vyjadřuje znepokojení nad tím, že tyto závazky nejsou plněny; apeluje na všechny příslušné partnery, aby se více snažili o rozbití všech sítí financujících terorismus;</w:t>
      </w:r>
    </w:p>
    <w:p w14:paraId="4AE2DE01" w14:textId="77777777" w:rsidR="000B0F2C" w:rsidRPr="00C47DF2" w:rsidRDefault="000B0F2C" w:rsidP="000B0F2C">
      <w:pPr>
        <w:pStyle w:val="NormalHanging12a"/>
        <w:rPr>
          <w:szCs w:val="18"/>
        </w:rPr>
      </w:pPr>
      <w:r w:rsidRPr="00C47DF2">
        <w:t>10.</w:t>
      </w:r>
      <w:r w:rsidRPr="00C47DF2">
        <w:tab/>
        <w:t>vyzývá EU a členské státy, aby zvýšily tlak na Tálibán, mimo jiné prostřednictvím cílených sankcí, zmrazení majetku a zákazu cestování vedoucím představitelům Tálibánu odpovědným za systematické porušování lidských práv, a aby neobnovovaly diplomatické vztahy s Tálibánem v souladu s pěti kritérii stanovenými v závěrech Rady o Afghánistánu ze září 2021;</w:t>
      </w:r>
    </w:p>
    <w:p w14:paraId="7C6BAE84" w14:textId="77777777" w:rsidR="000B0F2C" w:rsidRDefault="000B0F2C" w:rsidP="000B0F2C">
      <w:pPr>
        <w:pStyle w:val="NormalHanging12a"/>
      </w:pPr>
      <w:r w:rsidRPr="00C47DF2">
        <w:t>11.</w:t>
      </w:r>
      <w:r w:rsidRPr="00C47DF2">
        <w:tab/>
        <w:t xml:space="preserve">vyzývá mezinárodní společenství, aby pohnalo Tálibán k odpovědnosti, mimo jiné na základě nezávislého vyšetřovacího mechanismu OSN pro Afghánistán, a aby vykonalo zatýkací rozkazy Mezinárodního trestního soudu vydané v červenci 2025 na nejvyššího vůdce Tálibánu </w:t>
      </w:r>
      <w:proofErr w:type="spellStart"/>
      <w:r w:rsidRPr="00C47DF2">
        <w:t>Hajbatulláha</w:t>
      </w:r>
      <w:proofErr w:type="spellEnd"/>
      <w:r w:rsidRPr="00C47DF2">
        <w:t xml:space="preserve"> </w:t>
      </w:r>
      <w:proofErr w:type="spellStart"/>
      <w:r w:rsidRPr="00C47DF2">
        <w:t>Achúndzádu</w:t>
      </w:r>
      <w:proofErr w:type="spellEnd"/>
      <w:r w:rsidRPr="00C47DF2">
        <w:t xml:space="preserve"> a nejvyššího soudce Tálibánu Abdula Hakima </w:t>
      </w:r>
      <w:proofErr w:type="spellStart"/>
      <w:r w:rsidRPr="00C47DF2">
        <w:t>Haqqaniho</w:t>
      </w:r>
      <w:proofErr w:type="spellEnd"/>
      <w:r w:rsidRPr="00C47DF2">
        <w:t xml:space="preserve"> pro spáchání zločinů proti lidskosti souvisejících s pronásledováním žen a dívek; vyjadřuje svou podporu probíhajícímu vyšetřování případů pronásledování na základě pohlaví a dalšího porušování lidských práv;</w:t>
      </w:r>
    </w:p>
    <w:p w14:paraId="2F40D840" w14:textId="5250C49B" w:rsidR="002547ED" w:rsidRPr="00C23425" w:rsidRDefault="002547ED" w:rsidP="000B0F2C">
      <w:pPr>
        <w:pStyle w:val="NormalHanging12a"/>
        <w:rPr>
          <w:bCs/>
          <w:iCs/>
        </w:rPr>
      </w:pPr>
      <w:r w:rsidRPr="00265CD1">
        <w:rPr>
          <w:bCs/>
          <w:iCs/>
        </w:rPr>
        <w:t>12.</w:t>
      </w:r>
      <w:r w:rsidRPr="00265CD1">
        <w:rPr>
          <w:bCs/>
          <w:iCs/>
        </w:rPr>
        <w:tab/>
        <w:t>oceňuje vytvoření nezávislého vyšetřovacího mechanismu pro Afghánistán, který bude reagovat na požadavky afghánských obětí a který bude pro afghánský lid trpící mezinárodními zločiny a porušováním mezinárodního práva v zemi představovat významný milník na cestě k pravdě, spravedlnosti a stíhání viníků; vítá rovněž obnovení mandátu zvláštního zpravodaje OSN a opakuje jeho výzvu ke stíhání odpovědných osob;</w:t>
      </w:r>
    </w:p>
    <w:p w14:paraId="4A12FC35" w14:textId="7E55C300" w:rsidR="00C47DF2" w:rsidRPr="00C47DF2" w:rsidRDefault="002547ED" w:rsidP="00C47DF2">
      <w:pPr>
        <w:pStyle w:val="NormalHanging12a"/>
      </w:pPr>
      <w:r w:rsidRPr="00C47DF2">
        <w:t>1</w:t>
      </w:r>
      <w:r>
        <w:t>3</w:t>
      </w:r>
      <w:r w:rsidR="000B0F2C" w:rsidRPr="00C47DF2">
        <w:t>.</w:t>
      </w:r>
      <w:r w:rsidR="000B0F2C" w:rsidRPr="00C47DF2">
        <w:tab/>
        <w:t>pověřuje svou předsedkyni, aby předala toto usnesení Radě, Komisi, místopředsedkyni Komise, vysoké představitelce Unie pro zahraniční věci a bezpečnostní politiku, vládám a parlamentům členských států, zvláštnímu vyslanci EU pro Afghánistán a faktickým orgánům Afghánistánu.</w:t>
      </w:r>
    </w:p>
    <w:p w14:paraId="49713B21" w14:textId="3A76E0D2" w:rsidR="00E365E1" w:rsidRPr="00C47DF2" w:rsidRDefault="00E365E1" w:rsidP="00A9254A"/>
    <w:sectPr w:rsidR="00E365E1" w:rsidRPr="00C47DF2" w:rsidSect="00C47D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278C4" w14:textId="77777777" w:rsidR="00A9254A" w:rsidRPr="00C47DF2" w:rsidRDefault="00A9254A">
      <w:r w:rsidRPr="00C47DF2">
        <w:separator/>
      </w:r>
    </w:p>
  </w:endnote>
  <w:endnote w:type="continuationSeparator" w:id="0">
    <w:p w14:paraId="3F4BAE52" w14:textId="77777777" w:rsidR="00A9254A" w:rsidRPr="00C47DF2" w:rsidRDefault="00A9254A">
      <w:r w:rsidRPr="00C47D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104DC" w14:textId="77777777" w:rsidR="00064002" w:rsidRPr="00C47DF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974EB" w14:textId="77777777" w:rsidR="00064002" w:rsidRPr="00C47DF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536E0" w14:textId="77777777" w:rsidR="00064002" w:rsidRPr="00C47D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D3850" w14:textId="77777777" w:rsidR="00A9254A" w:rsidRPr="00C47DF2" w:rsidRDefault="00A9254A">
      <w:r w:rsidRPr="00C47DF2">
        <w:separator/>
      </w:r>
    </w:p>
  </w:footnote>
  <w:footnote w:type="continuationSeparator" w:id="0">
    <w:p w14:paraId="58CB11D1" w14:textId="77777777" w:rsidR="00A9254A" w:rsidRPr="00C47DF2" w:rsidRDefault="00A9254A">
      <w:r w:rsidRPr="00C47DF2">
        <w:continuationSeparator/>
      </w:r>
    </w:p>
  </w:footnote>
  <w:footnote w:id="1">
    <w:p w14:paraId="1299B701" w14:textId="114408EB" w:rsidR="000B0F2C" w:rsidRPr="00C47DF2" w:rsidRDefault="000B0F2C" w:rsidP="00C47DF2">
      <w:pPr>
        <w:pStyle w:val="FootnoteText"/>
        <w:ind w:left="567" w:hanging="567"/>
        <w:rPr>
          <w:sz w:val="24"/>
          <w:lang w:val="cs-CZ"/>
        </w:rPr>
      </w:pPr>
      <w:r w:rsidRPr="00C47DF2">
        <w:rPr>
          <w:rStyle w:val="FootnoteReference"/>
          <w:sz w:val="24"/>
          <w:lang w:val="cs-CZ"/>
        </w:rPr>
        <w:footnoteRef/>
      </w:r>
      <w:r w:rsidR="00C47DF2" w:rsidRPr="00C47DF2">
        <w:rPr>
          <w:sz w:val="24"/>
          <w:lang w:val="cs-CZ"/>
        </w:rPr>
        <w:t xml:space="preserve"> </w:t>
      </w:r>
      <w:r w:rsidR="00C47DF2" w:rsidRPr="00C47DF2">
        <w:rPr>
          <w:sz w:val="24"/>
          <w:lang w:val="cs-CZ"/>
        </w:rPr>
        <w:tab/>
      </w:r>
      <w:proofErr w:type="spellStart"/>
      <w:r w:rsidRPr="00C47DF2">
        <w:rPr>
          <w:sz w:val="24"/>
          <w:lang w:val="cs-CZ"/>
        </w:rPr>
        <w:t>Úř</w:t>
      </w:r>
      <w:proofErr w:type="spellEnd"/>
      <w:r w:rsidRPr="00C47DF2">
        <w:rPr>
          <w:sz w:val="24"/>
          <w:lang w:val="cs-CZ"/>
        </w:rPr>
        <w:t xml:space="preserve">. </w:t>
      </w:r>
      <w:proofErr w:type="spellStart"/>
      <w:r w:rsidRPr="00C47DF2">
        <w:rPr>
          <w:sz w:val="24"/>
          <w:lang w:val="cs-CZ"/>
        </w:rPr>
        <w:t>věst</w:t>
      </w:r>
      <w:proofErr w:type="spellEnd"/>
      <w:r w:rsidRPr="00C47DF2">
        <w:rPr>
          <w:sz w:val="24"/>
          <w:lang w:val="cs-CZ"/>
        </w:rPr>
        <w:t xml:space="preserve">. C, C/2024/7211, 10.12.2024, ELI: </w:t>
      </w:r>
      <w:hyperlink r:id="rId1" w:history="1">
        <w:r w:rsidRPr="00C47DF2">
          <w:rPr>
            <w:rStyle w:val="Hyperlink"/>
            <w:sz w:val="24"/>
            <w:lang w:val="cs-CZ"/>
          </w:rPr>
          <w:t>http://data.europa.eu/eli/C/2024/7211/oj</w:t>
        </w:r>
      </w:hyperlink>
      <w:r w:rsidRPr="00C47DF2">
        <w:rPr>
          <w:sz w:val="24"/>
          <w:lang w:val="cs-CZ"/>
        </w:rPr>
        <w:t>.</w:t>
      </w:r>
    </w:p>
  </w:footnote>
  <w:footnote w:id="2">
    <w:p w14:paraId="2E0E55F7" w14:textId="5881220E" w:rsidR="000B0F2C" w:rsidRPr="00C47DF2" w:rsidRDefault="000B0F2C" w:rsidP="00C47DF2">
      <w:pPr>
        <w:pStyle w:val="FootnoteText"/>
        <w:ind w:left="567" w:hanging="567"/>
        <w:rPr>
          <w:sz w:val="24"/>
          <w:lang w:val="cs-CZ"/>
        </w:rPr>
      </w:pPr>
      <w:r w:rsidRPr="00C47DF2">
        <w:rPr>
          <w:rStyle w:val="FootnoteReference"/>
          <w:sz w:val="24"/>
          <w:lang w:val="cs-CZ"/>
        </w:rPr>
        <w:footnoteRef/>
      </w:r>
      <w:r w:rsidR="00C47DF2" w:rsidRPr="00C47DF2">
        <w:rPr>
          <w:sz w:val="24"/>
          <w:lang w:val="cs-CZ"/>
        </w:rPr>
        <w:t xml:space="preserve"> </w:t>
      </w:r>
      <w:r w:rsidR="00C47DF2" w:rsidRPr="00C47DF2">
        <w:rPr>
          <w:sz w:val="24"/>
          <w:lang w:val="cs-CZ"/>
        </w:rPr>
        <w:tab/>
      </w:r>
      <w:r w:rsidRPr="00C47DF2">
        <w:rPr>
          <w:sz w:val="24"/>
          <w:lang w:val="cs-CZ"/>
        </w:rPr>
        <w:t xml:space="preserve">Rozsudek Soudního dvora ze dne 4. října 2024 ve věci AH, </w:t>
      </w:r>
      <w:r w:rsidRPr="00C47DF2">
        <w:rPr>
          <w:i/>
          <w:iCs/>
          <w:sz w:val="24"/>
          <w:lang w:val="cs-CZ"/>
        </w:rPr>
        <w:t xml:space="preserve">FN v. </w:t>
      </w:r>
      <w:proofErr w:type="spellStart"/>
      <w:r w:rsidRPr="00C47DF2">
        <w:rPr>
          <w:i/>
          <w:iCs/>
          <w:sz w:val="24"/>
          <w:lang w:val="cs-CZ"/>
        </w:rPr>
        <w:t>Bundesamt</w:t>
      </w:r>
      <w:proofErr w:type="spellEnd"/>
      <w:r w:rsidRPr="00C47DF2">
        <w:rPr>
          <w:i/>
          <w:iCs/>
          <w:sz w:val="24"/>
          <w:lang w:val="cs-CZ"/>
        </w:rPr>
        <w:t xml:space="preserve"> </w:t>
      </w:r>
      <w:proofErr w:type="spellStart"/>
      <w:r w:rsidRPr="00C47DF2">
        <w:rPr>
          <w:i/>
          <w:iCs/>
          <w:sz w:val="24"/>
          <w:lang w:val="cs-CZ"/>
        </w:rPr>
        <w:t>für</w:t>
      </w:r>
      <w:proofErr w:type="spellEnd"/>
      <w:r w:rsidRPr="00C47DF2">
        <w:rPr>
          <w:i/>
          <w:iCs/>
          <w:sz w:val="24"/>
          <w:lang w:val="cs-CZ"/>
        </w:rPr>
        <w:t xml:space="preserve"> </w:t>
      </w:r>
      <w:proofErr w:type="spellStart"/>
      <w:r w:rsidRPr="00C47DF2">
        <w:rPr>
          <w:i/>
          <w:iCs/>
          <w:sz w:val="24"/>
          <w:lang w:val="cs-CZ"/>
        </w:rPr>
        <w:t>Fremdenwesen</w:t>
      </w:r>
      <w:proofErr w:type="spellEnd"/>
      <w:r w:rsidRPr="00C47DF2">
        <w:rPr>
          <w:i/>
          <w:iCs/>
          <w:sz w:val="24"/>
          <w:lang w:val="cs-CZ"/>
        </w:rPr>
        <w:t xml:space="preserve"> </w:t>
      </w:r>
      <w:proofErr w:type="spellStart"/>
      <w:r w:rsidRPr="00C47DF2">
        <w:rPr>
          <w:i/>
          <w:iCs/>
          <w:sz w:val="24"/>
          <w:lang w:val="cs-CZ"/>
        </w:rPr>
        <w:t>und</w:t>
      </w:r>
      <w:proofErr w:type="spellEnd"/>
      <w:r w:rsidRPr="00C47DF2">
        <w:rPr>
          <w:i/>
          <w:iCs/>
          <w:sz w:val="24"/>
          <w:lang w:val="cs-CZ"/>
        </w:rPr>
        <w:t xml:space="preserve"> Asyl</w:t>
      </w:r>
      <w:r w:rsidRPr="00C47DF2">
        <w:rPr>
          <w:sz w:val="24"/>
          <w:lang w:val="cs-CZ"/>
        </w:rPr>
        <w:t>, C‑609/22, ECLI:EU:C:2024:828.</w:t>
      </w:r>
    </w:p>
  </w:footnote>
  <w:footnote w:id="3">
    <w:p w14:paraId="7704ABD6" w14:textId="5AA5DF25" w:rsidR="000B0F2C" w:rsidRPr="00C47DF2" w:rsidRDefault="000B0F2C" w:rsidP="00C47DF2">
      <w:pPr>
        <w:pStyle w:val="FootnoteText"/>
        <w:ind w:left="567" w:hanging="567"/>
        <w:rPr>
          <w:sz w:val="24"/>
          <w:lang w:val="cs-CZ"/>
        </w:rPr>
      </w:pPr>
      <w:r w:rsidRPr="00C47DF2">
        <w:rPr>
          <w:rStyle w:val="FootnoteReference"/>
          <w:sz w:val="24"/>
          <w:lang w:val="cs-CZ"/>
        </w:rPr>
        <w:footnoteRef/>
      </w:r>
      <w:r w:rsidR="00C47DF2" w:rsidRPr="00C47DF2">
        <w:rPr>
          <w:sz w:val="24"/>
          <w:lang w:val="cs-CZ"/>
        </w:rPr>
        <w:t xml:space="preserve"> </w:t>
      </w:r>
      <w:r w:rsidR="00C47DF2" w:rsidRPr="00C47DF2">
        <w:rPr>
          <w:sz w:val="24"/>
          <w:lang w:val="cs-CZ"/>
        </w:rPr>
        <w:tab/>
      </w:r>
      <w:proofErr w:type="spellStart"/>
      <w:r w:rsidRPr="00C47DF2">
        <w:rPr>
          <w:sz w:val="24"/>
          <w:lang w:val="cs-CZ"/>
        </w:rPr>
        <w:t>Úř</w:t>
      </w:r>
      <w:proofErr w:type="spellEnd"/>
      <w:r w:rsidRPr="00C47DF2">
        <w:rPr>
          <w:sz w:val="24"/>
          <w:lang w:val="cs-CZ"/>
        </w:rPr>
        <w:t xml:space="preserve">. </w:t>
      </w:r>
      <w:proofErr w:type="spellStart"/>
      <w:r w:rsidRPr="00C47DF2">
        <w:rPr>
          <w:sz w:val="24"/>
          <w:lang w:val="cs-CZ"/>
        </w:rPr>
        <w:t>věst</w:t>
      </w:r>
      <w:proofErr w:type="spellEnd"/>
      <w:r w:rsidRPr="00C47DF2">
        <w:rPr>
          <w:sz w:val="24"/>
          <w:lang w:val="cs-CZ"/>
        </w:rPr>
        <w:t xml:space="preserve">. L 67, 14.3.2017, s. 3, ELI: </w:t>
      </w:r>
      <w:hyperlink r:id="rId2" w:history="1">
        <w:r w:rsidRPr="00C47DF2">
          <w:rPr>
            <w:rStyle w:val="Hyperlink"/>
            <w:sz w:val="24"/>
            <w:lang w:val="cs-CZ"/>
          </w:rPr>
          <w:t>http://data.europa.eu/eli/agree_internation/2017/434/oj</w:t>
        </w:r>
      </w:hyperlink>
      <w:r w:rsidRPr="00C47DF2">
        <w:rPr>
          <w:sz w:val="24"/>
          <w:lang w:val="cs-CZ"/>
        </w:rPr>
        <w:t>.</w:t>
      </w:r>
    </w:p>
  </w:footnote>
  <w:footnote w:id="4">
    <w:p w14:paraId="0941190C" w14:textId="286E7C5D" w:rsidR="000B0F2C" w:rsidRPr="00C47DF2" w:rsidRDefault="000B0F2C" w:rsidP="00C47DF2">
      <w:pPr>
        <w:pStyle w:val="FootnoteText"/>
        <w:ind w:left="567" w:hanging="567"/>
        <w:rPr>
          <w:sz w:val="24"/>
          <w:lang w:val="cs-CZ"/>
        </w:rPr>
      </w:pPr>
      <w:r w:rsidRPr="00C47DF2">
        <w:rPr>
          <w:rStyle w:val="FootnoteReference"/>
          <w:sz w:val="24"/>
          <w:lang w:val="cs-CZ"/>
        </w:rPr>
        <w:footnoteRef/>
      </w:r>
      <w:r w:rsidR="00C47DF2" w:rsidRPr="00C47DF2">
        <w:rPr>
          <w:sz w:val="24"/>
          <w:lang w:val="cs-CZ"/>
        </w:rPr>
        <w:t xml:space="preserve"> </w:t>
      </w:r>
      <w:r w:rsidR="00C47DF2" w:rsidRPr="00C47DF2">
        <w:rPr>
          <w:sz w:val="24"/>
          <w:lang w:val="cs-CZ"/>
        </w:rPr>
        <w:tab/>
      </w:r>
      <w:r w:rsidRPr="00C47DF2">
        <w:rPr>
          <w:sz w:val="24"/>
          <w:lang w:val="cs-CZ"/>
        </w:rPr>
        <w:t xml:space="preserve">Rozsudek Soudního dvora ze dne 16. ledna 2024 ve věci </w:t>
      </w:r>
      <w:r w:rsidRPr="00C47DF2">
        <w:rPr>
          <w:i/>
          <w:iCs/>
          <w:sz w:val="24"/>
          <w:lang w:val="cs-CZ"/>
        </w:rPr>
        <w:t xml:space="preserve">WS v. </w:t>
      </w:r>
      <w:proofErr w:type="spellStart"/>
      <w:r w:rsidRPr="00C47DF2">
        <w:rPr>
          <w:i/>
          <w:iCs/>
          <w:sz w:val="24"/>
          <w:lang w:val="cs-CZ"/>
        </w:rPr>
        <w:t>Intervyuirasht</w:t>
      </w:r>
      <w:proofErr w:type="spellEnd"/>
      <w:r w:rsidRPr="00C47DF2">
        <w:rPr>
          <w:i/>
          <w:iCs/>
          <w:sz w:val="24"/>
          <w:lang w:val="cs-CZ"/>
        </w:rPr>
        <w:t xml:space="preserve"> organ na </w:t>
      </w:r>
      <w:proofErr w:type="spellStart"/>
      <w:r w:rsidRPr="00C47DF2">
        <w:rPr>
          <w:i/>
          <w:iCs/>
          <w:sz w:val="24"/>
          <w:lang w:val="cs-CZ"/>
        </w:rPr>
        <w:t>Darzhavna</w:t>
      </w:r>
      <w:proofErr w:type="spellEnd"/>
      <w:r w:rsidRPr="00C47DF2">
        <w:rPr>
          <w:i/>
          <w:iCs/>
          <w:sz w:val="24"/>
          <w:lang w:val="cs-CZ"/>
        </w:rPr>
        <w:t xml:space="preserve"> </w:t>
      </w:r>
      <w:proofErr w:type="spellStart"/>
      <w:r w:rsidRPr="00C47DF2">
        <w:rPr>
          <w:i/>
          <w:iCs/>
          <w:sz w:val="24"/>
          <w:lang w:val="cs-CZ"/>
        </w:rPr>
        <w:t>agentsia</w:t>
      </w:r>
      <w:proofErr w:type="spellEnd"/>
      <w:r w:rsidRPr="00C47DF2">
        <w:rPr>
          <w:i/>
          <w:iCs/>
          <w:sz w:val="24"/>
          <w:lang w:val="cs-CZ"/>
        </w:rPr>
        <w:t xml:space="preserve"> za </w:t>
      </w:r>
      <w:proofErr w:type="spellStart"/>
      <w:r w:rsidRPr="00C47DF2">
        <w:rPr>
          <w:i/>
          <w:iCs/>
          <w:sz w:val="24"/>
          <w:lang w:val="cs-CZ"/>
        </w:rPr>
        <w:t>bezhantsite</w:t>
      </w:r>
      <w:proofErr w:type="spellEnd"/>
      <w:r w:rsidRPr="00C47DF2">
        <w:rPr>
          <w:i/>
          <w:iCs/>
          <w:sz w:val="24"/>
          <w:lang w:val="cs-CZ"/>
        </w:rPr>
        <w:t xml:space="preserve"> </w:t>
      </w:r>
      <w:proofErr w:type="spellStart"/>
      <w:r w:rsidRPr="00C47DF2">
        <w:rPr>
          <w:i/>
          <w:iCs/>
          <w:sz w:val="24"/>
          <w:lang w:val="cs-CZ"/>
        </w:rPr>
        <w:t>pri</w:t>
      </w:r>
      <w:proofErr w:type="spellEnd"/>
      <w:r w:rsidRPr="00C47DF2">
        <w:rPr>
          <w:i/>
          <w:iCs/>
          <w:sz w:val="24"/>
          <w:lang w:val="cs-CZ"/>
        </w:rPr>
        <w:t xml:space="preserve"> </w:t>
      </w:r>
      <w:proofErr w:type="spellStart"/>
      <w:r w:rsidRPr="00C47DF2">
        <w:rPr>
          <w:i/>
          <w:iCs/>
          <w:sz w:val="24"/>
          <w:lang w:val="cs-CZ"/>
        </w:rPr>
        <w:t>Ministerskia</w:t>
      </w:r>
      <w:proofErr w:type="spellEnd"/>
      <w:r w:rsidRPr="00C47DF2">
        <w:rPr>
          <w:i/>
          <w:iCs/>
          <w:sz w:val="24"/>
          <w:lang w:val="cs-CZ"/>
        </w:rPr>
        <w:t xml:space="preserve"> </w:t>
      </w:r>
      <w:proofErr w:type="spellStart"/>
      <w:r w:rsidRPr="00C47DF2">
        <w:rPr>
          <w:i/>
          <w:iCs/>
          <w:sz w:val="24"/>
          <w:lang w:val="cs-CZ"/>
        </w:rPr>
        <w:t>savet</w:t>
      </w:r>
      <w:proofErr w:type="spellEnd"/>
      <w:r w:rsidRPr="00C47DF2">
        <w:rPr>
          <w:sz w:val="24"/>
          <w:lang w:val="cs-CZ"/>
        </w:rPr>
        <w:t>, věc C-621/21, ECLI:EU:C:2024:47.</w:t>
      </w:r>
    </w:p>
  </w:footnote>
  <w:footnote w:id="5">
    <w:p w14:paraId="216A8ED8" w14:textId="31A5C12C" w:rsidR="000B0F2C" w:rsidRPr="00C47DF2" w:rsidRDefault="000B0F2C" w:rsidP="00C47DF2">
      <w:pPr>
        <w:pStyle w:val="FootnoteText"/>
        <w:ind w:left="567" w:hanging="567"/>
        <w:rPr>
          <w:sz w:val="24"/>
          <w:lang w:val="cs-CZ"/>
        </w:rPr>
      </w:pPr>
      <w:r w:rsidRPr="00C47DF2">
        <w:rPr>
          <w:rStyle w:val="FootnoteReference"/>
          <w:sz w:val="24"/>
          <w:lang w:val="cs-CZ"/>
        </w:rPr>
        <w:footnoteRef/>
      </w:r>
      <w:r w:rsidR="00C47DF2" w:rsidRPr="00C47DF2">
        <w:rPr>
          <w:sz w:val="24"/>
          <w:lang w:val="cs-CZ"/>
        </w:rPr>
        <w:t xml:space="preserve"> </w:t>
      </w:r>
      <w:r w:rsidR="00C47DF2" w:rsidRPr="00C47DF2">
        <w:rPr>
          <w:sz w:val="24"/>
          <w:lang w:val="cs-CZ"/>
        </w:rPr>
        <w:tab/>
      </w:r>
      <w:r w:rsidRPr="00C47DF2">
        <w:rPr>
          <w:sz w:val="24"/>
          <w:lang w:val="cs-CZ"/>
        </w:rPr>
        <w:t xml:space="preserve">Rozsudek Soudního dvora ze dne 16. ledna 2024 ve věci </w:t>
      </w:r>
      <w:r w:rsidRPr="00C47DF2">
        <w:rPr>
          <w:i/>
          <w:iCs/>
          <w:sz w:val="24"/>
          <w:lang w:val="cs-CZ"/>
        </w:rPr>
        <w:t xml:space="preserve">WS v. </w:t>
      </w:r>
      <w:proofErr w:type="spellStart"/>
      <w:r w:rsidRPr="00C47DF2">
        <w:rPr>
          <w:i/>
          <w:iCs/>
          <w:sz w:val="24"/>
          <w:lang w:val="cs-CZ"/>
        </w:rPr>
        <w:t>Intervyuirasht</w:t>
      </w:r>
      <w:proofErr w:type="spellEnd"/>
      <w:r w:rsidRPr="00C47DF2">
        <w:rPr>
          <w:i/>
          <w:iCs/>
          <w:sz w:val="24"/>
          <w:lang w:val="cs-CZ"/>
        </w:rPr>
        <w:t xml:space="preserve"> organ na </w:t>
      </w:r>
      <w:proofErr w:type="spellStart"/>
      <w:r w:rsidRPr="00C47DF2">
        <w:rPr>
          <w:i/>
          <w:iCs/>
          <w:sz w:val="24"/>
          <w:lang w:val="cs-CZ"/>
        </w:rPr>
        <w:t>Darzhavna</w:t>
      </w:r>
      <w:proofErr w:type="spellEnd"/>
      <w:r w:rsidRPr="00C47DF2">
        <w:rPr>
          <w:i/>
          <w:iCs/>
          <w:sz w:val="24"/>
          <w:lang w:val="cs-CZ"/>
        </w:rPr>
        <w:t xml:space="preserve"> </w:t>
      </w:r>
      <w:proofErr w:type="spellStart"/>
      <w:r w:rsidRPr="00C47DF2">
        <w:rPr>
          <w:i/>
          <w:iCs/>
          <w:sz w:val="24"/>
          <w:lang w:val="cs-CZ"/>
        </w:rPr>
        <w:t>agentsia</w:t>
      </w:r>
      <w:proofErr w:type="spellEnd"/>
      <w:r w:rsidRPr="00C47DF2">
        <w:rPr>
          <w:i/>
          <w:iCs/>
          <w:sz w:val="24"/>
          <w:lang w:val="cs-CZ"/>
        </w:rPr>
        <w:t xml:space="preserve"> za </w:t>
      </w:r>
      <w:proofErr w:type="spellStart"/>
      <w:r w:rsidRPr="00C47DF2">
        <w:rPr>
          <w:i/>
          <w:iCs/>
          <w:sz w:val="24"/>
          <w:lang w:val="cs-CZ"/>
        </w:rPr>
        <w:t>bezhantsite</w:t>
      </w:r>
      <w:proofErr w:type="spellEnd"/>
      <w:r w:rsidRPr="00C47DF2">
        <w:rPr>
          <w:i/>
          <w:iCs/>
          <w:sz w:val="24"/>
          <w:lang w:val="cs-CZ"/>
        </w:rPr>
        <w:t xml:space="preserve"> </w:t>
      </w:r>
      <w:proofErr w:type="spellStart"/>
      <w:r w:rsidRPr="00C47DF2">
        <w:rPr>
          <w:i/>
          <w:iCs/>
          <w:sz w:val="24"/>
          <w:lang w:val="cs-CZ"/>
        </w:rPr>
        <w:t>pri</w:t>
      </w:r>
      <w:proofErr w:type="spellEnd"/>
      <w:r w:rsidRPr="00C47DF2">
        <w:rPr>
          <w:i/>
          <w:iCs/>
          <w:sz w:val="24"/>
          <w:lang w:val="cs-CZ"/>
        </w:rPr>
        <w:t xml:space="preserve"> </w:t>
      </w:r>
      <w:proofErr w:type="spellStart"/>
      <w:r w:rsidRPr="00C47DF2">
        <w:rPr>
          <w:i/>
          <w:iCs/>
          <w:sz w:val="24"/>
          <w:lang w:val="cs-CZ"/>
        </w:rPr>
        <w:t>Ministerskia</w:t>
      </w:r>
      <w:proofErr w:type="spellEnd"/>
      <w:r w:rsidRPr="00C47DF2">
        <w:rPr>
          <w:i/>
          <w:iCs/>
          <w:sz w:val="24"/>
          <w:lang w:val="cs-CZ"/>
        </w:rPr>
        <w:t xml:space="preserve"> </w:t>
      </w:r>
      <w:proofErr w:type="spellStart"/>
      <w:r w:rsidRPr="00C47DF2">
        <w:rPr>
          <w:i/>
          <w:iCs/>
          <w:sz w:val="24"/>
          <w:lang w:val="cs-CZ"/>
        </w:rPr>
        <w:t>savet</w:t>
      </w:r>
      <w:proofErr w:type="spellEnd"/>
      <w:r w:rsidRPr="00C47DF2">
        <w:rPr>
          <w:sz w:val="24"/>
          <w:lang w:val="cs-CZ"/>
        </w:rPr>
        <w:t xml:space="preserve">, věc C-621/21, ECLI:EU:C:2024:47; Rozsudek Soudního dvora ze dne 11. června 2024 ve věci </w:t>
      </w:r>
      <w:r w:rsidRPr="00C47DF2">
        <w:rPr>
          <w:i/>
          <w:iCs/>
          <w:sz w:val="24"/>
          <w:lang w:val="cs-CZ"/>
        </w:rPr>
        <w:t xml:space="preserve">K, L v. </w:t>
      </w:r>
      <w:proofErr w:type="spellStart"/>
      <w:r w:rsidRPr="00C47DF2">
        <w:rPr>
          <w:i/>
          <w:iCs/>
          <w:sz w:val="24"/>
          <w:lang w:val="cs-CZ"/>
        </w:rPr>
        <w:t>Staatssecretaris</w:t>
      </w:r>
      <w:proofErr w:type="spellEnd"/>
      <w:r w:rsidRPr="00C47DF2">
        <w:rPr>
          <w:i/>
          <w:iCs/>
          <w:sz w:val="24"/>
          <w:lang w:val="cs-CZ"/>
        </w:rPr>
        <w:t xml:space="preserve"> van </w:t>
      </w:r>
      <w:proofErr w:type="spellStart"/>
      <w:r w:rsidRPr="00C47DF2">
        <w:rPr>
          <w:i/>
          <w:iCs/>
          <w:sz w:val="24"/>
          <w:lang w:val="cs-CZ"/>
        </w:rPr>
        <w:t>Justitie</w:t>
      </w:r>
      <w:proofErr w:type="spellEnd"/>
      <w:r w:rsidRPr="00C47DF2">
        <w:rPr>
          <w:i/>
          <w:iCs/>
          <w:sz w:val="24"/>
          <w:lang w:val="cs-CZ"/>
        </w:rPr>
        <w:t xml:space="preserve"> en </w:t>
      </w:r>
      <w:proofErr w:type="spellStart"/>
      <w:r w:rsidRPr="00C47DF2">
        <w:rPr>
          <w:i/>
          <w:iCs/>
          <w:sz w:val="24"/>
          <w:lang w:val="cs-CZ"/>
        </w:rPr>
        <w:t>Veiligheid</w:t>
      </w:r>
      <w:proofErr w:type="spellEnd"/>
      <w:r w:rsidRPr="00C47DF2">
        <w:rPr>
          <w:sz w:val="24"/>
          <w:lang w:val="cs-CZ"/>
        </w:rPr>
        <w:t xml:space="preserve">, C‑646/21, ECLI:EU:C:2024:487; Rozsudek Soudního dvora ze dne 4. října 2024 ve věci </w:t>
      </w:r>
      <w:r w:rsidRPr="00C47DF2">
        <w:rPr>
          <w:i/>
          <w:iCs/>
          <w:sz w:val="24"/>
          <w:lang w:val="cs-CZ"/>
        </w:rPr>
        <w:t xml:space="preserve">AH, FN v </w:t>
      </w:r>
      <w:proofErr w:type="spellStart"/>
      <w:r w:rsidRPr="00C47DF2">
        <w:rPr>
          <w:i/>
          <w:iCs/>
          <w:sz w:val="24"/>
          <w:lang w:val="cs-CZ"/>
        </w:rPr>
        <w:t>Bundesamt</w:t>
      </w:r>
      <w:proofErr w:type="spellEnd"/>
      <w:r w:rsidRPr="00C47DF2">
        <w:rPr>
          <w:i/>
          <w:iCs/>
          <w:sz w:val="24"/>
          <w:lang w:val="cs-CZ"/>
        </w:rPr>
        <w:t xml:space="preserve"> </w:t>
      </w:r>
      <w:proofErr w:type="spellStart"/>
      <w:r w:rsidRPr="00C47DF2">
        <w:rPr>
          <w:i/>
          <w:iCs/>
          <w:sz w:val="24"/>
          <w:lang w:val="cs-CZ"/>
        </w:rPr>
        <w:t>für</w:t>
      </w:r>
      <w:proofErr w:type="spellEnd"/>
      <w:r w:rsidRPr="00C47DF2">
        <w:rPr>
          <w:i/>
          <w:iCs/>
          <w:sz w:val="24"/>
          <w:lang w:val="cs-CZ"/>
        </w:rPr>
        <w:t xml:space="preserve"> </w:t>
      </w:r>
      <w:proofErr w:type="spellStart"/>
      <w:r w:rsidRPr="00C47DF2">
        <w:rPr>
          <w:i/>
          <w:iCs/>
          <w:sz w:val="24"/>
          <w:lang w:val="cs-CZ"/>
        </w:rPr>
        <w:t>Fremdenwesen</w:t>
      </w:r>
      <w:proofErr w:type="spellEnd"/>
      <w:r w:rsidRPr="00C47DF2">
        <w:rPr>
          <w:i/>
          <w:iCs/>
          <w:sz w:val="24"/>
          <w:lang w:val="cs-CZ"/>
        </w:rPr>
        <w:t xml:space="preserve"> </w:t>
      </w:r>
      <w:proofErr w:type="spellStart"/>
      <w:r w:rsidRPr="00C47DF2">
        <w:rPr>
          <w:i/>
          <w:iCs/>
          <w:sz w:val="24"/>
          <w:lang w:val="cs-CZ"/>
        </w:rPr>
        <w:t>und</w:t>
      </w:r>
      <w:proofErr w:type="spellEnd"/>
      <w:r w:rsidRPr="00C47DF2">
        <w:rPr>
          <w:i/>
          <w:iCs/>
          <w:sz w:val="24"/>
          <w:lang w:val="cs-CZ"/>
        </w:rPr>
        <w:t xml:space="preserve"> Asyl</w:t>
      </w:r>
      <w:r w:rsidRPr="00C47DF2">
        <w:rPr>
          <w:sz w:val="24"/>
          <w:lang w:val="cs-CZ"/>
        </w:rPr>
        <w:t>, C-608/22, C-609/22, ECLI:EU:C:2024:82.</w:t>
      </w:r>
    </w:p>
  </w:footnote>
  <w:footnote w:id="6">
    <w:p w14:paraId="0FF6B1C3" w14:textId="29097B59" w:rsidR="000B0F2C" w:rsidRPr="00C47DF2" w:rsidRDefault="000B0F2C" w:rsidP="00C47DF2">
      <w:pPr>
        <w:pStyle w:val="FootnoteText"/>
        <w:ind w:left="567" w:hanging="567"/>
        <w:rPr>
          <w:sz w:val="24"/>
          <w:lang w:val="cs-CZ"/>
        </w:rPr>
      </w:pPr>
      <w:r w:rsidRPr="00C47DF2">
        <w:rPr>
          <w:rStyle w:val="FootnoteReference"/>
          <w:sz w:val="24"/>
          <w:lang w:val="cs-CZ"/>
        </w:rPr>
        <w:footnoteRef/>
      </w:r>
      <w:r w:rsidR="00C47DF2" w:rsidRPr="00C47DF2">
        <w:rPr>
          <w:sz w:val="24"/>
          <w:lang w:val="cs-CZ"/>
        </w:rPr>
        <w:t xml:space="preserve"> </w:t>
      </w:r>
      <w:r w:rsidR="00C47DF2" w:rsidRPr="00C47DF2">
        <w:rPr>
          <w:sz w:val="24"/>
          <w:lang w:val="cs-CZ"/>
        </w:rPr>
        <w:tab/>
      </w:r>
      <w:r w:rsidRPr="00C47DF2">
        <w:rPr>
          <w:sz w:val="24"/>
          <w:lang w:val="cs-CZ"/>
        </w:rPr>
        <w:t>Návrh nařízení Evropského parlamentu a Rady ze dne 16. července 2025, kterým se zřizuje nástroj Globální Evropa (</w:t>
      </w:r>
      <w:proofErr w:type="gramStart"/>
      <w:r w:rsidRPr="00C47DF2">
        <w:rPr>
          <w:sz w:val="24"/>
          <w:lang w:val="cs-CZ"/>
        </w:rPr>
        <w:t>COM(</w:t>
      </w:r>
      <w:proofErr w:type="gramEnd"/>
      <w:r w:rsidRPr="00C47DF2">
        <w:rPr>
          <w:sz w:val="24"/>
          <w:lang w:val="cs-CZ"/>
        </w:rPr>
        <w:t>2025)0551).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F94EE" w14:textId="77777777" w:rsidR="00064002" w:rsidRPr="00C47D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6F056" w14:textId="77777777" w:rsidR="00064002" w:rsidRPr="00C47D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82341" w14:textId="77777777" w:rsidR="00064002" w:rsidRPr="00C47D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41563883">
    <w:abstractNumId w:val="9"/>
  </w:num>
  <w:num w:numId="2" w16cid:durableId="729616015">
    <w:abstractNumId w:val="9"/>
  </w:num>
  <w:num w:numId="3" w16cid:durableId="53899374">
    <w:abstractNumId w:val="7"/>
  </w:num>
  <w:num w:numId="4" w16cid:durableId="1379278135">
    <w:abstractNumId w:val="7"/>
  </w:num>
  <w:num w:numId="5" w16cid:durableId="1632399989">
    <w:abstractNumId w:val="6"/>
  </w:num>
  <w:num w:numId="6" w16cid:durableId="1326934095">
    <w:abstractNumId w:val="6"/>
  </w:num>
  <w:num w:numId="7" w16cid:durableId="948319443">
    <w:abstractNumId w:val="5"/>
  </w:num>
  <w:num w:numId="8" w16cid:durableId="611010271">
    <w:abstractNumId w:val="5"/>
  </w:num>
  <w:num w:numId="9" w16cid:durableId="877203675">
    <w:abstractNumId w:val="4"/>
  </w:num>
  <w:num w:numId="10" w16cid:durableId="522675600">
    <w:abstractNumId w:val="4"/>
  </w:num>
  <w:num w:numId="11" w16cid:durableId="993492774">
    <w:abstractNumId w:val="8"/>
  </w:num>
  <w:num w:numId="12" w16cid:durableId="1260332486">
    <w:abstractNumId w:val="8"/>
  </w:num>
  <w:num w:numId="13" w16cid:durableId="1013994530">
    <w:abstractNumId w:val="3"/>
  </w:num>
  <w:num w:numId="14" w16cid:durableId="696125629">
    <w:abstractNumId w:val="3"/>
  </w:num>
  <w:num w:numId="15" w16cid:durableId="1822575819">
    <w:abstractNumId w:val="2"/>
  </w:num>
  <w:num w:numId="16" w16cid:durableId="1701710322">
    <w:abstractNumId w:val="2"/>
  </w:num>
  <w:num w:numId="17" w16cid:durableId="480999049">
    <w:abstractNumId w:val="1"/>
  </w:num>
  <w:num w:numId="18" w16cid:durableId="673804751">
    <w:abstractNumId w:val="1"/>
  </w:num>
  <w:num w:numId="19" w16cid:durableId="1387872124">
    <w:abstractNumId w:val="0"/>
  </w:num>
  <w:num w:numId="20" w16cid:durableId="1855605451">
    <w:abstractNumId w:val="0"/>
  </w:num>
  <w:num w:numId="21" w16cid:durableId="1303538079">
    <w:abstractNumId w:val="9"/>
  </w:num>
  <w:num w:numId="22" w16cid:durableId="1777359323">
    <w:abstractNumId w:val="7"/>
  </w:num>
  <w:num w:numId="23" w16cid:durableId="772242699">
    <w:abstractNumId w:val="6"/>
  </w:num>
  <w:num w:numId="24" w16cid:durableId="1363433888">
    <w:abstractNumId w:val="5"/>
  </w:num>
  <w:num w:numId="25" w16cid:durableId="266499721">
    <w:abstractNumId w:val="4"/>
  </w:num>
  <w:num w:numId="26" w16cid:durableId="1081567458">
    <w:abstractNumId w:val="8"/>
  </w:num>
  <w:num w:numId="27" w16cid:durableId="1611736246">
    <w:abstractNumId w:val="3"/>
  </w:num>
  <w:num w:numId="28" w16cid:durableId="1504011924">
    <w:abstractNumId w:val="2"/>
  </w:num>
  <w:num w:numId="29" w16cid:durableId="39476396">
    <w:abstractNumId w:val="1"/>
  </w:num>
  <w:num w:numId="30" w16cid:durableId="183055479">
    <w:abstractNumId w:val="0"/>
  </w:num>
  <w:num w:numId="31" w16cid:durableId="1946376658">
    <w:abstractNumId w:val="9"/>
  </w:num>
  <w:num w:numId="32" w16cid:durableId="1003432748">
    <w:abstractNumId w:val="7"/>
  </w:num>
  <w:num w:numId="33" w16cid:durableId="2115518175">
    <w:abstractNumId w:val="6"/>
  </w:num>
  <w:num w:numId="34" w16cid:durableId="40253264">
    <w:abstractNumId w:val="5"/>
  </w:num>
  <w:num w:numId="35" w16cid:durableId="1787961412">
    <w:abstractNumId w:val="4"/>
  </w:num>
  <w:num w:numId="36" w16cid:durableId="449057187">
    <w:abstractNumId w:val="8"/>
  </w:num>
  <w:num w:numId="37" w16cid:durableId="203182237">
    <w:abstractNumId w:val="3"/>
  </w:num>
  <w:num w:numId="38" w16cid:durableId="1568759799">
    <w:abstractNumId w:val="2"/>
  </w:num>
  <w:num w:numId="39" w16cid:durableId="447550366">
    <w:abstractNumId w:val="1"/>
  </w:num>
  <w:num w:numId="40" w16cid:durableId="1458065614">
    <w:abstractNumId w:val="0"/>
  </w:num>
  <w:num w:numId="41" w16cid:durableId="1076895982">
    <w:abstractNumId w:val="10"/>
  </w:num>
  <w:num w:numId="42" w16cid:durableId="1621761011">
    <w:abstractNumId w:val="10"/>
  </w:num>
  <w:num w:numId="43" w16cid:durableId="1997493105">
    <w:abstractNumId w:val="10"/>
  </w:num>
  <w:num w:numId="44" w16cid:durableId="1641712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5, 0417, 0418, 0420, 0425 a 0427/2025"/>
    <w:docVar w:name="dvlangue" w:val="CS"/>
    <w:docVar w:name="dvnumam" w:val="0"/>
    <w:docVar w:name="dvpe" w:val="776.254"/>
    <w:docVar w:name="dvtitre" w:val="Usnesení Evropského parlamentu ze dne.... 2025 o situaci v Afghánistánu: podpora žen a komunit, kterých se dotkla nedávná zemětřesení(2025/2872(RSP))"/>
  </w:docVars>
  <w:rsids>
    <w:rsidRoot w:val="00A9254A"/>
    <w:rsid w:val="00002272"/>
    <w:rsid w:val="00064002"/>
    <w:rsid w:val="000677B9"/>
    <w:rsid w:val="000831BA"/>
    <w:rsid w:val="000A42CC"/>
    <w:rsid w:val="000B0F2C"/>
    <w:rsid w:val="000E7DD9"/>
    <w:rsid w:val="0010095E"/>
    <w:rsid w:val="00125B37"/>
    <w:rsid w:val="00187494"/>
    <w:rsid w:val="001F32AE"/>
    <w:rsid w:val="002547ED"/>
    <w:rsid w:val="00265CD1"/>
    <w:rsid w:val="002767FF"/>
    <w:rsid w:val="002953F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2C8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254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425"/>
    <w:rsid w:val="00C23CD4"/>
    <w:rsid w:val="00C47DF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A2220D"/>
  <w15:chartTrackingRefBased/>
  <w15:docId w15:val="{F07BB1BB-9D90-461C-A19F-5BAD6C6D7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B0F2C"/>
    <w:pPr>
      <w:spacing w:after="240"/>
      <w:ind w:left="567" w:hanging="567"/>
    </w:pPr>
  </w:style>
  <w:style w:type="paragraph" w:customStyle="1" w:styleId="EPComma">
    <w:name w:val="EPComma"/>
    <w:basedOn w:val="Normal"/>
    <w:rsid w:val="000B0F2C"/>
    <w:pPr>
      <w:spacing w:before="480" w:after="240"/>
    </w:pPr>
  </w:style>
  <w:style w:type="character" w:styleId="Hyperlink">
    <w:name w:val="Hyperlink"/>
    <w:basedOn w:val="DefaultParagraphFont"/>
    <w:rsid w:val="000B0F2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547ED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nation/2017/434/oj" TargetMode="External"/><Relationship Id="rId1" Type="http://schemas.openxmlformats.org/officeDocument/2006/relationships/hyperlink" Target="http://data.europa.eu/eli/C/2024/72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2403</Words>
  <Characters>14092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2025-10-09T12:05:00Z</dcterms:created>
  <dcterms:modified xsi:type="dcterms:W3CDTF">2025-10-09T12:05:00Z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B10-0415, 0417, 0418, 0420, 0425 a 0427/2025</vt:lpwstr>
  </property>
  <property fmtid="{D5CDD505-2E9C-101B-9397-08002B2CF9AE}" pid="4" name="&lt;Type&gt;">
    <vt:lpwstr>RR</vt:lpwstr>
  </property>
</Properties>
</file>