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54533F" w14:paraId="3ABC973A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FF874BC" w14:textId="0148258F" w:rsidR="00751A4A" w:rsidRPr="0054533F" w:rsidRDefault="000F7C80" w:rsidP="0010095E">
            <w:pPr>
              <w:pStyle w:val="EPName"/>
            </w:pPr>
            <w:r w:rsidRPr="0054533F">
              <w:t>Európai Parlament</w:t>
            </w:r>
          </w:p>
          <w:p w14:paraId="29A3506D" w14:textId="77777777" w:rsidR="00751A4A" w:rsidRPr="0054533F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54533F">
              <w:t>2024</w:t>
            </w:r>
            <w:r w:rsidR="00817416" w:rsidRPr="0054533F">
              <w:t>-202</w:t>
            </w:r>
            <w:r w:rsidRPr="0054533F">
              <w:t>9</w:t>
            </w:r>
          </w:p>
        </w:tc>
        <w:tc>
          <w:tcPr>
            <w:tcW w:w="2268" w:type="dxa"/>
            <w:shd w:val="clear" w:color="auto" w:fill="auto"/>
          </w:tcPr>
          <w:p w14:paraId="79513073" w14:textId="77777777" w:rsidR="00751A4A" w:rsidRPr="0054533F" w:rsidRDefault="00187494" w:rsidP="0010095E">
            <w:pPr>
              <w:pStyle w:val="EPLogo"/>
            </w:pPr>
            <w:r w:rsidRPr="0054533F">
              <w:rPr>
                <w:noProof/>
                <w:lang w:eastAsia="ja-JP"/>
              </w:rPr>
              <w:drawing>
                <wp:inline distT="0" distB="0" distL="0" distR="0" wp14:anchorId="41735E0E" wp14:editId="01EC1781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00251D3" w14:textId="77777777" w:rsidR="00D058B8" w:rsidRPr="0054533F" w:rsidRDefault="00D058B8" w:rsidP="004C5D52">
      <w:pPr>
        <w:pStyle w:val="LineTop"/>
      </w:pPr>
    </w:p>
    <w:p w14:paraId="240A0FFA" w14:textId="699297EC" w:rsidR="00680577" w:rsidRPr="0054533F" w:rsidRDefault="000F7C80" w:rsidP="00680577">
      <w:pPr>
        <w:pStyle w:val="EPBodyTA1"/>
      </w:pPr>
      <w:r w:rsidRPr="0054533F">
        <w:t>ELFOGADOTT SZÖVEGEK</w:t>
      </w:r>
    </w:p>
    <w:p w14:paraId="3113BB45" w14:textId="77777777" w:rsidR="00D058B8" w:rsidRPr="0054533F" w:rsidRDefault="00D058B8" w:rsidP="00D058B8">
      <w:pPr>
        <w:pStyle w:val="LineBottom"/>
      </w:pPr>
    </w:p>
    <w:p w14:paraId="4F004696" w14:textId="4AB47138" w:rsidR="000F7C80" w:rsidRPr="0054533F" w:rsidRDefault="000F7C80" w:rsidP="000F7C80">
      <w:pPr>
        <w:pStyle w:val="ATHeading1"/>
      </w:pPr>
      <w:bookmarkStart w:id="0" w:name="TANumber"/>
      <w:r w:rsidRPr="0054533F">
        <w:t>P10_</w:t>
      </w:r>
      <w:proofErr w:type="gramStart"/>
      <w:r w:rsidRPr="0054533F">
        <w:t>TA(</w:t>
      </w:r>
      <w:proofErr w:type="gramEnd"/>
      <w:r w:rsidRPr="0054533F">
        <w:t>2025)0</w:t>
      </w:r>
      <w:bookmarkEnd w:id="0"/>
      <w:r w:rsidR="0054533F" w:rsidRPr="0054533F">
        <w:t>229</w:t>
      </w:r>
    </w:p>
    <w:p w14:paraId="4FDCB098" w14:textId="77777777" w:rsidR="000F7C80" w:rsidRPr="0054533F" w:rsidRDefault="000F7C80" w:rsidP="000F7C80">
      <w:pPr>
        <w:pStyle w:val="ATHeading2"/>
      </w:pPr>
      <w:bookmarkStart w:id="1" w:name="title"/>
      <w:r w:rsidRPr="0054533F">
        <w:t>Az afganisztáni helyzet: a közelmúltbeli földrengések által érintett nők és közösségek támogatása</w:t>
      </w:r>
      <w:bookmarkEnd w:id="1"/>
    </w:p>
    <w:p w14:paraId="372C2CA4" w14:textId="77777777" w:rsidR="000F7C80" w:rsidRPr="0054533F" w:rsidRDefault="000F7C80" w:rsidP="000F7C80">
      <w:pPr>
        <w:rPr>
          <w:i/>
          <w:vanish/>
        </w:rPr>
      </w:pPr>
      <w:r w:rsidRPr="0054533F">
        <w:rPr>
          <w:i/>
        </w:rPr>
        <w:fldChar w:fldCharType="begin"/>
      </w:r>
      <w:r w:rsidRPr="0054533F">
        <w:rPr>
          <w:i/>
        </w:rPr>
        <w:instrText xml:space="preserve"> TC"(</w:instrText>
      </w:r>
      <w:bookmarkStart w:id="2" w:name="DocNumber"/>
      <w:r w:rsidRPr="0054533F">
        <w:rPr>
          <w:i/>
        </w:rPr>
        <w:instrText>B10-0415, 0417, 0418, 0420, 0425 és 0427/2025</w:instrText>
      </w:r>
      <w:bookmarkEnd w:id="2"/>
      <w:r w:rsidRPr="0054533F">
        <w:rPr>
          <w:i/>
        </w:rPr>
        <w:instrText xml:space="preserve">)"\l3 \n&gt; \* MERGEFORMAT </w:instrText>
      </w:r>
      <w:r w:rsidRPr="0054533F">
        <w:rPr>
          <w:i/>
        </w:rPr>
        <w:fldChar w:fldCharType="end"/>
      </w:r>
    </w:p>
    <w:p w14:paraId="32E9787A" w14:textId="77777777" w:rsidR="000F7C80" w:rsidRPr="0054533F" w:rsidRDefault="000F7C80" w:rsidP="000F7C80">
      <w:pPr>
        <w:rPr>
          <w:vanish/>
        </w:rPr>
      </w:pPr>
      <w:bookmarkStart w:id="3" w:name="PE"/>
      <w:r w:rsidRPr="0054533F">
        <w:rPr>
          <w:vanish/>
        </w:rPr>
        <w:t>PE776.254</w:t>
      </w:r>
      <w:bookmarkEnd w:id="3"/>
    </w:p>
    <w:p w14:paraId="28B03E56" w14:textId="6FD05AFE" w:rsidR="000F7C80" w:rsidRPr="0054533F" w:rsidRDefault="000F7C80" w:rsidP="000F7C80">
      <w:pPr>
        <w:pStyle w:val="ATHeading3"/>
      </w:pPr>
      <w:bookmarkStart w:id="4" w:name="Sujet"/>
      <w:r w:rsidRPr="0054533F">
        <w:t xml:space="preserve">Az Európai Parlament 2025. </w:t>
      </w:r>
      <w:r w:rsidR="005A4C41" w:rsidRPr="0054533F">
        <w:t>október 9</w:t>
      </w:r>
      <w:r w:rsidRPr="0054533F">
        <w:t>-i állásfoglalása az afganisztáni helyzetről: a közelmúltbeli földrengések által érintett nők és közösségek támogatása</w:t>
      </w:r>
      <w:bookmarkEnd w:id="4"/>
      <w:r w:rsidRPr="0054533F">
        <w:t xml:space="preserve"> </w:t>
      </w:r>
      <w:bookmarkStart w:id="5" w:name="References"/>
      <w:r w:rsidRPr="0054533F">
        <w:t>(2025/2872(RSP))</w:t>
      </w:r>
      <w:bookmarkEnd w:id="5"/>
    </w:p>
    <w:p w14:paraId="03B35336" w14:textId="77777777" w:rsidR="003622EC" w:rsidRPr="0054533F" w:rsidRDefault="003622EC" w:rsidP="003622EC">
      <w:pPr>
        <w:pStyle w:val="EPComma"/>
      </w:pPr>
      <w:bookmarkStart w:id="6" w:name="TextBodyBegin"/>
      <w:bookmarkEnd w:id="6"/>
      <w:r w:rsidRPr="0054533F">
        <w:rPr>
          <w:i/>
        </w:rPr>
        <w:t>Az Európai Parlament,</w:t>
      </w:r>
    </w:p>
    <w:p w14:paraId="118C019B" w14:textId="77777777" w:rsidR="003622EC" w:rsidRPr="0054533F" w:rsidRDefault="003622EC" w:rsidP="005A4C41">
      <w:pPr>
        <w:pStyle w:val="NormalHanging12a"/>
        <w:widowControl/>
      </w:pPr>
      <w:r w:rsidRPr="0054533F">
        <w:t>–</w:t>
      </w:r>
      <w:r w:rsidRPr="0054533F">
        <w:tab/>
        <w:t>tekintettel az Emberi Jogok 1948. december 10-i Egyetemes Nyilatkozatára és a Polgári és Politikai Jogok 1966. december 16-i Nemzetközi Egyezségokmányára,</w:t>
      </w:r>
    </w:p>
    <w:p w14:paraId="4326599F" w14:textId="77777777" w:rsidR="003622EC" w:rsidRPr="0054533F" w:rsidRDefault="003622EC" w:rsidP="005A4C41">
      <w:pPr>
        <w:pStyle w:val="NormalHanging12a"/>
        <w:widowControl/>
      </w:pPr>
      <w:r w:rsidRPr="0054533F">
        <w:t>–</w:t>
      </w:r>
      <w:r w:rsidRPr="0054533F">
        <w:tab/>
        <w:t>tekintettel a nőkkel szemben alkalmazott hátrányos megkülönböztetések minden formájának kiküszöböléséről szóló, 1979. december 18-i ENSZ-egyezményre és a gyermek jogairól szóló, 1989. november 20-i ENSZ-egyezményre, amelyeket Afganisztán ratifikált,</w:t>
      </w:r>
    </w:p>
    <w:p w14:paraId="3148F916" w14:textId="77777777" w:rsidR="003622EC" w:rsidRPr="0054533F" w:rsidRDefault="003622EC" w:rsidP="005A4C41">
      <w:pPr>
        <w:pStyle w:val="NormalHanging12a"/>
        <w:widowControl/>
      </w:pPr>
      <w:r w:rsidRPr="0054533F">
        <w:t>–</w:t>
      </w:r>
      <w:r w:rsidRPr="0054533F">
        <w:tab/>
        <w:t>tekintettel az ENSZ Közgyűlésének az afganisztáni helyzetről szóló, 2025. július 7-i határozatára,</w:t>
      </w:r>
    </w:p>
    <w:p w14:paraId="5788900A" w14:textId="77777777" w:rsidR="003622EC" w:rsidRPr="0054533F" w:rsidRDefault="003622EC" w:rsidP="005A4C41">
      <w:pPr>
        <w:pStyle w:val="NormalHanging12a"/>
        <w:widowControl/>
      </w:pPr>
      <w:r w:rsidRPr="0054533F">
        <w:t>–</w:t>
      </w:r>
      <w:r w:rsidRPr="0054533F">
        <w:tab/>
        <w:t>tekintettel az ENSZ főtitkárának az ENSZ Biztonsági Tanácsához intézett, az afganisztáni helyzetről és ennek a nemzetközi békével és biztonsággal kapcsolatos vonatkozásairól szóló, 2025. június 11-i jelentésére,</w:t>
      </w:r>
    </w:p>
    <w:p w14:paraId="2D0AC1AD" w14:textId="77777777" w:rsidR="003622EC" w:rsidRPr="0054533F" w:rsidRDefault="003622EC" w:rsidP="005A4C41">
      <w:pPr>
        <w:pStyle w:val="NormalHanging12a"/>
        <w:widowControl/>
      </w:pPr>
      <w:r w:rsidRPr="0054533F">
        <w:t>–</w:t>
      </w:r>
      <w:r w:rsidRPr="0054533F">
        <w:tab/>
        <w:t>tekintettel a menekültek jogállásáról szóló 1951. július 28-i ENSZ-egyezményre és annak 1967. évi jegyzőkönyvére,</w:t>
      </w:r>
    </w:p>
    <w:p w14:paraId="10B4CEDC" w14:textId="77777777" w:rsidR="003622EC" w:rsidRPr="0054533F" w:rsidRDefault="003622EC" w:rsidP="005A4C41">
      <w:pPr>
        <w:pStyle w:val="NormalHanging12a"/>
        <w:widowControl/>
      </w:pPr>
      <w:r w:rsidRPr="0054533F">
        <w:t>–</w:t>
      </w:r>
      <w:r w:rsidRPr="0054533F">
        <w:tab/>
        <w:t>tekintettel a visszaküldés tilalmáról szóló nemzetközi jogra,</w:t>
      </w:r>
    </w:p>
    <w:p w14:paraId="03708C91" w14:textId="77777777" w:rsidR="003622EC" w:rsidRPr="0054533F" w:rsidRDefault="003622EC" w:rsidP="005A4C41">
      <w:pPr>
        <w:pStyle w:val="NormalHanging12a"/>
        <w:widowControl/>
      </w:pPr>
      <w:r w:rsidRPr="0054533F">
        <w:t>–</w:t>
      </w:r>
      <w:r w:rsidRPr="0054533F">
        <w:tab/>
        <w:t>tekintettel az ENSZ Afganisztánnal foglalkozó különmegbízottjainak 2024. június 30-án és július 1-jén Dohában (Katar) tartott harmadik ülésének következtetéseire,</w:t>
      </w:r>
    </w:p>
    <w:p w14:paraId="0FCD4476" w14:textId="77777777" w:rsidR="003622EC" w:rsidRPr="0054533F" w:rsidRDefault="003622EC" w:rsidP="005A4C41">
      <w:pPr>
        <w:pStyle w:val="NormalHanging12a"/>
        <w:widowControl/>
      </w:pPr>
      <w:r w:rsidRPr="0054533F">
        <w:t>–</w:t>
      </w:r>
      <w:r w:rsidRPr="0054533F">
        <w:tab/>
        <w:t xml:space="preserve">tekintettel az afganisztáni helyzetről szóló korábbi állásfoglalásaira, különösen az afganisztáni nők helyzetének „az erkölcsösség előmozdításáról és a bűn megelőzéséről” </w:t>
      </w:r>
      <w:r w:rsidRPr="0054533F">
        <w:lastRenderedPageBreak/>
        <w:t>szóló törvény közelmúltbeli elfogadása miatt bekövetkező romlásáról szóló, 2024. szeptember 19-i állásfoglalására</w:t>
      </w:r>
      <w:r w:rsidRPr="0054533F">
        <w:rPr>
          <w:rStyle w:val="FootnoteReference"/>
        </w:rPr>
        <w:footnoteReference w:id="1"/>
      </w:r>
      <w:r w:rsidRPr="0054533F">
        <w:t>,</w:t>
      </w:r>
    </w:p>
    <w:p w14:paraId="50C815AB" w14:textId="77777777" w:rsidR="003622EC" w:rsidRPr="0054533F" w:rsidRDefault="003622EC" w:rsidP="005A4C41">
      <w:pPr>
        <w:pStyle w:val="NormalHanging12a"/>
        <w:widowControl/>
      </w:pPr>
      <w:r w:rsidRPr="0054533F">
        <w:t>–</w:t>
      </w:r>
      <w:r w:rsidRPr="0054533F">
        <w:tab/>
        <w:t xml:space="preserve">tekintettel a nőkről, a békéről és a biztonságról szóló, 2022. november 14-i és az Afganisztánról szóló, 2021. szeptember 15-i tanácsi következtetésekre, amelyek öt kritériumot vázoltak fel a tálibok által </w:t>
      </w:r>
      <w:proofErr w:type="gramStart"/>
      <w:r w:rsidRPr="0054533F">
        <w:t>vezetett</w:t>
      </w:r>
      <w:proofErr w:type="gramEnd"/>
      <w:r w:rsidRPr="0054533F">
        <w:t xml:space="preserve"> de facto hatóságokkal való uniós kapcsolatfelvétel tekintetében,</w:t>
      </w:r>
    </w:p>
    <w:p w14:paraId="26F420CE" w14:textId="77777777" w:rsidR="003622EC" w:rsidRPr="0054533F" w:rsidRDefault="003622EC" w:rsidP="005A4C41">
      <w:pPr>
        <w:pStyle w:val="NormalHanging12a"/>
        <w:widowControl/>
      </w:pPr>
      <w:r w:rsidRPr="0054533F">
        <w:t>–</w:t>
      </w:r>
      <w:r w:rsidRPr="0054533F">
        <w:tab/>
        <w:t>tekintettel az Európai Unió Bíróságának (EUB) 2024. október 4-i ítéletére</w:t>
      </w:r>
      <w:r w:rsidRPr="0054533F">
        <w:rPr>
          <w:rStyle w:val="FootnoteReference"/>
        </w:rPr>
        <w:footnoteReference w:id="2"/>
      </w:r>
      <w:r w:rsidRPr="0054533F">
        <w:t>, amely szerint az olyan rendszerszintű megkülönböztetés, mint amellyel az afgán nők a tálibok uralma alatt szembesülnek, az uniós menekültügyi jog szerinti üldöztetésnek minősül,</w:t>
      </w:r>
    </w:p>
    <w:p w14:paraId="7E9B56F3" w14:textId="77777777" w:rsidR="003622EC" w:rsidRPr="0054533F" w:rsidRDefault="003622EC" w:rsidP="005A4C41">
      <w:pPr>
        <w:pStyle w:val="NormalHanging12a"/>
        <w:widowControl/>
      </w:pPr>
      <w:r w:rsidRPr="0054533F">
        <w:t>–</w:t>
      </w:r>
      <w:r w:rsidRPr="0054533F">
        <w:tab/>
        <w:t>tekintettel az egyrészről az Európai Unió és tagállamai, és másrészről az Afganisztáni Iszlám Köztársaság</w:t>
      </w:r>
      <w:r w:rsidRPr="0054533F">
        <w:rPr>
          <w:rStyle w:val="FootnoteReference"/>
        </w:rPr>
        <w:footnoteReference w:id="3"/>
      </w:r>
      <w:r w:rsidRPr="0054533F">
        <w:t xml:space="preserve"> között 2017. február 18-án aláírt partnerségi és fejlesztési együttműködési megállapodásra,</w:t>
      </w:r>
    </w:p>
    <w:p w14:paraId="2863997F" w14:textId="77777777" w:rsidR="003622EC" w:rsidRPr="0054533F" w:rsidRDefault="003622EC" w:rsidP="005A4C41">
      <w:pPr>
        <w:pStyle w:val="NormalHanging12a"/>
        <w:widowControl/>
      </w:pPr>
      <w:r w:rsidRPr="0054533F">
        <w:t>–</w:t>
      </w:r>
      <w:r w:rsidRPr="0054533F">
        <w:tab/>
        <w:t>tekintettel az emberi jogok védelmezőiről, a gyermekek jogainak előmozdításáról és védelméről, valamint a nőkkel és lányokkal szembeni erőszakról és a velük szembeni megkülönböztetés valamennyi formája elleni küzdelemről szóló uniós tematikus iránymutatásokra,</w:t>
      </w:r>
    </w:p>
    <w:p w14:paraId="1004624C" w14:textId="77777777" w:rsidR="003622EC" w:rsidRPr="0054533F" w:rsidRDefault="003622EC" w:rsidP="005A4C41">
      <w:pPr>
        <w:pStyle w:val="NormalHanging12a"/>
        <w:widowControl/>
      </w:pPr>
      <w:r w:rsidRPr="0054533F">
        <w:t>–</w:t>
      </w:r>
      <w:r w:rsidRPr="0054533F">
        <w:tab/>
        <w:t>tekintettel az „Uniós humanitárius segítségnyújtás: új kihívások, régi elvek” című, 2021. március 10-i bizottsági közleményre (</w:t>
      </w:r>
      <w:proofErr w:type="gramStart"/>
      <w:r w:rsidRPr="0054533F">
        <w:t>COM(</w:t>
      </w:r>
      <w:proofErr w:type="gramEnd"/>
      <w:r w:rsidRPr="0054533F">
        <w:t>2021)0110), amely prioritásként kezeli a védelmet, a katasztrófavédelmi felkészültséget, valamint a nők és a kiszolgáltatott csoportok szükségleteit,</w:t>
      </w:r>
    </w:p>
    <w:p w14:paraId="133BCA30" w14:textId="77777777" w:rsidR="003622EC" w:rsidRPr="0054533F" w:rsidRDefault="003622EC" w:rsidP="005A4C41">
      <w:pPr>
        <w:pStyle w:val="NormalHanging12a"/>
        <w:widowControl/>
      </w:pPr>
      <w:r w:rsidRPr="0054533F">
        <w:t>–</w:t>
      </w:r>
      <w:r w:rsidRPr="0054533F">
        <w:tab/>
        <w:t>tekintettel az Élelmezési Világprogram Afganisztánról szóló, 2024. évi éves országjelentésére, amelyet 2025. március 27-én tettek közzé,</w:t>
      </w:r>
    </w:p>
    <w:p w14:paraId="77C85F56" w14:textId="77777777" w:rsidR="003622EC" w:rsidRPr="0054533F" w:rsidRDefault="003622EC" w:rsidP="005A4C41">
      <w:pPr>
        <w:pStyle w:val="NormalHanging12a"/>
        <w:widowControl/>
      </w:pPr>
      <w:r w:rsidRPr="0054533F">
        <w:t>–</w:t>
      </w:r>
      <w:r w:rsidRPr="0054533F">
        <w:tab/>
        <w:t>tekintettel a 2022. évi humán fejlettségi mutatóra,</w:t>
      </w:r>
    </w:p>
    <w:p w14:paraId="5CFE6685" w14:textId="77777777" w:rsidR="003622EC" w:rsidRPr="0054533F" w:rsidRDefault="003622EC" w:rsidP="005A4C41">
      <w:pPr>
        <w:pStyle w:val="NormalHanging12a"/>
        <w:widowControl/>
      </w:pPr>
      <w:r w:rsidRPr="0054533F">
        <w:t>–</w:t>
      </w:r>
      <w:r w:rsidRPr="0054533F">
        <w:tab/>
        <w:t>tekintettel a Tanács és a tagállamok kormányainak a Tanács keretében ülésező képviselői, az Európai Parlament és a Bizottság által „Új európai konszenzus a fejlesztési politikáról – »A mi világunk, a mi méltóságunk, a mi jövőnk«” címmel elfogadott, 2017. június 30-i együttes nyilatkozatra,</w:t>
      </w:r>
    </w:p>
    <w:p w14:paraId="26AFD4F5" w14:textId="77777777" w:rsidR="003622EC" w:rsidRPr="0054533F" w:rsidRDefault="003622EC" w:rsidP="005A4C41">
      <w:pPr>
        <w:pStyle w:val="NormalHanging12a"/>
        <w:widowControl/>
      </w:pPr>
      <w:r w:rsidRPr="0054533F">
        <w:t>–</w:t>
      </w:r>
      <w:r w:rsidRPr="0054533F">
        <w:tab/>
        <w:t>tekintettel a Nemzetközi Válságcsoport 2023. január 31-án közzétett, „Afghanistan: The Taliban Restrict Women’s Rights, Worsening the Humanitarian Crisis” (Afganisztán: A tálibok korlátozzák a nők jogait, súlyosbítva a humanitárius válságot) című elemzésére,</w:t>
      </w:r>
    </w:p>
    <w:p w14:paraId="42899046" w14:textId="77777777" w:rsidR="003622EC" w:rsidRPr="0054533F" w:rsidRDefault="003622EC" w:rsidP="005A4C41">
      <w:pPr>
        <w:pStyle w:val="NormalHanging12a"/>
        <w:widowControl/>
      </w:pPr>
      <w:r w:rsidRPr="0054533F">
        <w:t>–</w:t>
      </w:r>
      <w:r w:rsidRPr="0054533F">
        <w:tab/>
        <w:t>tekintettel az UNICEF 2024. december 5-én indított, 2025. évi humanitárius finanszírozási felhívására,</w:t>
      </w:r>
    </w:p>
    <w:p w14:paraId="32709C08" w14:textId="77777777" w:rsidR="003622EC" w:rsidRPr="0054533F" w:rsidRDefault="003622EC" w:rsidP="005A4C41">
      <w:pPr>
        <w:pStyle w:val="NormalHanging12a"/>
        <w:widowControl/>
      </w:pPr>
      <w:r w:rsidRPr="0054533F">
        <w:t>–</w:t>
      </w:r>
      <w:r w:rsidRPr="0054533F">
        <w:tab/>
        <w:t>tekintettel az ENSZ Menekültügyi Ügynöksége által 2025 szeptemberében Afganisztán számára indított sürgősségi finanszírozási felhívásra,</w:t>
      </w:r>
    </w:p>
    <w:p w14:paraId="251EA724" w14:textId="77777777" w:rsidR="003622EC" w:rsidRPr="0054533F" w:rsidRDefault="003622EC" w:rsidP="005A4C41">
      <w:pPr>
        <w:pStyle w:val="NormalHanging12a"/>
        <w:widowControl/>
      </w:pPr>
      <w:r w:rsidRPr="0054533F">
        <w:lastRenderedPageBreak/>
        <w:t>–</w:t>
      </w:r>
      <w:r w:rsidRPr="0054533F">
        <w:tab/>
        <w:t>tekintettel az UNICEF 2025. szeptember 9-én indított, 2025. évi afganisztáni földrengés-elhárítási felhívására,</w:t>
      </w:r>
    </w:p>
    <w:p w14:paraId="23FEC774" w14:textId="77777777" w:rsidR="003622EC" w:rsidRPr="0054533F" w:rsidRDefault="003622EC" w:rsidP="005A4C41">
      <w:pPr>
        <w:pStyle w:val="NormalHanging12a"/>
        <w:widowControl/>
      </w:pPr>
      <w:r w:rsidRPr="0054533F">
        <w:t>–</w:t>
      </w:r>
      <w:r w:rsidRPr="0054533F">
        <w:tab/>
        <w:t>tekintettel a Nemzetközi Migrációs Szervezet 2024. december 16-án közzétett, 2025. évi afganisztáni válságelhárítási tervére,</w:t>
      </w:r>
    </w:p>
    <w:p w14:paraId="00366989" w14:textId="77777777" w:rsidR="003622EC" w:rsidRPr="0054533F" w:rsidRDefault="003622EC" w:rsidP="005A4C41">
      <w:pPr>
        <w:pStyle w:val="NormalHanging12a"/>
        <w:widowControl/>
      </w:pPr>
      <w:r w:rsidRPr="0054533F">
        <w:t>–</w:t>
      </w:r>
      <w:r w:rsidRPr="0054533F">
        <w:tab/>
        <w:t>tekintettel az Egészségügyi Világszervezet 2025. január 16-án közzétett, 2025. évi egészségügyi sürgősségi felhívására,</w:t>
      </w:r>
    </w:p>
    <w:p w14:paraId="427B6FAE" w14:textId="77777777" w:rsidR="003622EC" w:rsidRPr="0054533F" w:rsidRDefault="003622EC" w:rsidP="005A4C41">
      <w:pPr>
        <w:pStyle w:val="NormalHanging12a"/>
        <w:widowControl/>
      </w:pPr>
      <w:r w:rsidRPr="0054533F">
        <w:t>–</w:t>
      </w:r>
      <w:r w:rsidRPr="0054533F">
        <w:tab/>
        <w:t>tekintettel a Nemzetközi Büntetőbíróság által Haibatullah Akhundzada legfőbb tálib vezető és Abdul Hakim Haqqani, a Legfelsőbb Bíróság tálib elnöke ellen 2025. július 8-án kiadott elfogatóparancsokra,</w:t>
      </w:r>
    </w:p>
    <w:p w14:paraId="147847EC" w14:textId="77777777" w:rsidR="003622EC" w:rsidRPr="0054533F" w:rsidRDefault="003622EC" w:rsidP="005A4C41">
      <w:pPr>
        <w:pStyle w:val="NormalHanging12a"/>
        <w:widowControl/>
      </w:pPr>
      <w:r w:rsidRPr="0054533F">
        <w:t>–</w:t>
      </w:r>
      <w:r w:rsidRPr="0054533F">
        <w:tab/>
        <w:t>tekintettel az EUB C-621/21. sz. ügyben 2024. január 16-án hozott ítéletére a nemi alapú erőszakkal szembesülő nők nemzetközi védelmének biztosításáról</w:t>
      </w:r>
      <w:r w:rsidRPr="0054533F">
        <w:rPr>
          <w:rStyle w:val="FootnoteReference"/>
        </w:rPr>
        <w:footnoteReference w:id="4"/>
      </w:r>
      <w:r w:rsidRPr="0054533F">
        <w:t>,</w:t>
      </w:r>
    </w:p>
    <w:p w14:paraId="656BE533" w14:textId="77777777" w:rsidR="003622EC" w:rsidRPr="0054533F" w:rsidRDefault="003622EC" w:rsidP="005A4C41">
      <w:pPr>
        <w:pStyle w:val="NormalHanging12a"/>
        <w:widowControl/>
      </w:pPr>
      <w:r w:rsidRPr="0054533F">
        <w:t>–</w:t>
      </w:r>
      <w:r w:rsidRPr="0054533F">
        <w:tab/>
        <w:t>tekintettel eljárási szabályzata 136. cikkének (2) és (4) bekezdésére,</w:t>
      </w:r>
    </w:p>
    <w:p w14:paraId="7744C5C4" w14:textId="77777777" w:rsidR="003622EC" w:rsidRPr="0054533F" w:rsidRDefault="003622EC" w:rsidP="005A4C41">
      <w:pPr>
        <w:pStyle w:val="NormalHanging12a"/>
        <w:widowControl/>
        <w:rPr>
          <w:rFonts w:eastAsia="Calibri"/>
        </w:rPr>
      </w:pPr>
      <w:r w:rsidRPr="0054533F">
        <w:t>A.</w:t>
      </w:r>
      <w:r w:rsidRPr="0054533F">
        <w:tab/>
        <w:t>mivel 2025. augusztus 31-én 6-os erősségű földrengés rázta meg az Afganisztán keleti részén fekvő Kunar tartományt, amelynek során több mint 2200-an vesztették életüket és több ezren sérültek meg Kunar és a szomszédos Nangarhar tartományban; mivel több mint 6700 otthon dőlt romba, és egész falvak váltak romhalmazzá, így legalább 11 000 ember kénytelen sátrakban élni, és a tél közeledtével hipotermiának van kitéve; mivel a globális humanitárius segítségnyújtás csökkentése súlyosan érintette a válságra adott válaszintézkedéseket;</w:t>
      </w:r>
    </w:p>
    <w:p w14:paraId="2463F427" w14:textId="77777777" w:rsidR="003622EC" w:rsidRPr="0054533F" w:rsidRDefault="003622EC" w:rsidP="005A4C41">
      <w:pPr>
        <w:pStyle w:val="NormalHanging12a"/>
        <w:widowControl/>
        <w:rPr>
          <w:rFonts w:eastAsia="Calibri"/>
        </w:rPr>
      </w:pPr>
      <w:r w:rsidRPr="0054533F">
        <w:t>B.</w:t>
      </w:r>
      <w:r w:rsidRPr="0054533F">
        <w:tab/>
        <w:t>mivel a tálibok uralma súlyosan elszigetelte Afganisztánt a nemzetközi közösségtől, ami késedelmet eredményezett a nemzetközi segítségnyújtás célba juttatásában; mivel a földrengés aránytalanul sújtja a nőket a tálibok szigorú társadalmi szabályai miatt, amelyek korlátozzák a férfi önkénteseket abban, hogy nőkhöz érjenek, ezáltal akadályozva a mentési munkálatokat és az orvosi ellátást; mivel 2025. szeptember 5. óta a tálibok megakadályozták, hogy az afgán női alkalmazottak és vállalkozók belépjenek az ENSZ kabuli táboraiba, ezzel súlyosan korlátozva a nőknek és lányoknak nyújtott humanitárius segélyek célba juttatását; mivel a tálib rezsim által Afganisztánban bevezetett nemi alapú apartheid egészségügyi következményei negatívan befolyásolják a nő és lány áldozatoknak biztosított segítségnyújtást; mivel a női orvosok hiánya, valamint a nőkre és lányokra vonatkozó szigorú utazási korlátozások hozzájárultak a földrengések okozta halálesetek magas arányához; mivel a földrengés aránytalanul sújtja a nőket a tálibok szigorú társadalmi szabályai miatt, amelyek megakadályozzák a férfi önkénteseket abban, hogy nőkhöz érjenek, ezáltal akadályozva a mentési munkálatokat és az orvosi ellátást; mivel a női humanitárius dolgozók kritikus szerepet játszottak az érintett falvak elérésében, az egészségügyi és pszichoszociális támogatás nyújtásában és a segélyek elosztásában;</w:t>
      </w:r>
    </w:p>
    <w:p w14:paraId="299A5110" w14:textId="77777777" w:rsidR="003622EC" w:rsidRPr="0054533F" w:rsidRDefault="003622EC" w:rsidP="005A4C41">
      <w:pPr>
        <w:pStyle w:val="NormalHanging12a"/>
        <w:widowControl/>
        <w:rPr>
          <w:rFonts w:eastAsia="Calibri"/>
        </w:rPr>
      </w:pPr>
      <w:r w:rsidRPr="0054533F">
        <w:t>C.</w:t>
      </w:r>
      <w:r w:rsidRPr="0054533F">
        <w:tab/>
        <w:t xml:space="preserve">mivel a tálibok a hatalomba való 2021. augusztusi visszatérésük óta radikálisan értelmezik és érvényesítik a saríát, ami a nők és lányok közéletből való szinte teljes kizárásához vezetett Afganisztánban; mivel ezt a nőkre és lányokra vonatkozó széles körű korlátozások, többek között a közép- és felsőfokú oktatásban való részvétel </w:t>
      </w:r>
      <w:r w:rsidRPr="0054533F">
        <w:lastRenderedPageBreak/>
        <w:t>tilalma, a legtöbb foglalkoztatási formában való részvétel tilalma, a nyilvános terekhez és a sporthoz való hozzáférés megtagadása, szigorú öltözködési szabályok előírása, az erőszak áldozatait támogató rendszerek felszámolása, valamint azon követelmények révén hajtották végre, hogy a nők csak férfi gyám kíséretében utazzanak; mivel további rendeletek drasztikusan csökkentették a női egészségügyi szakemberek számát Afganisztánban, például mikor 2024 decemberében betiltották a nők egészségügyi oktatásban való részvételét, vagy hogy orvosi záróvizsgát tehessenek;</w:t>
      </w:r>
    </w:p>
    <w:p w14:paraId="3A76C337" w14:textId="7CFCAFB2" w:rsidR="0054533F" w:rsidRPr="0054533F" w:rsidRDefault="003622EC" w:rsidP="0054533F">
      <w:pPr>
        <w:pStyle w:val="NormalHanging12a"/>
        <w:widowControl/>
      </w:pPr>
      <w:r w:rsidRPr="0054533F">
        <w:t>D.</w:t>
      </w:r>
      <w:r w:rsidRPr="0054533F">
        <w:tab/>
      </w:r>
      <w:r w:rsidR="0054533F" w:rsidRPr="0054533F">
        <w:t>mivel 2024-ben az EUB három ítéletet</w:t>
      </w:r>
      <w:r w:rsidR="0054533F" w:rsidRPr="0054533F">
        <w:rPr>
          <w:rStyle w:val="FootnoteReference"/>
        </w:rPr>
        <w:footnoteReference w:id="5"/>
      </w:r>
      <w:r w:rsidR="0054533F" w:rsidRPr="0054533F">
        <w:t xml:space="preserve"> hozott a nemi alapú erőszak és üldözés ügyében, jelezve, hogy a tagállamok jogosultak kizárólag a nemet és az állampolgárságot figyelembe venni egy afgán állampolgárságú nő menedékjog iránti kérelmének egyedi értékelése során;</w:t>
      </w:r>
    </w:p>
    <w:p w14:paraId="38D841A9" w14:textId="77777777" w:rsidR="003622EC" w:rsidRPr="0054533F" w:rsidRDefault="003622EC" w:rsidP="005A4C41">
      <w:pPr>
        <w:pStyle w:val="NormalHanging12a"/>
        <w:widowControl/>
        <w:rPr>
          <w:rFonts w:eastAsia="Calibri"/>
        </w:rPr>
      </w:pPr>
      <w:r w:rsidRPr="0054533F">
        <w:t>E.</w:t>
      </w:r>
      <w:r w:rsidRPr="0054533F">
        <w:tab/>
        <w:t>mivel 2025. szeptember 30. és október 2. között a tálibok országosan leállították az internetet, zavart okozva a kommunikációban, a repülőjáratokban, a banki és az alapvető szolgáltatásokban, és afgánok millióit fosztották meg az információhoz és az oktatáshoz való hozzáféréstől, különösen a nők és lányok számára a tanulási lehetőségek kihasználásához szükséges utolsó mentőövek egyikét szakították el tekintettel arra, hogy a tálibok tiltják számukra az oktatásban való részvételt a hatodik osztályon túl;</w:t>
      </w:r>
    </w:p>
    <w:p w14:paraId="5B5BCC41" w14:textId="77777777" w:rsidR="003622EC" w:rsidRPr="0054533F" w:rsidRDefault="003622EC" w:rsidP="005A4C41">
      <w:pPr>
        <w:pStyle w:val="NormalHanging12a"/>
        <w:widowControl/>
        <w:rPr>
          <w:rFonts w:eastAsia="Calibri"/>
        </w:rPr>
      </w:pPr>
      <w:r w:rsidRPr="0054533F">
        <w:t>F.</w:t>
      </w:r>
      <w:r w:rsidRPr="0054533F">
        <w:tab/>
        <w:t>mivel az Egészségügyi Világszervezet szerint 422 afganisztáni egészségügyi létesítményt zártak be a finanszírozási hiány miatt, ami 3,08 millió embert érint; mivel Afganisztánban több egészségügyi szükséghelyzet is fennáll, ami tovább súlyosbítja a világszerte már így is az egyik legmagasabb gyermekágyi halálozási arányt;</w:t>
      </w:r>
    </w:p>
    <w:p w14:paraId="6BB7CDF9" w14:textId="77777777" w:rsidR="003622EC" w:rsidRPr="0054533F" w:rsidRDefault="003622EC" w:rsidP="005A4C41">
      <w:pPr>
        <w:pStyle w:val="NormalHanging12a"/>
        <w:widowControl/>
        <w:rPr>
          <w:rFonts w:eastAsia="Calibri"/>
        </w:rPr>
      </w:pPr>
      <w:r w:rsidRPr="0054533F">
        <w:t>G.</w:t>
      </w:r>
      <w:r w:rsidRPr="0054533F">
        <w:tab/>
        <w:t>mivel Afganisztánban súlyos a humanitárius helyzet, közel 24 millió ember szorul humanitárius segítségre, és közel 15 millió ember szenved az élelmiszer-ellátás súlyos bizonytalanságától; mivel 2024 januárja és októbere között több mint 1,1 millió ember, tért vissza Afganisztánba, köztük sokan kényszer hatására, ami további terhet ró az amúgy is túlterhelt közösségekre; mivel Afganisztánban több mint 3,2 millió belső menekült, a szomszédos országokban pedig 5,3 millió afgán menekült és menedékkérő él;</w:t>
      </w:r>
    </w:p>
    <w:p w14:paraId="0565CD09" w14:textId="77777777" w:rsidR="003622EC" w:rsidRPr="0054533F" w:rsidRDefault="003622EC" w:rsidP="005A4C41">
      <w:pPr>
        <w:pStyle w:val="NormalHanging12a"/>
        <w:widowControl/>
        <w:rPr>
          <w:szCs w:val="24"/>
        </w:rPr>
      </w:pPr>
      <w:r w:rsidRPr="0054533F">
        <w:t>H.</w:t>
      </w:r>
      <w:r w:rsidRPr="0054533F">
        <w:tab/>
        <w:t>mivel csökkentették az USAID által nyújtott segélyek finanszírozását, ami súlyosan érintette Afganisztán egészségügyi rendszerét és élelmezési segélyprogramjait; mivel az EU és tagállamai továbbra is Afganisztán legnagyobb humanitárius adományozói közé tartoznak, és 1 millió euró összegű sürgősségi humanitárius segélyt hagytak jóvá a 2025-ben már elkülönített 161 millió euró összegű humanitárius segélyen felül, amelyet Afganisztán-szerte működő szervezeteknek szánnak; mivel Afganisztánban az uniós humanitárius segítségnyújtás kizárólag humanitárius partnereken keresztül történik;</w:t>
      </w:r>
    </w:p>
    <w:p w14:paraId="2D778440" w14:textId="77777777" w:rsidR="003622EC" w:rsidRPr="0054533F" w:rsidRDefault="003622EC" w:rsidP="005A4C41">
      <w:pPr>
        <w:pStyle w:val="NormalHanging12a"/>
        <w:widowControl/>
        <w:rPr>
          <w:szCs w:val="24"/>
        </w:rPr>
      </w:pPr>
      <w:r w:rsidRPr="0054533F">
        <w:t>I.</w:t>
      </w:r>
      <w:r w:rsidRPr="0054533F">
        <w:tab/>
        <w:t xml:space="preserve">mivel Afganisztán továbbra is magas szintű, olyan szélsőséges iszlamista csoportok által végzett terrorista tevékenységekkel szembesül, mint a tálibok, az al-Kaida és az </w:t>
      </w:r>
      <w:r w:rsidRPr="0054533F">
        <w:lastRenderedPageBreak/>
        <w:t>Iszlám Állam Horászán, amelyek szándékosan a polgári lakosságot, a kisebbségeket és a humanitárius dolgozókat célozzák meg; mivel az EU jogosan nem tart fenn kapcsolatot Afganisztán de facto hatóságaival;</w:t>
      </w:r>
    </w:p>
    <w:p w14:paraId="5D1944A5" w14:textId="77777777" w:rsidR="003622EC" w:rsidRPr="0054533F" w:rsidRDefault="003622EC" w:rsidP="005A4C41">
      <w:pPr>
        <w:pStyle w:val="NormalHanging12a"/>
        <w:widowControl/>
      </w:pPr>
      <w:r w:rsidRPr="0054533F">
        <w:t>1.</w:t>
      </w:r>
      <w:r w:rsidRPr="0054533F">
        <w:tab/>
        <w:t>mély aggodalmát fejezi ki a földrengések következtében Kunarban, Nangarharban és a szomszédos tartományokban kialakult humanitárius helyzet miatt, részvétét fejezi ki az áldozatok családjainak, és sürgeti a nemzetközi szereplőket, hogy a lehető leghamarabb nyújtsanak segítséget a túlélőknek; ragaszkodik ahhoz, hogy fokozzák a rosszul ellátott lakosság számára nyújtott sürgősségi segítségnyújtást, segítsék a visszatérő migránsokat a határátkelőhelyeken, és javítsák különösen az anyák és gyermekek egészségügyi ellátását; felszólítja Afganisztán de facto hatóságait, hogy oldjanak fel minden olyan korlátozást, amely gátolja a humanitárius segélyekhez való hozzáférést vagy azok elosztását; emberiesség elleni bűncselekményként elítéli, hogy az afgán rezsim szándékosan magára hagyta e tragédia nő és lány áldozatait;</w:t>
      </w:r>
    </w:p>
    <w:p w14:paraId="2D6B4D07" w14:textId="77777777" w:rsidR="003622EC" w:rsidRPr="0054533F" w:rsidRDefault="003622EC" w:rsidP="005A4C41">
      <w:pPr>
        <w:pStyle w:val="NormalHanging12a"/>
        <w:widowControl/>
      </w:pPr>
      <w:r w:rsidRPr="0054533F">
        <w:t>2.</w:t>
      </w:r>
      <w:r w:rsidRPr="0054533F">
        <w:tab/>
        <w:t xml:space="preserve">határozottan elítéli az olyan elnyomó intézkedéseket, mint a tálibok által az egész országban nemrég végrehajtott internetleállítás; emlékeztet arra, hogy ez még inkább elszigeteli Afganisztán népét, különösen az online tanulási lehetőségeket kereső nőket, és negatív hatást gyakorol a humanitárius segítségnyújtási műveletekre és az ország már amúgy is törékeny gazdaságára; felszólítja </w:t>
      </w:r>
      <w:proofErr w:type="gramStart"/>
      <w:r w:rsidRPr="0054533F">
        <w:t>a</w:t>
      </w:r>
      <w:proofErr w:type="gramEnd"/>
      <w:r w:rsidRPr="0054533F">
        <w:t xml:space="preserve"> de facto hatóságokat, hogy a jövőben tartózkodjanak az ilyen gyakorlatoktól;</w:t>
      </w:r>
    </w:p>
    <w:p w14:paraId="0876CC47" w14:textId="77777777" w:rsidR="003622EC" w:rsidRPr="0054533F" w:rsidRDefault="003622EC" w:rsidP="005A4C41">
      <w:pPr>
        <w:pStyle w:val="NormalHanging12a"/>
        <w:widowControl/>
        <w:rPr>
          <w:szCs w:val="18"/>
        </w:rPr>
      </w:pPr>
      <w:r w:rsidRPr="0054533F">
        <w:t>3.</w:t>
      </w:r>
      <w:r w:rsidRPr="0054533F">
        <w:tab/>
        <w:t>sürgeti a nemzetközi közösséget, hogy hangolja össze a humanitárius segítség növelésére és nyújtására, az infrastruktúra újjáépítésére, valamint a túlélők orvosi és pszichológiai támogatására irányuló erőfeszítéseket, beleértve a traumakezelést is; nagyobb beruházásokat szorgalmaz a közösségi alapú reziliencia terén, többek között a földrengésbiztos lakóépületekre, a helyi egészségügyi rendszerekre, az élelmezésbiztonságra és a nők megélhetésére vonatkozóan; felhívja a Bizottságot, hogy sürgősen növelje Afganisztán alapvető szükségletei és megélhetése támogatását, és növelje a nemzeti keretösszeget; felhívja a Bizottságot, hogy folytassa a humanitárius segítségnyújtás, a fejlesztés és a béke közötti kapcsolat keretében végzett munkát; emlékeztet arra, hogy a romló humanitárius helyzet és a jobb jövőre vonatkozó kilátások általános hiánya a destabilizáció és a radikalizálódás fokozódásához, valamint Afganisztánon belüli és határain túli lakóhelyelhagyáshoz vezethet; üdvözli a Bizottságnak a Globális Európáról szóló javaslatában</w:t>
      </w:r>
      <w:r w:rsidRPr="0054533F">
        <w:rPr>
          <w:rStyle w:val="FootnoteReference"/>
        </w:rPr>
        <w:footnoteReference w:id="6"/>
      </w:r>
      <w:r w:rsidRPr="0054533F">
        <w:t xml:space="preserve"> kifejezett azon szándékát, hogy növelje a rezilienciával kapcsolatos fellépések és az instabilitásra adott integrált válaszok uniós támogatását, és sürgeti a Bizottságot és a tagállamokat, hogy e tekintetben növeljék a rugalmas, többéves finanszírozást; ösztönzi az EU-t, hogy fokozza a regionális partnerekkel és a megbízható nem kormányzati szervezetekkel való együttműködését annak biztosítása érdekében, hogy a segélyek célba juttatása – ahol csak lehetséges – megkerülje a tálib beavatkozást;</w:t>
      </w:r>
    </w:p>
    <w:p w14:paraId="50878540" w14:textId="77777777" w:rsidR="003622EC" w:rsidRPr="0054533F" w:rsidRDefault="003622EC" w:rsidP="005A4C41">
      <w:pPr>
        <w:pStyle w:val="NormalHanging12a"/>
        <w:widowControl/>
      </w:pPr>
      <w:r w:rsidRPr="0054533F">
        <w:t>4.</w:t>
      </w:r>
      <w:r w:rsidRPr="0054533F">
        <w:tab/>
        <w:t xml:space="preserve">mély aggodalommal állapítja meg, hogy a földrengések által sújtott, romba dőlt házakkal és használhatatlan mezőgazdasági területekkel teli régiókba rengeteg afgán család áramlik be, akiket Iránból és Pakisztánból erőszakkal toloncoltak ki; elítéli a kitoloncolások során elkövetett emberi jogi jogsértéseket; komoly aggodalmának ad hangot amiatt, hogy ezekben a tartományokban ennek következtében további terhet nehezednek a humanitárius segítségnyújtás infrastruktúrájára; felszólítja Iránt és </w:t>
      </w:r>
      <w:r w:rsidRPr="0054533F">
        <w:lastRenderedPageBreak/>
        <w:t>Pakisztánt, hogy haladéktalanul állítsák le az Afganisztánba irányuló kitoloncolásokat; e tekintetben kiemeli annak fontosságát, hogy tiszteletben tartsák a visszaküldés tilalmának elvét, különösen az afganisztáni folyamatos konfliktus, instabilitás és az etnikai csoportok, a nők és a politikai ellenfelek üldözése fényében;</w:t>
      </w:r>
    </w:p>
    <w:p w14:paraId="46F120AE" w14:textId="77777777" w:rsidR="00066A42" w:rsidRDefault="003622EC" w:rsidP="005A4C41">
      <w:pPr>
        <w:pStyle w:val="NormalHanging12a"/>
        <w:widowControl/>
      </w:pPr>
      <w:r w:rsidRPr="0054533F">
        <w:t>5.</w:t>
      </w:r>
      <w:r w:rsidRPr="0054533F">
        <w:tab/>
      </w:r>
      <w:r w:rsidR="0054533F" w:rsidRPr="0054533F">
        <w:t>aggodalommal állapítja meg az afgán emberijog-védők, újságírók és más közéleti személyiségek helyzetét, akik az elmúlt évtizedben támogatták Afganisztán demokratikus fejlődését, és akik olyan dokumentumokat kaptak, amelyek lehetővé tették számukra, hogy ideiglenesen Pakisztánban tartózkodjanak; felhívja az EU-t és tagállamait, hogy adott esetben és lehetőség szerint segítsék e személyek kérelmezési eljárását;</w:t>
      </w:r>
    </w:p>
    <w:p w14:paraId="4BC644CF" w14:textId="459D8481" w:rsidR="003622EC" w:rsidRPr="0054533F" w:rsidRDefault="003622EC" w:rsidP="005A4C41">
      <w:pPr>
        <w:pStyle w:val="NormalHanging12a"/>
        <w:widowControl/>
      </w:pPr>
      <w:r w:rsidRPr="0054533F">
        <w:t>6.</w:t>
      </w:r>
      <w:r w:rsidRPr="0054533F">
        <w:tab/>
        <w:t>határozottan elítéli a tálibok számos nemi alapú korlátozását és diszkriminatív politikáját, amelyek megakadályozzák, hogy az afgán nők hozzáférjenek az oktatáshoz, az orvosi képzéshez, az egészségügyi ellátáshoz és a humanitárius munkához, ami a nemi alapú apartheid létrehozásához vezet; felszólítja az EU-t, hogy támogassa a nemi alapú apartheid emberiesség elleni bűncselekményként való elismerését; felszólítja Afganisztán de facto hatóságait, hogy oldják fel a nőkre vonatkozó valamennyi korlátozást, és felszólít a nők és lányok közéletben való teljes körű, egyenlő és érdemi részvételének azonnali helyreállítására; ismételten felszólítja az EU-t és a tagállamokat, hogy tegyenek meg minden szükséges intézkedést annak érdekében, hogy az afgán nők érdemben részt vehessenek a nemzetközi fórumokon és tárgyalásokon; kifejezetten sürgeti a de facto hatóságokat, hogy újra nyissák meg a nők előtt az egészségügyi oktatási központokat, tekintettel a női egészségügyi dolgozók drámai hiányára az országban;</w:t>
      </w:r>
    </w:p>
    <w:p w14:paraId="104A94B1" w14:textId="77777777" w:rsidR="003622EC" w:rsidRPr="0054533F" w:rsidRDefault="003622EC" w:rsidP="005A4C41">
      <w:pPr>
        <w:pStyle w:val="NormalHanging12a"/>
        <w:widowControl/>
      </w:pPr>
      <w:r w:rsidRPr="0054533F">
        <w:t>7.</w:t>
      </w:r>
      <w:r w:rsidRPr="0054533F">
        <w:tab/>
        <w:t>felhívja a de facto hatóságokat, hogy haladéktalanul oldják fel a női humanitárius dolgozókra és diákokra vonatkozó korlátozásokat, tegyék lehetővé a nők számára a katasztrófareagálási erőfeszítésekben való teljes körű részvételt, és engedélyezzék a nőjogi szervezetek számára, hogy folytathassák a munkájukat Afganisztánban; kifejezetten felszólítja a hatóságokat, hogy haladéktalanul szüntessék meg a civil társadalmi szervezeteknek dolgozó nőkre vonatkozó valamennyi korlátozást, mind helyi, mind nemzetközi szinten, hogy folytathassák a munkájukat;</w:t>
      </w:r>
    </w:p>
    <w:p w14:paraId="1836F576" w14:textId="77777777" w:rsidR="003622EC" w:rsidRPr="0054533F" w:rsidRDefault="003622EC" w:rsidP="005A4C41">
      <w:pPr>
        <w:pStyle w:val="NormalHanging12a"/>
        <w:widowControl/>
        <w:rPr>
          <w:szCs w:val="18"/>
        </w:rPr>
      </w:pPr>
      <w:r w:rsidRPr="0054533F">
        <w:t>8.</w:t>
      </w:r>
      <w:r w:rsidRPr="0054533F">
        <w:tab/>
        <w:t>elítéli a nők elleni erőszak, többek között a szexuális kényszerítés és a szexuális erőszak, a kényszerházasság (gyermekházasság), a kapcsolati erőszak és a női nemi szervek megcsonkításának eseteit Afganisztánban;</w:t>
      </w:r>
    </w:p>
    <w:p w14:paraId="0F737B53" w14:textId="77777777" w:rsidR="003622EC" w:rsidRPr="0054533F" w:rsidRDefault="003622EC" w:rsidP="005A4C41">
      <w:pPr>
        <w:pStyle w:val="NormalHanging12a"/>
        <w:widowControl/>
      </w:pPr>
      <w:r w:rsidRPr="0054533F">
        <w:t>9.</w:t>
      </w:r>
      <w:r w:rsidRPr="0054533F">
        <w:tab/>
        <w:t>ragaszkodik ahhoz, hogy a tálibok akadályozzák meg, hogy az al-Kaida, a Dáis, az Iszlám Állam Horászán vagy más terrorista csoportok és személyek afgán területet használjanak fel bármely más ország biztonságának fenyegetése vagy megsértése céljából, oly módon, hogy nem fogadják e csoportok tagjait, és megakadályozzák őket a toborzásban, képzésben vagy pénzgyűjtésben; aggodalmát fejezi ki amiatt, hogy ezeket a kötelezettségvállalásokat nem teljesítik; sürgeti valamennyi érintett partnert, hogy fokozzák a valamennyi terrorizmusfinanszírozási hálózat felszámolására irányuló erőfeszítéseiket;</w:t>
      </w:r>
    </w:p>
    <w:p w14:paraId="5C4ECF41" w14:textId="77777777" w:rsidR="003622EC" w:rsidRPr="0054533F" w:rsidRDefault="003622EC" w:rsidP="005A4C41">
      <w:pPr>
        <w:pStyle w:val="NormalHanging12a"/>
        <w:widowControl/>
        <w:rPr>
          <w:szCs w:val="18"/>
        </w:rPr>
      </w:pPr>
      <w:r w:rsidRPr="0054533F">
        <w:t>10.</w:t>
      </w:r>
      <w:r w:rsidRPr="0054533F">
        <w:tab/>
        <w:t xml:space="preserve">felhívja az EU-t és a tagállamokat, hogy fokozzák a tálibokra gyakorolt nyomást, többek között célzott szankciók, vagyoni eszközök befagyasztása és utazási tilalom révén az emberi jogok szisztematikus megsértéséért felelős tálib vezetőkkel szemben, és tartózkodjanak a tálibokkal való diplomáciai kapcsolatok újraindításától az </w:t>
      </w:r>
      <w:r w:rsidRPr="0054533F">
        <w:lastRenderedPageBreak/>
        <w:t>Afganisztánról szóló, 2021. szeptemberi tanácsi következtetésekben meghatározott öt kritériummal összhangban;</w:t>
      </w:r>
    </w:p>
    <w:p w14:paraId="5671E1FB" w14:textId="77777777" w:rsidR="003622EC" w:rsidRPr="0054533F" w:rsidRDefault="003622EC" w:rsidP="005A4C41">
      <w:pPr>
        <w:pStyle w:val="NormalHanging12a"/>
        <w:widowControl/>
      </w:pPr>
      <w:r w:rsidRPr="0054533F">
        <w:t>11.</w:t>
      </w:r>
      <w:r w:rsidRPr="0054533F">
        <w:tab/>
        <w:t>felhívja a nemzetközi közösséget, hogy vonja felelősségre a tálibokat, többek között az ENSZ Afganisztánra vonatkozó független vizsgálati mechanizmusának létrehozása révén, és hajtsa végre a Nemzetközi Büntetőbíróság 2025. júliusi elfogatóparancsait Haibatullah Akhundzada legfőbb tálib vezető és Abdul Hakim Haqqani, a Legfelsőbb Bíróság tálib elnöke ellen, amelyeket nők és lányok üldözésével kapcsolatos emberiesség elleni bűncselekmények miatt adtak ki; támogatását fejezi ki a nemi hovatartozáson alapuló üldöztetéssel és az emberi jogok egyéb megsértésével kapcsolatos, folyamatban lévő vizsgálatok iránt;</w:t>
      </w:r>
    </w:p>
    <w:p w14:paraId="7DD6B25C" w14:textId="2522228E" w:rsidR="0054533F" w:rsidRPr="0054533F" w:rsidRDefault="0054533F" w:rsidP="0054533F">
      <w:pPr>
        <w:pStyle w:val="ListParagraph"/>
        <w:ind w:left="567" w:hanging="567"/>
        <w:rPr>
          <w:bCs/>
          <w:iCs/>
        </w:rPr>
      </w:pPr>
      <w:r w:rsidRPr="0054533F">
        <w:rPr>
          <w:rFonts w:ascii="Times New Roman" w:hAnsi="Times New Roman"/>
          <w:bCs/>
          <w:iCs/>
          <w:color w:val="auto"/>
          <w:sz w:val="24"/>
        </w:rPr>
        <w:t>12.</w:t>
      </w:r>
      <w:r w:rsidRPr="0054533F">
        <w:rPr>
          <w:rFonts w:ascii="Times New Roman" w:hAnsi="Times New Roman"/>
          <w:bCs/>
          <w:iCs/>
          <w:color w:val="auto"/>
          <w:sz w:val="24"/>
        </w:rPr>
        <w:tab/>
        <w:t>üdvözli az Afganisztánra vonatkozó független vizsgálati mechanizmus létrehozását, válaszul az afgán áldozatok felhívására, ami jelentős mérföldkövet jelent az országban elkövetett nemzetközi bűncselekmények és a nemzetközi jog megsértése által sújtott afgán nép igazságra, igazságszolgáltatásra és elszámoltathatóságra való törekvésében; üdvözli továbbá az ENSZ különleges előadója megbízatásának megújítását, és megismétli az elszámoltathatóságra vonatkozó felhívását;</w:t>
      </w:r>
    </w:p>
    <w:p w14:paraId="69F72D34" w14:textId="5A631829" w:rsidR="001F16AB" w:rsidRPr="0054533F" w:rsidRDefault="003622EC" w:rsidP="005A4C41">
      <w:pPr>
        <w:pStyle w:val="NormalHanging12a"/>
        <w:widowControl/>
      </w:pPr>
      <w:r w:rsidRPr="0054533F">
        <w:t>1</w:t>
      </w:r>
      <w:r w:rsidR="0054533F" w:rsidRPr="0054533F">
        <w:t>3</w:t>
      </w:r>
      <w:r w:rsidRPr="0054533F">
        <w:t>.</w:t>
      </w:r>
      <w:r w:rsidRPr="0054533F">
        <w:tab/>
        <w:t>utasítja elnökét, hogy továbbítsa ezt az állásfoglalást a Tanácsnak, a Bizottságnak, a Bizottság alelnökének/az Unió kül- és biztonságpolitikai főképviselőjének, a tagállamok kormányainak és parlamentjeinek, az EU afganisztáni különmegbízottjának, valamint Afganisztán de facto hatóságainak.</w:t>
      </w:r>
    </w:p>
    <w:p w14:paraId="452B252F" w14:textId="62B13E25" w:rsidR="00E365E1" w:rsidRPr="0054533F" w:rsidRDefault="00E365E1" w:rsidP="005A4C41">
      <w:pPr>
        <w:widowControl/>
        <w:spacing w:after="240"/>
        <w:ind w:left="567" w:hanging="567"/>
      </w:pPr>
    </w:p>
    <w:sectPr w:rsidR="00E365E1" w:rsidRPr="0054533F" w:rsidSect="001F16A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3CF2B5" w14:textId="77777777" w:rsidR="000F7C80" w:rsidRPr="001F16AB" w:rsidRDefault="000F7C80">
      <w:r w:rsidRPr="001F16AB">
        <w:separator/>
      </w:r>
    </w:p>
  </w:endnote>
  <w:endnote w:type="continuationSeparator" w:id="0">
    <w:p w14:paraId="3D22B3E1" w14:textId="77777777" w:rsidR="000F7C80" w:rsidRPr="001F16AB" w:rsidRDefault="000F7C80">
      <w:r w:rsidRPr="001F16A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mnesty Trade Gothic">
    <w:altName w:val="Calibri"/>
    <w:charset w:val="00"/>
    <w:family w:val="swiss"/>
    <w:pitch w:val="variable"/>
    <w:sig w:usb0="800000AF" w:usb1="5000204A" w:usb2="00000000" w:usb3="00000000" w:csb0="0000009B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380347" w14:textId="77777777" w:rsidR="00064002" w:rsidRPr="001F16AB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BAD00D" w14:textId="77777777" w:rsidR="00064002" w:rsidRPr="001F16AB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11101D" w14:textId="77777777" w:rsidR="00064002" w:rsidRPr="001F16AB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343C09" w14:textId="77777777" w:rsidR="000F7C80" w:rsidRPr="001F16AB" w:rsidRDefault="000F7C80">
      <w:r w:rsidRPr="001F16AB">
        <w:separator/>
      </w:r>
    </w:p>
  </w:footnote>
  <w:footnote w:type="continuationSeparator" w:id="0">
    <w:p w14:paraId="01BE7F7A" w14:textId="77777777" w:rsidR="000F7C80" w:rsidRPr="001F16AB" w:rsidRDefault="000F7C80">
      <w:r w:rsidRPr="001F16AB">
        <w:continuationSeparator/>
      </w:r>
    </w:p>
  </w:footnote>
  <w:footnote w:id="1">
    <w:p w14:paraId="45C72F89" w14:textId="3AE852A5" w:rsidR="003622EC" w:rsidRPr="001F16AB" w:rsidRDefault="003622EC" w:rsidP="001F16AB">
      <w:pPr>
        <w:pStyle w:val="FootnoteText"/>
        <w:ind w:left="567" w:hanging="567"/>
        <w:rPr>
          <w:sz w:val="24"/>
          <w:lang w:val="hu-HU"/>
        </w:rPr>
      </w:pPr>
      <w:r w:rsidRPr="001F16AB">
        <w:rPr>
          <w:rStyle w:val="FootnoteReference"/>
          <w:sz w:val="24"/>
          <w:lang w:val="hu-HU"/>
        </w:rPr>
        <w:footnoteRef/>
      </w:r>
      <w:r w:rsidR="001F16AB" w:rsidRPr="001F16AB">
        <w:rPr>
          <w:sz w:val="24"/>
          <w:lang w:val="hu-HU"/>
        </w:rPr>
        <w:t xml:space="preserve"> </w:t>
      </w:r>
      <w:r w:rsidR="001F16AB" w:rsidRPr="001F16AB">
        <w:rPr>
          <w:sz w:val="24"/>
          <w:lang w:val="hu-HU"/>
        </w:rPr>
        <w:tab/>
      </w:r>
      <w:r w:rsidRPr="001F16AB">
        <w:rPr>
          <w:sz w:val="24"/>
          <w:lang w:val="hu-HU"/>
        </w:rPr>
        <w:t xml:space="preserve">HL C, C/2024/7211, 2024.12.10., ELI: </w:t>
      </w:r>
      <w:r w:rsidR="00066A42">
        <w:fldChar w:fldCharType="begin"/>
      </w:r>
      <w:r w:rsidR="00066A42" w:rsidRPr="00066A42">
        <w:rPr>
          <w:lang w:val="fi-FI"/>
        </w:rPr>
        <w:instrText>HYPERLINK "http://data.europa.eu/eli/C/2024/7211/oj"</w:instrText>
      </w:r>
      <w:r w:rsidR="00066A42">
        <w:fldChar w:fldCharType="separate"/>
      </w:r>
      <w:r w:rsidRPr="001F16AB">
        <w:rPr>
          <w:rStyle w:val="Hyperlink"/>
          <w:sz w:val="24"/>
          <w:lang w:val="hu-HU"/>
        </w:rPr>
        <w:t>http://data.europa.eu/eli/C/2024/7211/oj</w:t>
      </w:r>
      <w:r w:rsidR="00066A42">
        <w:rPr>
          <w:rStyle w:val="Hyperlink"/>
          <w:sz w:val="24"/>
          <w:lang w:val="hu-HU"/>
        </w:rPr>
        <w:fldChar w:fldCharType="end"/>
      </w:r>
      <w:r w:rsidRPr="001F16AB">
        <w:rPr>
          <w:sz w:val="24"/>
          <w:lang w:val="hu-HU"/>
        </w:rPr>
        <w:t>.</w:t>
      </w:r>
    </w:p>
  </w:footnote>
  <w:footnote w:id="2">
    <w:p w14:paraId="05776D45" w14:textId="7F112DC3" w:rsidR="003622EC" w:rsidRPr="001F16AB" w:rsidRDefault="003622EC" w:rsidP="001F16AB">
      <w:pPr>
        <w:pStyle w:val="FootnoteText"/>
        <w:ind w:left="567" w:hanging="567"/>
        <w:rPr>
          <w:sz w:val="24"/>
          <w:lang w:val="hu-HU"/>
        </w:rPr>
      </w:pPr>
      <w:r w:rsidRPr="001F16AB">
        <w:rPr>
          <w:rStyle w:val="FootnoteReference"/>
          <w:sz w:val="24"/>
          <w:lang w:val="hu-HU"/>
        </w:rPr>
        <w:footnoteRef/>
      </w:r>
      <w:r w:rsidR="001F16AB" w:rsidRPr="001F16AB">
        <w:rPr>
          <w:sz w:val="24"/>
          <w:lang w:val="hu-HU"/>
        </w:rPr>
        <w:t xml:space="preserve"> </w:t>
      </w:r>
      <w:r w:rsidR="001F16AB" w:rsidRPr="001F16AB">
        <w:rPr>
          <w:sz w:val="24"/>
          <w:lang w:val="hu-HU"/>
        </w:rPr>
        <w:tab/>
      </w:r>
      <w:r w:rsidRPr="001F16AB">
        <w:rPr>
          <w:sz w:val="24"/>
          <w:lang w:val="hu-HU"/>
        </w:rPr>
        <w:t>A Bíróság 2024. október 4-i ítélete, AH, FN kontra Bundesamt für Fremdenwesen und Asyl, C-608/22, C-609/22, ECLI:EU:C:2024:828.</w:t>
      </w:r>
    </w:p>
  </w:footnote>
  <w:footnote w:id="3">
    <w:p w14:paraId="51A7A304" w14:textId="45B2A92C" w:rsidR="003622EC" w:rsidRPr="001F16AB" w:rsidRDefault="003622EC" w:rsidP="001F16AB">
      <w:pPr>
        <w:pStyle w:val="FootnoteText"/>
        <w:ind w:left="567" w:hanging="567"/>
        <w:rPr>
          <w:sz w:val="24"/>
          <w:lang w:val="hu-HU"/>
        </w:rPr>
      </w:pPr>
      <w:r w:rsidRPr="001F16AB">
        <w:rPr>
          <w:rStyle w:val="FootnoteReference"/>
          <w:sz w:val="24"/>
          <w:lang w:val="hu-HU"/>
        </w:rPr>
        <w:footnoteRef/>
      </w:r>
      <w:r w:rsidR="001F16AB" w:rsidRPr="001F16AB">
        <w:rPr>
          <w:sz w:val="24"/>
          <w:lang w:val="hu-HU"/>
        </w:rPr>
        <w:t xml:space="preserve"> </w:t>
      </w:r>
      <w:r w:rsidR="001F16AB" w:rsidRPr="001F16AB">
        <w:rPr>
          <w:sz w:val="24"/>
          <w:lang w:val="hu-HU"/>
        </w:rPr>
        <w:tab/>
      </w:r>
      <w:r w:rsidRPr="001F16AB">
        <w:rPr>
          <w:sz w:val="24"/>
          <w:lang w:val="hu-HU"/>
        </w:rPr>
        <w:t xml:space="preserve">HL L 67., 2017.3.14., 3. o., ELI: </w:t>
      </w:r>
      <w:r w:rsidR="00066A42">
        <w:fldChar w:fldCharType="begin"/>
      </w:r>
      <w:r w:rsidR="00066A42" w:rsidRPr="00066A42">
        <w:rPr>
          <w:lang w:val="fi-FI"/>
        </w:rPr>
        <w:instrText>HYPERLINK "http://data.europa.eu/eli/agree_internation/2017/434/oj"</w:instrText>
      </w:r>
      <w:r w:rsidR="00066A42">
        <w:fldChar w:fldCharType="separate"/>
      </w:r>
      <w:r w:rsidRPr="001F16AB">
        <w:rPr>
          <w:rStyle w:val="Hyperlink"/>
          <w:sz w:val="24"/>
          <w:lang w:val="hu-HU"/>
        </w:rPr>
        <w:t>http://data.europa.eu/eli/agree_internation/2017/434/oj</w:t>
      </w:r>
      <w:r w:rsidR="00066A42">
        <w:rPr>
          <w:rStyle w:val="Hyperlink"/>
          <w:sz w:val="24"/>
          <w:lang w:val="hu-HU"/>
        </w:rPr>
        <w:fldChar w:fldCharType="end"/>
      </w:r>
      <w:r w:rsidRPr="001F16AB">
        <w:rPr>
          <w:sz w:val="24"/>
          <w:lang w:val="hu-HU"/>
        </w:rPr>
        <w:t>.</w:t>
      </w:r>
    </w:p>
  </w:footnote>
  <w:footnote w:id="4">
    <w:p w14:paraId="2725BE13" w14:textId="09AC9E3C" w:rsidR="003622EC" w:rsidRPr="001F16AB" w:rsidRDefault="003622EC" w:rsidP="001F16AB">
      <w:pPr>
        <w:pStyle w:val="FootnoteText"/>
        <w:ind w:left="567" w:hanging="567"/>
        <w:rPr>
          <w:sz w:val="24"/>
          <w:lang w:val="hu-HU"/>
        </w:rPr>
      </w:pPr>
      <w:r w:rsidRPr="001F16AB">
        <w:rPr>
          <w:rStyle w:val="FootnoteReference"/>
          <w:sz w:val="24"/>
          <w:lang w:val="hu-HU"/>
        </w:rPr>
        <w:footnoteRef/>
      </w:r>
      <w:r w:rsidR="001F16AB" w:rsidRPr="001F16AB">
        <w:rPr>
          <w:sz w:val="24"/>
          <w:lang w:val="hu-HU"/>
        </w:rPr>
        <w:t xml:space="preserve"> </w:t>
      </w:r>
      <w:r w:rsidR="001F16AB" w:rsidRPr="001F16AB">
        <w:rPr>
          <w:sz w:val="24"/>
          <w:lang w:val="hu-HU"/>
        </w:rPr>
        <w:tab/>
      </w:r>
      <w:r w:rsidRPr="001F16AB">
        <w:rPr>
          <w:sz w:val="24"/>
          <w:lang w:val="hu-HU"/>
        </w:rPr>
        <w:t>A Bíróság 2024. január 16-i ítélete, WS kontra Intervyuirasht organ na Darzhavna agentsia za bezhantsite pri Ministerskia savet, C-621/21. sz. ügy, ECLI:EU:C:2024:47.</w:t>
      </w:r>
    </w:p>
  </w:footnote>
  <w:footnote w:id="5">
    <w:p w14:paraId="04ED433E" w14:textId="030357B3" w:rsidR="0054533F" w:rsidRPr="0054533F" w:rsidRDefault="0054533F" w:rsidP="0054533F">
      <w:pPr>
        <w:pStyle w:val="FootnoteText"/>
        <w:ind w:left="567" w:hanging="567"/>
        <w:rPr>
          <w:sz w:val="24"/>
          <w:szCs w:val="24"/>
          <w:lang w:val="hu-HU"/>
        </w:rPr>
      </w:pPr>
      <w:r>
        <w:rPr>
          <w:rStyle w:val="FootnoteReference"/>
        </w:rPr>
        <w:footnoteRef/>
      </w:r>
      <w:r w:rsidRPr="0054533F">
        <w:rPr>
          <w:lang w:val="hu-HU"/>
        </w:rPr>
        <w:t xml:space="preserve"> </w:t>
      </w:r>
      <w:r>
        <w:rPr>
          <w:lang w:val="hu-HU"/>
        </w:rPr>
        <w:tab/>
      </w:r>
      <w:r w:rsidRPr="0054533F">
        <w:rPr>
          <w:sz w:val="24"/>
          <w:szCs w:val="24"/>
          <w:lang w:val="hu-HU"/>
        </w:rPr>
        <w:t>A Bíróság 2024. január 16-i ítélete, WS kontra Intervyuirasht organ na Darzhavna agentsia za bezhantsite pri Ministerskia savet, C-621/21. sz. ügy, ECLI:EU:C:2024:47; A Bíróság 2024. június 11-i ítélete, AH, K, L kontra Staatssecretaris van Justitie en Veiligheid, C 646/21. sz. ügy, ECLI:EU:C:2024:487; A Bíróság 2024. október 4-i ítélete, AH, FN kontra Bundesamt für Fremdenwesen und Asyl, C-608/22, C-609/22, ECLI:EU:C:2024:82.</w:t>
      </w:r>
    </w:p>
  </w:footnote>
  <w:footnote w:id="6">
    <w:p w14:paraId="1EB2D3E6" w14:textId="02BEB4AD" w:rsidR="003622EC" w:rsidRPr="001F16AB" w:rsidRDefault="003622EC" w:rsidP="001F16AB">
      <w:pPr>
        <w:pStyle w:val="FootnoteText"/>
        <w:ind w:left="567" w:hanging="567"/>
        <w:rPr>
          <w:sz w:val="24"/>
          <w:lang w:val="hu-HU"/>
        </w:rPr>
      </w:pPr>
      <w:r w:rsidRPr="001F16AB">
        <w:rPr>
          <w:rStyle w:val="FootnoteReference"/>
          <w:sz w:val="24"/>
          <w:lang w:val="hu-HU"/>
        </w:rPr>
        <w:footnoteRef/>
      </w:r>
      <w:r w:rsidR="001F16AB" w:rsidRPr="001F16AB">
        <w:rPr>
          <w:sz w:val="24"/>
          <w:lang w:val="hu-HU"/>
        </w:rPr>
        <w:t xml:space="preserve"> </w:t>
      </w:r>
      <w:r w:rsidR="001F16AB" w:rsidRPr="001F16AB">
        <w:rPr>
          <w:sz w:val="24"/>
          <w:lang w:val="hu-HU"/>
        </w:rPr>
        <w:tab/>
      </w:r>
      <w:r w:rsidRPr="001F16AB">
        <w:rPr>
          <w:sz w:val="24"/>
          <w:lang w:val="hu-HU"/>
        </w:rPr>
        <w:t>A Bizottság 2025. július 16-i javaslata a Globális Európa létrehozásáról szóló európai parlamenti és tanácsi rendeletre</w:t>
      </w:r>
      <w:r w:rsidR="005A4C41">
        <w:rPr>
          <w:sz w:val="24"/>
          <w:lang w:val="hu-HU"/>
        </w:rPr>
        <w:t xml:space="preserve"> </w:t>
      </w:r>
      <w:r w:rsidR="005A4C41" w:rsidRPr="001F16AB">
        <w:rPr>
          <w:sz w:val="24"/>
          <w:lang w:val="hu-HU"/>
        </w:rPr>
        <w:t>(</w:t>
      </w:r>
      <w:proofErr w:type="gramStart"/>
      <w:r w:rsidR="005A4C41" w:rsidRPr="001F16AB">
        <w:rPr>
          <w:sz w:val="24"/>
          <w:lang w:val="hu-HU"/>
        </w:rPr>
        <w:t>COM(</w:t>
      </w:r>
      <w:proofErr w:type="gramEnd"/>
      <w:r w:rsidR="005A4C41" w:rsidRPr="001F16AB">
        <w:rPr>
          <w:sz w:val="24"/>
          <w:lang w:val="hu-HU"/>
        </w:rPr>
        <w:t>2025)0551)</w:t>
      </w:r>
      <w:r w:rsidR="005A4C41">
        <w:rPr>
          <w:sz w:val="24"/>
          <w:lang w:val="hu-HU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977BD6" w14:textId="77777777" w:rsidR="00064002" w:rsidRPr="001F16AB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042F98" w14:textId="77777777" w:rsidR="00064002" w:rsidRPr="001F16AB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3B6426" w14:textId="77777777" w:rsidR="00064002" w:rsidRPr="001F16AB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2141880223">
    <w:abstractNumId w:val="9"/>
  </w:num>
  <w:num w:numId="2" w16cid:durableId="692805553">
    <w:abstractNumId w:val="9"/>
  </w:num>
  <w:num w:numId="3" w16cid:durableId="1349714597">
    <w:abstractNumId w:val="7"/>
  </w:num>
  <w:num w:numId="4" w16cid:durableId="408772666">
    <w:abstractNumId w:val="7"/>
  </w:num>
  <w:num w:numId="5" w16cid:durableId="2070573747">
    <w:abstractNumId w:val="6"/>
  </w:num>
  <w:num w:numId="6" w16cid:durableId="750855079">
    <w:abstractNumId w:val="6"/>
  </w:num>
  <w:num w:numId="7" w16cid:durableId="765226422">
    <w:abstractNumId w:val="5"/>
  </w:num>
  <w:num w:numId="8" w16cid:durableId="713625772">
    <w:abstractNumId w:val="5"/>
  </w:num>
  <w:num w:numId="9" w16cid:durableId="734544202">
    <w:abstractNumId w:val="4"/>
  </w:num>
  <w:num w:numId="10" w16cid:durableId="2100173793">
    <w:abstractNumId w:val="4"/>
  </w:num>
  <w:num w:numId="11" w16cid:durableId="1498034610">
    <w:abstractNumId w:val="8"/>
  </w:num>
  <w:num w:numId="12" w16cid:durableId="453181524">
    <w:abstractNumId w:val="8"/>
  </w:num>
  <w:num w:numId="13" w16cid:durableId="2083217910">
    <w:abstractNumId w:val="3"/>
  </w:num>
  <w:num w:numId="14" w16cid:durableId="13115698">
    <w:abstractNumId w:val="3"/>
  </w:num>
  <w:num w:numId="15" w16cid:durableId="2054504261">
    <w:abstractNumId w:val="2"/>
  </w:num>
  <w:num w:numId="16" w16cid:durableId="24987881">
    <w:abstractNumId w:val="2"/>
  </w:num>
  <w:num w:numId="17" w16cid:durableId="556431628">
    <w:abstractNumId w:val="1"/>
  </w:num>
  <w:num w:numId="18" w16cid:durableId="655110280">
    <w:abstractNumId w:val="1"/>
  </w:num>
  <w:num w:numId="19" w16cid:durableId="1503204168">
    <w:abstractNumId w:val="0"/>
  </w:num>
  <w:num w:numId="20" w16cid:durableId="1447384251">
    <w:abstractNumId w:val="0"/>
  </w:num>
  <w:num w:numId="21" w16cid:durableId="1388577441">
    <w:abstractNumId w:val="9"/>
  </w:num>
  <w:num w:numId="22" w16cid:durableId="1913736161">
    <w:abstractNumId w:val="7"/>
  </w:num>
  <w:num w:numId="23" w16cid:durableId="707216657">
    <w:abstractNumId w:val="6"/>
  </w:num>
  <w:num w:numId="24" w16cid:durableId="1955096291">
    <w:abstractNumId w:val="5"/>
  </w:num>
  <w:num w:numId="25" w16cid:durableId="191304131">
    <w:abstractNumId w:val="4"/>
  </w:num>
  <w:num w:numId="26" w16cid:durableId="1550606861">
    <w:abstractNumId w:val="8"/>
  </w:num>
  <w:num w:numId="27" w16cid:durableId="910846530">
    <w:abstractNumId w:val="3"/>
  </w:num>
  <w:num w:numId="28" w16cid:durableId="633414510">
    <w:abstractNumId w:val="2"/>
  </w:num>
  <w:num w:numId="29" w16cid:durableId="17659788">
    <w:abstractNumId w:val="1"/>
  </w:num>
  <w:num w:numId="30" w16cid:durableId="56441359">
    <w:abstractNumId w:val="0"/>
  </w:num>
  <w:num w:numId="31" w16cid:durableId="597717195">
    <w:abstractNumId w:val="9"/>
  </w:num>
  <w:num w:numId="32" w16cid:durableId="1693918932">
    <w:abstractNumId w:val="7"/>
  </w:num>
  <w:num w:numId="33" w16cid:durableId="1452750641">
    <w:abstractNumId w:val="6"/>
  </w:num>
  <w:num w:numId="34" w16cid:durableId="20594000">
    <w:abstractNumId w:val="5"/>
  </w:num>
  <w:num w:numId="35" w16cid:durableId="795292704">
    <w:abstractNumId w:val="4"/>
  </w:num>
  <w:num w:numId="36" w16cid:durableId="1224757434">
    <w:abstractNumId w:val="8"/>
  </w:num>
  <w:num w:numId="37" w16cid:durableId="1995446427">
    <w:abstractNumId w:val="3"/>
  </w:num>
  <w:num w:numId="38" w16cid:durableId="1380324727">
    <w:abstractNumId w:val="2"/>
  </w:num>
  <w:num w:numId="39" w16cid:durableId="1466121959">
    <w:abstractNumId w:val="1"/>
  </w:num>
  <w:num w:numId="40" w16cid:durableId="976953832">
    <w:abstractNumId w:val="0"/>
  </w:num>
  <w:num w:numId="41" w16cid:durableId="1262378517">
    <w:abstractNumId w:val="10"/>
  </w:num>
  <w:num w:numId="42" w16cid:durableId="859587243">
    <w:abstractNumId w:val="10"/>
  </w:num>
  <w:num w:numId="43" w16cid:durableId="1106851626">
    <w:abstractNumId w:val="10"/>
  </w:num>
  <w:num w:numId="44" w16cid:durableId="77629463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415, 0417, 0418, 0420, 0425 és 0427/2025"/>
    <w:docVar w:name="dvlangue" w:val="HU"/>
    <w:docVar w:name="dvnumam" w:val="0"/>
    <w:docVar w:name="dvpe" w:val="776.254"/>
    <w:docVar w:name="dvtitre" w:val="Az Európai Parlament 2025.  ...-i állásfoglalása az afganisztáni helyzetről: a közelmúltbeli földrengések által érintett nők és közösségek támogatása(2025/2872(RSP))"/>
  </w:docVars>
  <w:rsids>
    <w:rsidRoot w:val="000F7C80"/>
    <w:rsid w:val="00002272"/>
    <w:rsid w:val="00064002"/>
    <w:rsid w:val="00066A42"/>
    <w:rsid w:val="000677B9"/>
    <w:rsid w:val="000831BA"/>
    <w:rsid w:val="000A42CC"/>
    <w:rsid w:val="000E7DD9"/>
    <w:rsid w:val="000F7C80"/>
    <w:rsid w:val="0010095E"/>
    <w:rsid w:val="00125B37"/>
    <w:rsid w:val="00187494"/>
    <w:rsid w:val="001F16AB"/>
    <w:rsid w:val="001F32AE"/>
    <w:rsid w:val="002767FF"/>
    <w:rsid w:val="002B18FE"/>
    <w:rsid w:val="002B5493"/>
    <w:rsid w:val="00343214"/>
    <w:rsid w:val="00361C00"/>
    <w:rsid w:val="003622EC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33F"/>
    <w:rsid w:val="00545827"/>
    <w:rsid w:val="00560270"/>
    <w:rsid w:val="005A4C41"/>
    <w:rsid w:val="005C2568"/>
    <w:rsid w:val="005F1B17"/>
    <w:rsid w:val="006037C0"/>
    <w:rsid w:val="006631B6"/>
    <w:rsid w:val="00680577"/>
    <w:rsid w:val="006D5E71"/>
    <w:rsid w:val="006F74FA"/>
    <w:rsid w:val="00731ADD"/>
    <w:rsid w:val="00734777"/>
    <w:rsid w:val="00747932"/>
    <w:rsid w:val="00751A4A"/>
    <w:rsid w:val="00756632"/>
    <w:rsid w:val="00762C74"/>
    <w:rsid w:val="00786EC0"/>
    <w:rsid w:val="007D157A"/>
    <w:rsid w:val="007D1690"/>
    <w:rsid w:val="007E22AD"/>
    <w:rsid w:val="00817416"/>
    <w:rsid w:val="00842779"/>
    <w:rsid w:val="00845B00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5BBA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12C7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E8E875B"/>
  <w15:chartTrackingRefBased/>
  <w15:docId w15:val="{AB24D15E-B69D-49B2-A67C-92825D5969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u-HU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3622EC"/>
    <w:pPr>
      <w:spacing w:after="240"/>
      <w:ind w:left="567" w:hanging="567"/>
    </w:pPr>
  </w:style>
  <w:style w:type="paragraph" w:customStyle="1" w:styleId="EPComma">
    <w:name w:val="EPComma"/>
    <w:basedOn w:val="Normal"/>
    <w:rsid w:val="003622EC"/>
    <w:pPr>
      <w:spacing w:before="480" w:after="240"/>
    </w:pPr>
  </w:style>
  <w:style w:type="character" w:styleId="Hyperlink">
    <w:name w:val="Hyperlink"/>
    <w:basedOn w:val="DefaultParagraphFont"/>
    <w:rsid w:val="003622EC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5A4C41"/>
    <w:rPr>
      <w:sz w:val="24"/>
      <w:lang w:val="hu-HU"/>
    </w:rPr>
  </w:style>
  <w:style w:type="paragraph" w:styleId="ListParagraph">
    <w:name w:val="List Paragraph"/>
    <w:basedOn w:val="Normal"/>
    <w:uiPriority w:val="34"/>
    <w:qFormat/>
    <w:rsid w:val="0054533F"/>
    <w:pPr>
      <w:widowControl/>
      <w:suppressAutoHyphens/>
      <w:spacing w:after="246" w:line="240" w:lineRule="atLeast"/>
      <w:ind w:left="720" w:hanging="720"/>
      <w:contextualSpacing/>
    </w:pPr>
    <w:rPr>
      <w:rFonts w:ascii="Amnesty Trade Gothic" w:hAnsi="Amnesty Trade Gothic"/>
      <w:color w:val="000000"/>
      <w:sz w:val="18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2295</Words>
  <Characters>16290</Characters>
  <Application>Microsoft Office Word</Application>
  <DocSecurity>0</DocSecurity>
  <Lines>651</Lines>
  <Paragraphs>269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18316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ILLY_D</dc:creator>
  <cp:keywords/>
  <cp:lastModifiedBy>KOVACS-BOKOR Karoly</cp:lastModifiedBy>
  <cp:revision>2</cp:revision>
  <cp:lastPrinted>2004-11-19T15:42:00Z</cp:lastPrinted>
  <dcterms:created xsi:type="dcterms:W3CDTF">2025-11-12T15:08:00Z</dcterms:created>
  <dcterms:modified xsi:type="dcterms:W3CDTF">2025-11-12T15:08:00Z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HU</vt:lpwstr>
  </property>
  <property fmtid="{D5CDD505-2E9C-101B-9397-08002B2CF9AE}" pid="3" name="&lt;FdR&gt;">
    <vt:lpwstr>B10-0415, 0417, 0418, 0420, 0425 és 0427/2025</vt:lpwstr>
  </property>
  <property fmtid="{D5CDD505-2E9C-101B-9397-08002B2CF9AE}" pid="4" name="&lt;Type&gt;">
    <vt:lpwstr>RR</vt:lpwstr>
  </property>
</Properties>
</file>