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005E" w14:paraId="300010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04085C" w14:textId="77777777" w:rsidR="00751A4A" w:rsidRPr="00FD005E" w:rsidRDefault="00013A54" w:rsidP="0010095E">
            <w:pPr>
              <w:pStyle w:val="EPName"/>
            </w:pPr>
            <w:r w:rsidRPr="00FD005E">
              <w:t>Parlamento europeo</w:t>
            </w:r>
          </w:p>
          <w:p w14:paraId="5EC19274" w14:textId="77777777" w:rsidR="00751A4A" w:rsidRPr="00FD00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005E">
              <w:t>2024</w:t>
            </w:r>
            <w:r w:rsidR="00817416" w:rsidRPr="00FD005E">
              <w:t>-202</w:t>
            </w:r>
            <w:r w:rsidRPr="00FD005E">
              <w:t>9</w:t>
            </w:r>
          </w:p>
        </w:tc>
        <w:tc>
          <w:tcPr>
            <w:tcW w:w="2268" w:type="dxa"/>
            <w:shd w:val="clear" w:color="auto" w:fill="auto"/>
          </w:tcPr>
          <w:p w14:paraId="431C4E99" w14:textId="77777777" w:rsidR="00751A4A" w:rsidRPr="00FD005E" w:rsidRDefault="00187494" w:rsidP="0010095E">
            <w:pPr>
              <w:pStyle w:val="EPLogo"/>
            </w:pPr>
            <w:r w:rsidRPr="00FD005E">
              <w:rPr>
                <w:noProof/>
                <w:lang w:eastAsia="ja-JP"/>
              </w:rPr>
              <w:drawing>
                <wp:inline distT="0" distB="0" distL="0" distR="0" wp14:anchorId="2C69445A" wp14:editId="5D7009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985F61" w14:textId="77777777" w:rsidR="00D058B8" w:rsidRPr="00FD005E" w:rsidRDefault="00D058B8" w:rsidP="004C5D52">
      <w:pPr>
        <w:pStyle w:val="LineTop"/>
      </w:pPr>
    </w:p>
    <w:p w14:paraId="298FB8D3" w14:textId="77777777" w:rsidR="00680577" w:rsidRPr="00FD005E" w:rsidRDefault="00013A54" w:rsidP="00680577">
      <w:pPr>
        <w:pStyle w:val="EPBodyTA1"/>
      </w:pPr>
      <w:r w:rsidRPr="00FD005E">
        <w:t>TESTI APPROVATI</w:t>
      </w:r>
    </w:p>
    <w:p w14:paraId="09B22D0E" w14:textId="77777777" w:rsidR="00D058B8" w:rsidRPr="00FD005E" w:rsidRDefault="00D058B8" w:rsidP="00D058B8">
      <w:pPr>
        <w:pStyle w:val="LineBottom"/>
      </w:pPr>
    </w:p>
    <w:p w14:paraId="1377209F" w14:textId="4D322521" w:rsidR="00013A54" w:rsidRPr="00FD005E" w:rsidRDefault="00013A54" w:rsidP="00013A54">
      <w:pPr>
        <w:pStyle w:val="ATHeading1"/>
      </w:pPr>
      <w:bookmarkStart w:id="0" w:name="TANumber"/>
      <w:r w:rsidRPr="00FD005E">
        <w:t>P10_</w:t>
      </w:r>
      <w:proofErr w:type="gramStart"/>
      <w:r w:rsidRPr="00FD005E">
        <w:t>TA(</w:t>
      </w:r>
      <w:proofErr w:type="gramEnd"/>
      <w:r w:rsidRPr="00FD005E">
        <w:t>2025)0</w:t>
      </w:r>
      <w:bookmarkEnd w:id="0"/>
      <w:r w:rsidR="00D2320D" w:rsidRPr="00FD005E">
        <w:t>229</w:t>
      </w:r>
    </w:p>
    <w:p w14:paraId="5C2B1F85" w14:textId="77777777" w:rsidR="00013A54" w:rsidRPr="00FD005E" w:rsidRDefault="00013A54" w:rsidP="00013A54">
      <w:pPr>
        <w:pStyle w:val="ATHeading2"/>
      </w:pPr>
      <w:bookmarkStart w:id="1" w:name="title"/>
      <w:r w:rsidRPr="00FD005E">
        <w:t>Situazione in Afghanistan: sostenere le donne e le comunità colpite dai recenti terremoti</w:t>
      </w:r>
      <w:bookmarkEnd w:id="1"/>
    </w:p>
    <w:p w14:paraId="7D650E26" w14:textId="0A290A4F" w:rsidR="00013A54" w:rsidRPr="00FD005E" w:rsidRDefault="00013A54" w:rsidP="00013A54">
      <w:pPr>
        <w:rPr>
          <w:i/>
          <w:vanish/>
        </w:rPr>
      </w:pPr>
      <w:r w:rsidRPr="00FD005E">
        <w:rPr>
          <w:i/>
        </w:rPr>
        <w:fldChar w:fldCharType="begin"/>
      </w:r>
      <w:r w:rsidRPr="00FD005E">
        <w:rPr>
          <w:i/>
        </w:rPr>
        <w:instrText xml:space="preserve"> TC"(</w:instrText>
      </w:r>
      <w:bookmarkStart w:id="2" w:name="DocNumber"/>
      <w:r w:rsidRPr="00FD005E">
        <w:rPr>
          <w:i/>
        </w:rPr>
        <w:instrText>B10-0415</w:instrText>
      </w:r>
      <w:r w:rsidR="002B17AB" w:rsidRPr="00FD005E">
        <w:rPr>
          <w:i/>
        </w:rPr>
        <w:instrText>, 0417, 0418, 0420, 0425 e 0427</w:instrText>
      </w:r>
      <w:r w:rsidRPr="00FD005E">
        <w:rPr>
          <w:i/>
        </w:rPr>
        <w:instrText>/2025</w:instrText>
      </w:r>
      <w:bookmarkEnd w:id="2"/>
      <w:r w:rsidRPr="00FD005E">
        <w:rPr>
          <w:i/>
        </w:rPr>
        <w:instrText xml:space="preserve">)"\l3 \n&gt; \* MERGEFORMAT </w:instrText>
      </w:r>
      <w:r w:rsidRPr="00FD005E">
        <w:rPr>
          <w:i/>
        </w:rPr>
        <w:fldChar w:fldCharType="end"/>
      </w:r>
    </w:p>
    <w:p w14:paraId="28DCCA08" w14:textId="77777777" w:rsidR="00013A54" w:rsidRPr="00FD005E" w:rsidRDefault="00013A54" w:rsidP="00013A54">
      <w:pPr>
        <w:rPr>
          <w:vanish/>
        </w:rPr>
      </w:pPr>
      <w:bookmarkStart w:id="3" w:name="PE"/>
      <w:r w:rsidRPr="00FD005E">
        <w:rPr>
          <w:vanish/>
        </w:rPr>
        <w:t>PE776.254</w:t>
      </w:r>
      <w:bookmarkEnd w:id="3"/>
    </w:p>
    <w:p w14:paraId="4FC7FB3C" w14:textId="0333C83A" w:rsidR="00013A54" w:rsidRPr="00FD005E" w:rsidRDefault="00013A54" w:rsidP="002B17AB">
      <w:pPr>
        <w:pStyle w:val="ATHeading3"/>
      </w:pPr>
      <w:bookmarkStart w:id="4" w:name="Sujet"/>
      <w:r w:rsidRPr="00FD005E">
        <w:t>Risoluzione del Parlamento europeo del 9 ottobre 2025 sulla situazione in Afghanistan: sostenere le donne e le comunità colpite dai recenti terremoti</w:t>
      </w:r>
      <w:bookmarkEnd w:id="4"/>
      <w:r w:rsidRPr="00FD005E">
        <w:t xml:space="preserve"> </w:t>
      </w:r>
      <w:bookmarkStart w:id="5" w:name="References"/>
      <w:r w:rsidRPr="00FD005E">
        <w:t>(2025/2872(RSP))</w:t>
      </w:r>
      <w:bookmarkEnd w:id="5"/>
    </w:p>
    <w:p w14:paraId="7C2C95D8" w14:textId="77777777" w:rsidR="001F265C" w:rsidRPr="00FD005E" w:rsidRDefault="001F265C" w:rsidP="001F265C">
      <w:pPr>
        <w:pStyle w:val="EPComma"/>
      </w:pPr>
      <w:bookmarkStart w:id="6" w:name="TextBodyBegin"/>
      <w:bookmarkEnd w:id="6"/>
      <w:r w:rsidRPr="00FD005E">
        <w:rPr>
          <w:i/>
        </w:rPr>
        <w:t>Il Parlamento europeo,</w:t>
      </w:r>
    </w:p>
    <w:p w14:paraId="557D88A9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visti la Dichiarazione universale dei diritti dell'uomo, del 10 dicembre 1948, e il Patto internazionale relativo ai diritti civili e politici, del 16 dicembre 1966,</w:t>
      </w:r>
    </w:p>
    <w:p w14:paraId="4BF0ABB6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viste la Convenzione delle Nazioni Unite sull'eliminazione di ogni forma di discriminazione nei confronti della donna, del 18 dicembre 1979, e la Convenzione delle Nazioni Unite sui diritti dell'infanzia e dell'adolescenza, del 20 novembre 1989, entrambe ratificate dall'Afghanistan,</w:t>
      </w:r>
    </w:p>
    <w:p w14:paraId="6AF849AB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vista la risoluzione dell'Assemblea generale delle Nazioni Unite del 7 luglio 2025 sulla situazione in Afghanistan,</w:t>
      </w:r>
    </w:p>
    <w:p w14:paraId="522F1C2E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vista la relazione del Segretario generale delle Nazioni Unite, dell'11 giugno 2025, al Consiglio di sicurezza delle Nazioni Unite sulla situazione in Afghanistan e le sue implicazioni per la pace e la sicurezza internazionale,</w:t>
      </w:r>
    </w:p>
    <w:p w14:paraId="745902AD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visti la Convenzione delle Nazioni Unite relativa allo status dei rifugiati, del 28 luglio 1951, e il relativo protocollo del 1967,</w:t>
      </w:r>
    </w:p>
    <w:p w14:paraId="15C88B41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visto il principio di non respingimento sancito dal diritto internazionale,</w:t>
      </w:r>
    </w:p>
    <w:p w14:paraId="4992FF60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viste le conclusioni della terza riunione degli inviati speciali delle Nazioni Unite per l'Afghanistan, tenutasi a Doha, in Qatar, il 30 giugno e il 1º luglio 2024,</w:t>
      </w:r>
    </w:p>
    <w:p w14:paraId="275BD9A6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viste le sue precedenti risoluzioni sulla situazione in Afghanistan, in particolare la sua risoluzione del 19 settembre 2024 sul deterioramento della situazione delle donne in Afghanistan a causa della recente adozione della legge sulla "Promozione della virtù e la prevenzione del vizio"</w:t>
      </w:r>
      <w:r w:rsidRPr="00FD005E">
        <w:rPr>
          <w:rStyle w:val="FootnoteReference"/>
        </w:rPr>
        <w:footnoteReference w:id="1"/>
      </w:r>
      <w:r w:rsidRPr="00FD005E">
        <w:t>,</w:t>
      </w:r>
    </w:p>
    <w:p w14:paraId="09B96BA2" w14:textId="77777777" w:rsidR="001F265C" w:rsidRPr="00FD005E" w:rsidRDefault="001F265C" w:rsidP="001F265C">
      <w:pPr>
        <w:pStyle w:val="NormalHanging12a"/>
      </w:pPr>
      <w:r w:rsidRPr="00FD005E">
        <w:lastRenderedPageBreak/>
        <w:t>–</w:t>
      </w:r>
      <w:r w:rsidRPr="00FD005E">
        <w:tab/>
        <w:t>viste le conclusioni del Consiglio del 14 novembre 2022 sulle donne, la pace e la sicurezza, e le conclusioni del Consiglio del 15 settembre 2021 sull'Afghanistan, che definiscono cinque parametri di riferimento per l'impegno dell'UE con le autorità de facto guidate dai talebani,</w:t>
      </w:r>
    </w:p>
    <w:p w14:paraId="2962CD6A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vista la sentenza della Corte di giustizia dell'Unione europea (CGUE) del 4 ottobre 2024</w:t>
      </w:r>
      <w:r w:rsidRPr="00FD005E">
        <w:rPr>
          <w:rStyle w:val="FootnoteReference"/>
        </w:rPr>
        <w:footnoteReference w:id="2"/>
      </w:r>
      <w:r w:rsidRPr="00FD005E">
        <w:t>, secondo la quale una discriminazione sistemica come quella subita dalle donne afghane sotto il regime talebano costituisce una forma di persecuzione ai sensi del diritto dell'UE in materia di asilo,</w:t>
      </w:r>
    </w:p>
    <w:p w14:paraId="4E6F31C0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visto l'accordo di cooperazione sul partenariato e sullo sviluppo tra l'Unione europea e i suoi Stati membri, da una parte, e la Repubblica islamica di Afghanistan, dall'altra</w:t>
      </w:r>
      <w:r w:rsidRPr="00FD005E">
        <w:rPr>
          <w:rStyle w:val="FootnoteReference"/>
        </w:rPr>
        <w:footnoteReference w:id="3"/>
      </w:r>
      <w:r w:rsidRPr="00FD005E">
        <w:t>, firmato il 18 febbraio 2017,</w:t>
      </w:r>
    </w:p>
    <w:p w14:paraId="1AD46F37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visti gli orientamenti tematici dell'UE sui difensori dei diritti umani, sulla promozione e la tutela dei diritti dei minori, nonché sulle violenze contro le donne e le ragazze e la lotta contro tutte le forme di discriminazione nei loro confronti,</w:t>
      </w:r>
    </w:p>
    <w:p w14:paraId="62BB4A00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vista la comunicazione della Commissione, del 10 marzo 2021, sull'azione umanitaria dell'UE: nuove sfide, stessi principi (</w:t>
      </w:r>
      <w:proofErr w:type="gramStart"/>
      <w:r w:rsidRPr="00FD005E">
        <w:t>COM(</w:t>
      </w:r>
      <w:proofErr w:type="gramEnd"/>
      <w:r w:rsidRPr="00FD005E">
        <w:t>2021)0110), che conferisce priorità alla protezione, alla preparazione alle catastrofi e alle esigenze delle donne e dei gruppi vulnerabili,</w:t>
      </w:r>
    </w:p>
    <w:p w14:paraId="4612C49B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vista la relazione annuale 2024 sull'Afghanistan del Programma alimentare mondiale, pubblicata il 27 marzo 2025,</w:t>
      </w:r>
    </w:p>
    <w:p w14:paraId="590D49A5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visto l'indice di sviluppo umano per il 2022,</w:t>
      </w:r>
    </w:p>
    <w:p w14:paraId="6DCF28E3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vista la dichiarazione comune del Consiglio e dei rappresentanti dei governi degli Stati membri riuniti in sede di Consiglio, del Parlamento europeo e della Commissione, del 30 giugno 2017, relativa a un nuovo consenso europeo in materia di sviluppo, dal titolo "Il nostro mondo, la nostra dignità, il nostro futuro",</w:t>
      </w:r>
    </w:p>
    <w:p w14:paraId="3F608686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 xml:space="preserve">vista l'analisi dell'International </w:t>
      </w:r>
      <w:proofErr w:type="spellStart"/>
      <w:r w:rsidRPr="00FD005E">
        <w:t>Crisis</w:t>
      </w:r>
      <w:proofErr w:type="spellEnd"/>
      <w:r w:rsidRPr="00FD005E">
        <w:t xml:space="preserve"> Group, pubblicata il 31 gennaio 2023, dal titolo "Afghanistan: The Taliban </w:t>
      </w:r>
      <w:proofErr w:type="spellStart"/>
      <w:r w:rsidRPr="00FD005E">
        <w:t>Restrict</w:t>
      </w:r>
      <w:proofErr w:type="spellEnd"/>
      <w:r w:rsidRPr="00FD005E">
        <w:t xml:space="preserve"> </w:t>
      </w:r>
      <w:proofErr w:type="spellStart"/>
      <w:r w:rsidRPr="00FD005E">
        <w:t>Women's</w:t>
      </w:r>
      <w:proofErr w:type="spellEnd"/>
      <w:r w:rsidRPr="00FD005E">
        <w:t xml:space="preserve"> </w:t>
      </w:r>
      <w:proofErr w:type="spellStart"/>
      <w:r w:rsidRPr="00FD005E">
        <w:t>Rights</w:t>
      </w:r>
      <w:proofErr w:type="spellEnd"/>
      <w:r w:rsidRPr="00FD005E">
        <w:t xml:space="preserve">, </w:t>
      </w:r>
      <w:proofErr w:type="spellStart"/>
      <w:r w:rsidRPr="00FD005E">
        <w:t>Worsening</w:t>
      </w:r>
      <w:proofErr w:type="spellEnd"/>
      <w:r w:rsidRPr="00FD005E">
        <w:t xml:space="preserve"> the </w:t>
      </w:r>
      <w:proofErr w:type="spellStart"/>
      <w:r w:rsidRPr="00FD005E">
        <w:t>Humanitarian</w:t>
      </w:r>
      <w:proofErr w:type="spellEnd"/>
      <w:r w:rsidRPr="00FD005E">
        <w:t xml:space="preserve"> </w:t>
      </w:r>
      <w:proofErr w:type="spellStart"/>
      <w:r w:rsidRPr="00FD005E">
        <w:t>Crisis</w:t>
      </w:r>
      <w:proofErr w:type="spellEnd"/>
      <w:r w:rsidRPr="00FD005E">
        <w:t>" (Afghanistan: i talebani limitano i diritti delle donne aggravando la crisi umanitaria),</w:t>
      </w:r>
    </w:p>
    <w:p w14:paraId="75159878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visto l'appello dell'Unicef volto a raccogliere finanziamenti umanitari per il 2025, lanciato il 5 dicembre 2024,</w:t>
      </w:r>
    </w:p>
    <w:p w14:paraId="588732F8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visto l'appello a finanziamenti di emergenza per l'Afghanistan lanciato dall'Alto Commissariato delle Nazioni Unite per i rifugiati nel settembre 2025,</w:t>
      </w:r>
    </w:p>
    <w:p w14:paraId="55BB4C34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visto l'appello dall'Unicef in risposta al terremoto in Afghanistan per il 2025, lanciato il 9 settembre 2025,</w:t>
      </w:r>
    </w:p>
    <w:p w14:paraId="0D674740" w14:textId="77777777" w:rsidR="001F265C" w:rsidRPr="00FD005E" w:rsidRDefault="001F265C" w:rsidP="001F265C">
      <w:pPr>
        <w:pStyle w:val="NormalHanging12a"/>
      </w:pPr>
      <w:r w:rsidRPr="00FD005E">
        <w:lastRenderedPageBreak/>
        <w:t>–</w:t>
      </w:r>
      <w:r w:rsidRPr="00FD005E">
        <w:tab/>
        <w:t>visto il piano di risposta alle crisi in Afghanistan 2025 dell'Organizzazione internazionale per le migrazioni, pubblicato il 16 dicembre 2024,</w:t>
      </w:r>
    </w:p>
    <w:p w14:paraId="4E252C5B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visto l'appello di emergenza sanitaria 2025 lanciato dall'Organizzazione mondiale della sanità, pubblicato il 16 gennaio 2025,</w:t>
      </w:r>
    </w:p>
    <w:p w14:paraId="03236B31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 xml:space="preserve">visti i mandati d'arresto emessi l'8 luglio 2025 dalla Corte penale internazionale (CPI) nei confronti di </w:t>
      </w:r>
      <w:proofErr w:type="spellStart"/>
      <w:r w:rsidRPr="00FD005E">
        <w:t>Haibatullah</w:t>
      </w:r>
      <w:proofErr w:type="spellEnd"/>
      <w:r w:rsidRPr="00FD005E">
        <w:t xml:space="preserve"> </w:t>
      </w:r>
      <w:proofErr w:type="spellStart"/>
      <w:r w:rsidRPr="00FD005E">
        <w:t>Akozada</w:t>
      </w:r>
      <w:proofErr w:type="spellEnd"/>
      <w:r w:rsidRPr="00FD005E">
        <w:t>, guida suprema dei talebani, e di Abdul Hakim Haqqani, presidente della Corte suprema talebana,</w:t>
      </w:r>
    </w:p>
    <w:p w14:paraId="00D3D8E6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vista la sentenza della CGUE del 16 gennaio 2024 nella causa C-621/21 sul riconoscimento della protezione internazionale alle donne vittime della violenza di genere</w:t>
      </w:r>
      <w:r w:rsidRPr="00FD005E">
        <w:rPr>
          <w:rStyle w:val="FootnoteReference"/>
        </w:rPr>
        <w:footnoteReference w:id="4"/>
      </w:r>
      <w:r w:rsidRPr="00FD005E">
        <w:t>,</w:t>
      </w:r>
    </w:p>
    <w:p w14:paraId="5A349578" w14:textId="77777777" w:rsidR="001F265C" w:rsidRPr="00FD005E" w:rsidRDefault="001F265C" w:rsidP="001F265C">
      <w:pPr>
        <w:pStyle w:val="NormalHanging12a"/>
      </w:pPr>
      <w:r w:rsidRPr="00FD005E">
        <w:t>–</w:t>
      </w:r>
      <w:r w:rsidRPr="00FD005E">
        <w:tab/>
        <w:t>visto l'articolo 136, paragrafi 2 e 4, del suo regolamento,</w:t>
      </w:r>
    </w:p>
    <w:p w14:paraId="2E5709FC" w14:textId="77777777" w:rsidR="001F265C" w:rsidRPr="00FD005E" w:rsidRDefault="001F265C" w:rsidP="001F265C">
      <w:pPr>
        <w:pStyle w:val="NormalHanging12a"/>
        <w:rPr>
          <w:rFonts w:eastAsia="Calibri"/>
        </w:rPr>
      </w:pPr>
      <w:r w:rsidRPr="00FD005E">
        <w:t>A.</w:t>
      </w:r>
      <w:r w:rsidRPr="00FD005E">
        <w:tab/>
        <w:t>considerando che il 31 agosto 2025 un disastroso terremoto di magnitudo 6.0 ha colpito la provincia di Kunar nell'Afghanistan orientale, causando oltre 2 200 morti e migliaia di feriti sia a Kunar che nella vicina provincia di Nangarhar; che sono state distrutte oltre 6 700 abitazioni e che interi villaggi sono stati ridotti in macerie, costringendo almeno 11 000 persone a vivere in tende, esposte al rischio di ipotermia con l'approssimarsi dell'inverno; che i tagli agli aiuti umanitari globali hanno inciso in misura significativa sulla risposta alla crisi;</w:t>
      </w:r>
    </w:p>
    <w:p w14:paraId="5C26D6C5" w14:textId="025A5997" w:rsidR="001F265C" w:rsidRPr="00FD005E" w:rsidRDefault="001F265C" w:rsidP="001F265C">
      <w:pPr>
        <w:pStyle w:val="NormalHanging12a"/>
        <w:rPr>
          <w:rFonts w:eastAsia="Calibri"/>
        </w:rPr>
      </w:pPr>
      <w:r w:rsidRPr="00FD005E">
        <w:t>B.</w:t>
      </w:r>
      <w:r w:rsidRPr="00FD005E">
        <w:tab/>
        <w:t xml:space="preserve">considerando che il governo talebano ha gravemente isolato l'Afghanistan a livello internazionale, causando ritardi nella fornitura di soccorsi internazionali; che le donne sono state colpite in modo sproporzionato dal terremoto a causa del rigido codice sociale imposto dai talebani, che impedisce ai volontari di </w:t>
      </w:r>
      <w:r w:rsidR="00D13E64" w:rsidRPr="00FD005E">
        <w:t xml:space="preserve">genere </w:t>
      </w:r>
      <w:r w:rsidRPr="00FD005E">
        <w:t xml:space="preserve">maschile di toccare le donne, ostacolando in tal modo le operazioni di soccorso e le cure mediche; che dal 5 settembre 2025 i talebani impediscono al personale e ai contraenti di </w:t>
      </w:r>
      <w:r w:rsidR="00305041" w:rsidRPr="00FD005E">
        <w:t xml:space="preserve">genere </w:t>
      </w:r>
      <w:r w:rsidRPr="00FD005E">
        <w:t xml:space="preserve">femminile afgani di entrare nei presidi delle Nazioni Unite a Kabul, in tal modo limitando gravemente la fornitura di aiuti umanitari alle donne e alle ragazze; che le conseguenze in ambito sanitario dell'apartheid di genere imposto dal regime talebano in Afghanistan hanno avuto gravi ripercussioni sull'assistenza umanitaria destinata alle donne e alle ragazze vittime del sisma; che la mancanza di medici di </w:t>
      </w:r>
      <w:r w:rsidR="00305041" w:rsidRPr="00FD005E">
        <w:t xml:space="preserve">genere </w:t>
      </w:r>
      <w:r w:rsidRPr="00FD005E">
        <w:t>femminile e le rigorose restrizioni agli spostamenti delle donne e delle ragazze hanno contribuito all'elevato numero di decessi provocati dal terremoto; che le operatrici umanitarie hanno svolto un ruolo fondamentale nel raggiungere i villaggi colpiti, fornendo assistenza sanitaria e sostegno psicosociale e distribuendo aiuti;</w:t>
      </w:r>
    </w:p>
    <w:p w14:paraId="590A35AE" w14:textId="5F2BAD87" w:rsidR="001F265C" w:rsidRPr="00FD005E" w:rsidRDefault="001F265C" w:rsidP="001F265C">
      <w:pPr>
        <w:pStyle w:val="NormalHanging12a"/>
        <w:rPr>
          <w:rFonts w:eastAsia="Calibri"/>
        </w:rPr>
      </w:pPr>
      <w:r w:rsidRPr="00FD005E">
        <w:t>C.</w:t>
      </w:r>
      <w:r w:rsidRPr="00FD005E">
        <w:tab/>
        <w:t xml:space="preserve">considerando che, da quando sono tornati al potere nell'agosto 2021, i talebani hanno imposto un'interpretazione e un'applicazione radicali della sharia, che hanno portato alla cancellazione quasi totale delle donne e delle ragazze dalla vita pubblica in Afghanistan; che ciò è stato attuato mediante gravi restrizioni imposte alle donne e alle ragazze, tra cui il divieto di accedere all'istruzione secondaria e superiore, il divieto di esercitare la maggior parte delle attività lavorative, l'accesso negato agli spazi pubblici e agli sport, l'imposizione di rigidi codici di abbigliamento, lo smantellamento dei sistemi di </w:t>
      </w:r>
      <w:r w:rsidRPr="00FD005E">
        <w:lastRenderedPageBreak/>
        <w:t xml:space="preserve">sostegno per le vittime di violenza e l'obbligo per le donne di viaggiare solo se accompagnate da un tutore di </w:t>
      </w:r>
      <w:r w:rsidR="00305041" w:rsidRPr="00FD005E">
        <w:t xml:space="preserve">genere </w:t>
      </w:r>
      <w:r w:rsidRPr="00FD005E">
        <w:t>maschile; che ulteriori decreti, come il divieto per le donne di intraprendere studi medici o di sostenere gli esami finali di tale corso di studi del dicembre 2024, hanno drasticamente ridotto il numero di professioniste nel settore medico in Afghanistan;</w:t>
      </w:r>
    </w:p>
    <w:p w14:paraId="77BA468C" w14:textId="1784F5EA" w:rsidR="001F265C" w:rsidRPr="00FD005E" w:rsidRDefault="001F265C" w:rsidP="001F265C">
      <w:pPr>
        <w:pStyle w:val="NormalHanging12a"/>
        <w:rPr>
          <w:rFonts w:eastAsia="Calibri"/>
        </w:rPr>
      </w:pPr>
      <w:r w:rsidRPr="00FD005E">
        <w:t>D.</w:t>
      </w:r>
      <w:r w:rsidRPr="00FD005E">
        <w:tab/>
        <w:t>considerando che nel 2024 la CGUE ha emesso tre sentenze</w:t>
      </w:r>
      <w:r w:rsidRPr="00FD005E">
        <w:rPr>
          <w:rStyle w:val="FootnoteReference"/>
        </w:rPr>
        <w:footnoteReference w:id="5"/>
      </w:r>
      <w:r w:rsidRPr="00FD005E">
        <w:t xml:space="preserve"> </w:t>
      </w:r>
      <w:r w:rsidR="004A3576" w:rsidRPr="00FD005E">
        <w:t>sulla violenza e la persecuzione di genere, in cui ha indicato che gli Stati membri hanno il diritto di tenere conto unicamente del genere e della nazionalità nel valutare individualmente una domanda di asilo presentata da una donna di nazionalità afghana</w:t>
      </w:r>
      <w:r w:rsidRPr="00FD005E">
        <w:t>;</w:t>
      </w:r>
    </w:p>
    <w:p w14:paraId="4031701B" w14:textId="77777777" w:rsidR="001F265C" w:rsidRPr="00FD005E" w:rsidRDefault="001F265C" w:rsidP="001F265C">
      <w:pPr>
        <w:pStyle w:val="NormalHanging12a"/>
        <w:rPr>
          <w:rFonts w:eastAsia="Calibri"/>
        </w:rPr>
      </w:pPr>
      <w:r w:rsidRPr="00FD005E">
        <w:t>E.</w:t>
      </w:r>
      <w:r w:rsidRPr="00FD005E">
        <w:tab/>
        <w:t>considerando che, dal 30 settembre al 2 ottobre 2025, i talebani hanno imposto un blocco di Internet in tutto il paese, causando perturbazioni alle comunicazioni, ai voli aerei, ai servizi bancari e ai servizi essenziali e privando milioni di afghani dell'accesso all'informazione e all'istruzione, in particolare bloccando uno degli ultimi canali rimasti alle donne e alle ragazze per accedere a opportunità di apprendimento, visto il divieto di accedere all'istruzione secondaria imposto loro dai talebani;</w:t>
      </w:r>
    </w:p>
    <w:p w14:paraId="43A69067" w14:textId="77777777" w:rsidR="001F265C" w:rsidRPr="00FD005E" w:rsidRDefault="001F265C" w:rsidP="001F265C">
      <w:pPr>
        <w:pStyle w:val="NormalHanging12a"/>
        <w:rPr>
          <w:rFonts w:eastAsia="Calibri"/>
        </w:rPr>
      </w:pPr>
      <w:r w:rsidRPr="00FD005E">
        <w:t>F.</w:t>
      </w:r>
      <w:r w:rsidRPr="00FD005E">
        <w:tab/>
        <w:t>considerando che, secondo l'Organizzazione mondiale della sanità, 422 strutture sanitarie in Afghanistan sono state chiuse a causa della carenza di finanziamenti, il che ha avuto ripercussioni su 3,08 milioni di persone; che l'Afghanistan sta attraversando molteplici emergenze sanitarie che aggravano il tasso di mortalità materna, già tra i più elevati al mondo;</w:t>
      </w:r>
    </w:p>
    <w:p w14:paraId="67FE9C07" w14:textId="77777777" w:rsidR="001F265C" w:rsidRPr="00FD005E" w:rsidRDefault="001F265C" w:rsidP="001F265C">
      <w:pPr>
        <w:pStyle w:val="NormalHanging12a"/>
      </w:pPr>
      <w:r w:rsidRPr="00FD005E">
        <w:t>G.</w:t>
      </w:r>
      <w:r w:rsidRPr="00FD005E">
        <w:tab/>
        <w:t>considerando che la situazione umanitaria in Afghanistan è drammatica, dal momento che quasi 24 milioni di persone dipendono dall'assistenza umanitaria e che quasi 15 milioni di persone si trovano in condizioni di grave insicurezza alimentare; che tra gennaio e ottobre 2024 oltre 1,1 milioni di afghani hanno fatto ritorno nel paese, molti dei quali rimpatriati con la forza, aumentando la pressione sulle comunità già in difficoltà; che si contano oltre 3,2 milioni di sfollati interni all'interno del paese e 5,3 milioni di rifugiati e richiedenti asilo afghani nei paesi vicini;</w:t>
      </w:r>
    </w:p>
    <w:p w14:paraId="2DB4A5DD" w14:textId="77777777" w:rsidR="001F265C" w:rsidRPr="00FD005E" w:rsidRDefault="001F265C" w:rsidP="001F265C">
      <w:pPr>
        <w:pStyle w:val="NormalHanging12a"/>
        <w:rPr>
          <w:szCs w:val="24"/>
        </w:rPr>
      </w:pPr>
      <w:r w:rsidRPr="00FD005E">
        <w:t>H.</w:t>
      </w:r>
      <w:r w:rsidRPr="00FD005E">
        <w:tab/>
        <w:t>considerando che i tagli al finanziamento degli aiuti esteri da parte degli Stati Uniti hanno gravemente colpito il sistema sanitario e i programmi di assistenza alimentare in Afghanistan; che l'UE e i suoi Stati membri rimangono tra i maggiori donatori di aiuti umanitari per l'Afghanistan, avendo approvato un milione di euro in finanziamenti di emergenza, oltre ai 161 milioni di EUR in aiuti umanitari già assegnati nel 2025 e destinati a organizzazioni in tutto l'Afghanistan; che gli aiuti umanitari dell'UE in Afghanistan sono distribuiti esclusivamente attraverso partner umanitari;</w:t>
      </w:r>
    </w:p>
    <w:p w14:paraId="064BE9A7" w14:textId="77777777" w:rsidR="001F265C" w:rsidRPr="00FD005E" w:rsidRDefault="001F265C" w:rsidP="001F265C">
      <w:pPr>
        <w:pStyle w:val="NormalHanging12a"/>
        <w:rPr>
          <w:szCs w:val="24"/>
        </w:rPr>
      </w:pPr>
      <w:r w:rsidRPr="00FD005E">
        <w:t>I.</w:t>
      </w:r>
      <w:r w:rsidRPr="00FD005E">
        <w:tab/>
        <w:t xml:space="preserve">considerando che l'Afghanistan continua a dover far fronte a un livello elevato di attività terroristiche da parte di gruppi estremisti islamici, tra cui i talebani, Al Qaeda e l'ISIS-Khorasan, che prendono deliberatamente di mira i civili, le minoranze e gli operatori umanitari; che giustamente l'UE non intrattiene relazioni con le autorità di fatto </w:t>
      </w:r>
      <w:r w:rsidRPr="00FD005E">
        <w:lastRenderedPageBreak/>
        <w:t>dell'Afghanistan;</w:t>
      </w:r>
    </w:p>
    <w:p w14:paraId="294F6165" w14:textId="77777777" w:rsidR="001F265C" w:rsidRPr="00FD005E" w:rsidRDefault="001F265C" w:rsidP="001F265C">
      <w:pPr>
        <w:pStyle w:val="NormalHanging12a"/>
      </w:pPr>
      <w:r w:rsidRPr="00FD005E">
        <w:t>1.</w:t>
      </w:r>
      <w:r w:rsidRPr="00FD005E">
        <w:tab/>
        <w:t>esprime profonda preoccupazione per la situazione umanitaria a Kunar, Nangarhar e nelle province vicine, a seguito dei terremoti, esprime il proprio cordoglio alle famiglie delle vittime ed esorta gli attori internazionali a contribuire a fornire quanto prima sostegno ai sopravvissuti; insiste sulla necessità di potenziare le risposte di emergenza alle popolazioni che ne sono scarsamente servite, di fornire assistenza ai migranti rimpatriati ai valichi di frontiera e di potenziare, in particolare, i servizi sanitari per le madri e i bambini; invita le autorità de facto dell'Afghanistan a revocare tutte le restrizioni che limitano l'accesso o la distribuzione degli aiuti umanitari; denuncia, come crimine contro l'umanità, l'abbandono deliberato al quale il regime afghano ha condannato le donne e le ragazze vittime di questa tragedia;</w:t>
      </w:r>
    </w:p>
    <w:p w14:paraId="65581C3B" w14:textId="77777777" w:rsidR="001F265C" w:rsidRPr="00FD005E" w:rsidRDefault="001F265C" w:rsidP="001F265C">
      <w:pPr>
        <w:pStyle w:val="NormalHanging12a"/>
      </w:pPr>
      <w:r w:rsidRPr="00FD005E">
        <w:t>2.</w:t>
      </w:r>
      <w:r w:rsidRPr="00FD005E">
        <w:tab/>
        <w:t>condanna fermamente le misure repressive, come il recente blocco di internet imposto dai talebani in tutto il paese; ribadisce che tali pratiche isolano ulteriormente la popolazione afghana, in particolare le donne che seguono opportunità di apprendimento online, e incidono negativamente sulle operazioni di aiuto umanitario e sull'economia già fragile del paese; invita le autorità de facto ad astenersi dall'adottare tali pratiche in futuro;</w:t>
      </w:r>
    </w:p>
    <w:p w14:paraId="003FFAA6" w14:textId="77777777" w:rsidR="001F265C" w:rsidRPr="00FD005E" w:rsidRDefault="001F265C" w:rsidP="001F265C">
      <w:pPr>
        <w:pStyle w:val="NormalHanging12a"/>
        <w:rPr>
          <w:szCs w:val="18"/>
        </w:rPr>
      </w:pPr>
      <w:r w:rsidRPr="00FD005E">
        <w:t>3.</w:t>
      </w:r>
      <w:r w:rsidRPr="00FD005E">
        <w:tab/>
        <w:t>esorta la comunità internazionale a coordinare gli sforzi per l’aumento e la fornitura di aiuti umanitari, nella ricostruzione delle infrastrutture e nella fornitura di sostegno medico e psicologico ai sopravvissuti, compresa l'assistenza per i traumi; chiede maggiori investimenti nella resilienza a livello locale, tra cui alloggi antisismici, sistemi sanitari locali, sicurezza alimentare e mezzi di sussistenza per le donne; invita la Commissione ad aumentare con urgenza le esigenze di base e il sostegno ai mezzi di sussistenza per l'Afghanistan, nonché ad aumentare la dotazione nazionale; invita la Commissione a continuare a lavorare adottando l'approccio che collega azione umanitaria, sviluppo e pace; ricorda che il peggioramento della situazione umanitaria e la generale mancanza di prospettive per un futuro migliore possono portare a un aumento della destabilizzazione e della radicalizzazione, nonché allo sfollamento della popolazione all'interno e all'esterno dell'Afghanistan; accoglie con favore l'intenzione della Commissione, espressa nella sua proposta Europa globale</w:t>
      </w:r>
      <w:r w:rsidRPr="00FD005E">
        <w:rPr>
          <w:rStyle w:val="FootnoteReference"/>
        </w:rPr>
        <w:footnoteReference w:id="6"/>
      </w:r>
      <w:r w:rsidRPr="00FD005E">
        <w:t>, di aumentare il sostegno dell'UE alle azioni di resilienza e alle risposte integrate alla fragilità, ed esorta la Commissione e gli Stati membri ad aumentare i finanziamenti flessibili e pluriennali a tale riguardo; incoraggia l'UE a intensificare il dialogo con i partner regionali e le organizzazioni non governative fidate per garantire che la fornitura di aiuti eluda, ove possibile, le ingerenze dei talebani;</w:t>
      </w:r>
    </w:p>
    <w:p w14:paraId="317F6568" w14:textId="77777777" w:rsidR="001F265C" w:rsidRPr="00FD005E" w:rsidRDefault="001F265C" w:rsidP="001F265C">
      <w:pPr>
        <w:pStyle w:val="NormalHanging12a"/>
      </w:pPr>
      <w:r w:rsidRPr="00FD005E">
        <w:t>4.</w:t>
      </w:r>
      <w:r w:rsidRPr="00FD005E">
        <w:tab/>
        <w:t xml:space="preserve">prende atto con grave preoccupazione che la regione colpita dal terremoto sta registrando un massiccio afflusso di famiglie afghane che ritornano in case e terreni agricoli distrutti, a seguito della loro espulsione forzata dall'Iran e dal Pakistan; condanna le violazioni dei diritti umani commesse durante tali espulsioni; esprime profonda preoccupazione per l'ulteriore conseguente pressione a carico delle infrastrutture per gli aiuti umanitari in tali province; invita l'Iran e il Pakistan a porre immediatamente fine alle espulsioni verso l’Afghanistan; sottolinea, a tale proposito, l'importanza di rispettare il principio di non respingimento, in particolare alla luce del conflitto in corso, dell'instabilità in Afghanistan e della persecuzione dei gruppi etnici, </w:t>
      </w:r>
      <w:r w:rsidRPr="00FD005E">
        <w:lastRenderedPageBreak/>
        <w:t>delle donne e degli oppositori politici;</w:t>
      </w:r>
    </w:p>
    <w:p w14:paraId="7F621BF9" w14:textId="6D4FD98B" w:rsidR="001F265C" w:rsidRPr="00FD005E" w:rsidRDefault="001F265C" w:rsidP="001F265C">
      <w:pPr>
        <w:pStyle w:val="NormalHanging12a"/>
        <w:rPr>
          <w:szCs w:val="18"/>
        </w:rPr>
      </w:pPr>
      <w:r w:rsidRPr="00FD005E">
        <w:t>5.</w:t>
      </w:r>
      <w:r w:rsidRPr="00FD005E">
        <w:tab/>
      </w:r>
      <w:r w:rsidR="004A3576" w:rsidRPr="00FD005E">
        <w:t>prende atto con preoccupazione della situazione dei difensori dei diritti umani</w:t>
      </w:r>
      <w:r w:rsidR="00305041" w:rsidRPr="00FD005E">
        <w:t xml:space="preserve"> e</w:t>
      </w:r>
      <w:r w:rsidR="004A3576" w:rsidRPr="00FD005E">
        <w:t xml:space="preserve"> dei giornalisti</w:t>
      </w:r>
      <w:r w:rsidR="00305041" w:rsidRPr="00FD005E">
        <w:t xml:space="preserve"> afghani</w:t>
      </w:r>
      <w:r w:rsidR="004A3576" w:rsidRPr="00FD005E">
        <w:t xml:space="preserve"> e di altre personalità pubbliche afghan</w:t>
      </w:r>
      <w:r w:rsidR="00305041" w:rsidRPr="00FD005E">
        <w:t>e</w:t>
      </w:r>
      <w:r w:rsidR="004A3576" w:rsidRPr="00FD005E">
        <w:t xml:space="preserve"> che hanno sostenuto lo sviluppo democratico in Afghanistan nell'ultimo decennio e a cui è stata </w:t>
      </w:r>
      <w:r w:rsidR="00D13E64" w:rsidRPr="00FD005E">
        <w:t>concessa</w:t>
      </w:r>
      <w:r w:rsidR="004A3576" w:rsidRPr="00FD005E">
        <w:t xml:space="preserve"> la documentazione che ha consentito loro di ottenere uno status temporaneo in Pakistan; invita l'UE e i suoi Stati membri a prestare assistenza, ove pertinente e possibile, alla procedura di </w:t>
      </w:r>
      <w:r w:rsidR="0096617F" w:rsidRPr="00FD005E">
        <w:t>domanda</w:t>
      </w:r>
      <w:r w:rsidR="004A3576" w:rsidRPr="00FD005E">
        <w:t xml:space="preserve"> </w:t>
      </w:r>
      <w:r w:rsidR="00FD005E" w:rsidRPr="00FD005E">
        <w:t>di</w:t>
      </w:r>
      <w:r w:rsidR="004A3576" w:rsidRPr="00FD005E">
        <w:t xml:space="preserve"> tali persone</w:t>
      </w:r>
      <w:r w:rsidRPr="00FD005E">
        <w:t>;</w:t>
      </w:r>
    </w:p>
    <w:p w14:paraId="71D81BD6" w14:textId="77777777" w:rsidR="001F265C" w:rsidRPr="00FD005E" w:rsidRDefault="001F265C" w:rsidP="001F265C">
      <w:pPr>
        <w:pStyle w:val="NormalHanging12a"/>
      </w:pPr>
      <w:r w:rsidRPr="00FD005E">
        <w:t>6.</w:t>
      </w:r>
      <w:r w:rsidRPr="00FD005E">
        <w:tab/>
        <w:t>condanna con fermezza le numerose restrizioni di genere e le politiche discriminatorie dei talebani che impediscono alle donne afghane di accedere all'istruzione, alla formazione medica, all'assistenza sanitaria e agli aiuti umanitari, e che portano alla creazione di un apartheid di genere; invita l'UE a sostenere il riconoscimento dell'apartheid di genere come crimine contro l'umanità; invita le autorità de facto dell'Afghanistan a revocare tutte le restrizioni nei confronti delle donne e chiede il ripristino immediato della partecipazione piena, paritaria e significativa delle donne e delle ragazze alla vita pubblica; ribadisce il suo invito all'UE e agli Stati membri affinché adottino tutte le misure necessarie volte a consentire una partecipazione significativa delle donne afghane ai consessi e ai negoziati internazionali; esorta nello specifico le autorità de facto a riaprire i centri di formazione sanitaria alle donne, data la drastica carenza di personale medico femminile nel paese;</w:t>
      </w:r>
    </w:p>
    <w:p w14:paraId="0AB0CEAA" w14:textId="77777777" w:rsidR="001F265C" w:rsidRPr="00FD005E" w:rsidRDefault="001F265C" w:rsidP="001F265C">
      <w:pPr>
        <w:pStyle w:val="NormalHanging12a"/>
      </w:pPr>
      <w:r w:rsidRPr="00FD005E">
        <w:t>7.</w:t>
      </w:r>
      <w:r w:rsidRPr="00FD005E">
        <w:tab/>
        <w:t>invita le autorità de facto a revocare immediatamente le restrizioni nei confronti delle operatrici umanitarie e delle studentesse, a consentire alle donne di partecipare pienamente agli interventi di risposta alle catastrofi e a consentire alle organizzazioni che si occupano di diritti delle donne di continuare la loro attività in Afghanistan; invita in particolare le autorità a revocare immediatamente tutte le restrizioni imposte alle donne che lavorano per le organizzazioni della società civile, sia a livello locale che internazionale, in modo che possano continuare il loro lavoro;</w:t>
      </w:r>
    </w:p>
    <w:p w14:paraId="3BF51538" w14:textId="77777777" w:rsidR="001F265C" w:rsidRPr="00FD005E" w:rsidRDefault="001F265C" w:rsidP="001F265C">
      <w:pPr>
        <w:pStyle w:val="NormalHanging12a"/>
        <w:rPr>
          <w:szCs w:val="18"/>
        </w:rPr>
      </w:pPr>
      <w:r w:rsidRPr="00FD005E">
        <w:t>8.</w:t>
      </w:r>
      <w:r w:rsidRPr="00FD005E">
        <w:tab/>
        <w:t>condanna il persistere della violenza contro le donne in Afghanistan, compresi lo stupro e la violenza sessuale, i matrimoni forzati (infantili), la violenza domestica e i casi di mutilazione genitale femminile;</w:t>
      </w:r>
    </w:p>
    <w:p w14:paraId="443BC76E" w14:textId="77777777" w:rsidR="001F265C" w:rsidRPr="00FD005E" w:rsidRDefault="001F265C" w:rsidP="001F265C">
      <w:pPr>
        <w:pStyle w:val="NormalHanging12a"/>
      </w:pPr>
      <w:r w:rsidRPr="00FD005E">
        <w:t>9.</w:t>
      </w:r>
      <w:r w:rsidRPr="00FD005E">
        <w:tab/>
        <w:t>insiste sulla necessità che i talebani impediscano ad Al-Qaeda, Daesh, ISIS-Khorasan e ad altri terroristi e gruppi terroristici di utilizzare il territorio afghano per minacciare o violare la sicurezza di qualsiasi altro paese, rifiutandosi di accogliere i membri di tali gruppi e impedendo loro di svolgere attività di reclutamento, addestramento o raccolta di fondi; esprime preoccupazione per il mancato rispetto di tali impegni; esorta tutti i partner pertinenti a intensificare i loro sforzi intesi a smantellare tutte le reti di finanziamento del terrorismo;</w:t>
      </w:r>
    </w:p>
    <w:p w14:paraId="445EA8BE" w14:textId="77777777" w:rsidR="001F265C" w:rsidRPr="00FD005E" w:rsidRDefault="001F265C" w:rsidP="001F265C">
      <w:pPr>
        <w:pStyle w:val="NormalHanging12a"/>
        <w:rPr>
          <w:szCs w:val="18"/>
        </w:rPr>
      </w:pPr>
      <w:r w:rsidRPr="00FD005E">
        <w:t>10.</w:t>
      </w:r>
      <w:r w:rsidRPr="00FD005E">
        <w:tab/>
        <w:t>invita l'UE e gli Stati membri ad aumentare la pressione sui talebani, anche attraverso sanzioni mirate, congelamento dei beni e divieti di viaggio nei confronti dei leader talebani responsabili di violazioni sistematiche dei diritti umani, e ad astenersi dal riprendere le relazioni diplomatiche con i talebani in linea con i cinque parametri di riferimento stabiliti nelle conclusioni del Consiglio sull'Afghanistan del settembre 2021;</w:t>
      </w:r>
    </w:p>
    <w:p w14:paraId="7E7C5C6F" w14:textId="77777777" w:rsidR="001F265C" w:rsidRPr="00FD005E" w:rsidRDefault="001F265C" w:rsidP="001F265C">
      <w:pPr>
        <w:pStyle w:val="NormalHanging12a"/>
      </w:pPr>
      <w:r w:rsidRPr="00FD005E">
        <w:t>11.</w:t>
      </w:r>
      <w:r w:rsidRPr="00FD005E">
        <w:tab/>
        <w:t xml:space="preserve">invita la comunità internazionale a chiamare i talebani a rispondere delle loro azioni, anche attraverso l'istituzione di un meccanismo investigativo indipendente delle Nazioni Unite per l'Afghanistan, e ad eseguire i mandati d'arresto della CPI del luglio 2025 nei </w:t>
      </w:r>
      <w:r w:rsidRPr="00FD005E">
        <w:lastRenderedPageBreak/>
        <w:t xml:space="preserve">confronti della guida suprema talebana </w:t>
      </w:r>
      <w:proofErr w:type="spellStart"/>
      <w:r w:rsidRPr="00FD005E">
        <w:t>Haibatullah</w:t>
      </w:r>
      <w:proofErr w:type="spellEnd"/>
      <w:r w:rsidRPr="00FD005E">
        <w:t xml:space="preserve"> Akhundzada e del presidente della Corte suprema talebana Abdul Hakim Haqqani, emessi per crimini contro l'umanità connessi alla persecuzione di donne e ragazze; esprime il proprio sostegno alle indagini in corso sulle persecuzioni di genere e su altre violazioni dei diritti umani;</w:t>
      </w:r>
    </w:p>
    <w:p w14:paraId="6B519F27" w14:textId="78041311" w:rsidR="004A3576" w:rsidRPr="00FD005E" w:rsidRDefault="004A3576" w:rsidP="001F265C">
      <w:pPr>
        <w:pStyle w:val="NormalHanging12a"/>
      </w:pPr>
      <w:r w:rsidRPr="00FD005E">
        <w:t>12.</w:t>
      </w:r>
      <w:r w:rsidRPr="00FD005E">
        <w:tab/>
        <w:t>accoglie con favore l'istituzione di un meccanismo investigativo indipendente che consenta all'Afghanistan di rispondere all'appello delle vittime afghane quale passo significativo nel perseguimento della verità, della giustizia e dell'assunzione di responsabilità per il popolo afghano, che subisce crimini internazionali e violazioni del diritto internazionale commessi nel paese; accoglie inoltre con favore il rinnovo del mandato del relatore speciale delle Nazioni Unite e si unisce al suo appello per l’assunzione di responsabilità;</w:t>
      </w:r>
    </w:p>
    <w:p w14:paraId="03F2FF3F" w14:textId="2B59A7D4" w:rsidR="002C0055" w:rsidRPr="00FD005E" w:rsidRDefault="001F265C" w:rsidP="002C0055">
      <w:pPr>
        <w:pStyle w:val="NormalHanging12a"/>
      </w:pPr>
      <w:r w:rsidRPr="00FD005E">
        <w:t>1</w:t>
      </w:r>
      <w:r w:rsidR="004A3576" w:rsidRPr="00FD005E">
        <w:t>3</w:t>
      </w:r>
      <w:r w:rsidRPr="00FD005E">
        <w:t>.</w:t>
      </w:r>
      <w:r w:rsidRPr="00FD005E">
        <w:tab/>
        <w:t>incarica la sua Presidente di trasmettere la presente risoluzione al Consiglio, alla Commissione, alla vicepresidente della Commissione</w:t>
      </w:r>
      <w:r w:rsidR="00E22B4F" w:rsidRPr="00FD005E">
        <w:t> </w:t>
      </w:r>
      <w:r w:rsidRPr="00FD005E">
        <w:t>/</w:t>
      </w:r>
      <w:r w:rsidR="00E22B4F" w:rsidRPr="00FD005E">
        <w:t> </w:t>
      </w:r>
      <w:r w:rsidRPr="00FD005E">
        <w:t>alta rappresentante dell'Unione per gli affari esteri e la politica di sicurezza, ai governi e ai parlamenti degli Stati membri, all’inviato speciale dell’UE per l’Afghanistan e alle autorità de facto dell’Afghanistan.</w:t>
      </w:r>
    </w:p>
    <w:p w14:paraId="3BDBBDB3" w14:textId="44ED3BA3" w:rsidR="00E365E1" w:rsidRPr="00FD005E" w:rsidRDefault="00E365E1" w:rsidP="00013A54"/>
    <w:sectPr w:rsidR="00E365E1" w:rsidRPr="00FD005E" w:rsidSect="002C00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15C89" w14:textId="77777777" w:rsidR="00013A54" w:rsidRPr="002C0055" w:rsidRDefault="00013A54">
      <w:r w:rsidRPr="002C0055">
        <w:separator/>
      </w:r>
    </w:p>
  </w:endnote>
  <w:endnote w:type="continuationSeparator" w:id="0">
    <w:p w14:paraId="13C6E880" w14:textId="77777777" w:rsidR="00013A54" w:rsidRPr="002C0055" w:rsidRDefault="00013A54">
      <w:r w:rsidRPr="002C00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00B84" w14:textId="77777777" w:rsidR="00064002" w:rsidRPr="002C00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EC4F" w14:textId="77777777" w:rsidR="00064002" w:rsidRPr="002C00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7803" w14:textId="77777777" w:rsidR="00064002" w:rsidRPr="002C00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AB1A0" w14:textId="77777777" w:rsidR="00013A54" w:rsidRPr="002C0055" w:rsidRDefault="00013A54">
      <w:r w:rsidRPr="002C0055">
        <w:separator/>
      </w:r>
    </w:p>
  </w:footnote>
  <w:footnote w:type="continuationSeparator" w:id="0">
    <w:p w14:paraId="6619342A" w14:textId="77777777" w:rsidR="00013A54" w:rsidRPr="002C0055" w:rsidRDefault="00013A54">
      <w:r w:rsidRPr="002C0055">
        <w:continuationSeparator/>
      </w:r>
    </w:p>
  </w:footnote>
  <w:footnote w:id="1">
    <w:p w14:paraId="7B041E0B" w14:textId="1AC52198" w:rsidR="001F265C" w:rsidRPr="00FD005E" w:rsidRDefault="001F265C" w:rsidP="002C0055">
      <w:pPr>
        <w:pStyle w:val="FootnoteText"/>
        <w:ind w:left="567" w:hanging="567"/>
        <w:rPr>
          <w:sz w:val="24"/>
          <w:lang w:val="fi-FI"/>
        </w:rPr>
      </w:pPr>
      <w:r w:rsidRPr="002C0055">
        <w:rPr>
          <w:rStyle w:val="FootnoteReference"/>
          <w:sz w:val="24"/>
          <w:lang w:val="it-IT"/>
        </w:rPr>
        <w:footnoteRef/>
      </w:r>
      <w:r w:rsidR="002C0055" w:rsidRPr="00FD005E">
        <w:rPr>
          <w:sz w:val="24"/>
          <w:lang w:val="fi-FI"/>
        </w:rPr>
        <w:t xml:space="preserve"> </w:t>
      </w:r>
      <w:r w:rsidR="002C0055" w:rsidRPr="00FD005E">
        <w:rPr>
          <w:sz w:val="24"/>
          <w:lang w:val="fi-FI"/>
        </w:rPr>
        <w:tab/>
      </w:r>
      <w:r w:rsidRPr="00FD005E">
        <w:rPr>
          <w:sz w:val="24"/>
          <w:lang w:val="fi-FI"/>
        </w:rPr>
        <w:t xml:space="preserve">GU C, C/2024/7211, 10.12.2024, ELI: </w:t>
      </w:r>
      <w:hyperlink r:id="rId1" w:history="1">
        <w:r w:rsidRPr="00FD005E">
          <w:rPr>
            <w:rStyle w:val="Hyperlink"/>
            <w:sz w:val="24"/>
            <w:lang w:val="fi-FI"/>
          </w:rPr>
          <w:t>http://data.europa.eu/eli/C/2024/7211/oj</w:t>
        </w:r>
      </w:hyperlink>
      <w:r w:rsidRPr="00FD005E">
        <w:rPr>
          <w:sz w:val="24"/>
          <w:lang w:val="fi-FI"/>
        </w:rPr>
        <w:t>.</w:t>
      </w:r>
    </w:p>
  </w:footnote>
  <w:footnote w:id="2">
    <w:p w14:paraId="68017CC3" w14:textId="6CCE4558" w:rsidR="001F265C" w:rsidRPr="002C0055" w:rsidRDefault="001F265C" w:rsidP="002C0055">
      <w:pPr>
        <w:pStyle w:val="FootnoteText"/>
        <w:ind w:left="567" w:hanging="567"/>
        <w:rPr>
          <w:sz w:val="24"/>
          <w:lang w:val="it-IT"/>
        </w:rPr>
      </w:pPr>
      <w:r w:rsidRPr="002C0055">
        <w:rPr>
          <w:rStyle w:val="FootnoteReference"/>
          <w:sz w:val="24"/>
          <w:lang w:val="it-IT"/>
        </w:rPr>
        <w:footnoteRef/>
      </w:r>
      <w:r w:rsidR="002C0055" w:rsidRPr="002C0055">
        <w:rPr>
          <w:sz w:val="24"/>
          <w:lang w:val="it-IT"/>
        </w:rPr>
        <w:t xml:space="preserve"> </w:t>
      </w:r>
      <w:r w:rsidR="002C0055" w:rsidRPr="002C0055">
        <w:rPr>
          <w:sz w:val="24"/>
          <w:lang w:val="it-IT"/>
        </w:rPr>
        <w:tab/>
      </w:r>
      <w:r w:rsidRPr="002C0055">
        <w:rPr>
          <w:sz w:val="24"/>
          <w:lang w:val="it-IT"/>
        </w:rPr>
        <w:t xml:space="preserve">Sentenza della Corte di giustizia del 4 ottobre 2024, </w:t>
      </w:r>
      <w:r w:rsidRPr="00FD005E">
        <w:rPr>
          <w:i/>
          <w:iCs/>
          <w:sz w:val="24"/>
          <w:lang w:val="it-IT"/>
        </w:rPr>
        <w:t>AH, FN/</w:t>
      </w:r>
      <w:proofErr w:type="spellStart"/>
      <w:r w:rsidRPr="00FD005E">
        <w:rPr>
          <w:i/>
          <w:iCs/>
          <w:sz w:val="24"/>
          <w:lang w:val="it-IT"/>
        </w:rPr>
        <w:t>Bundesamt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für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Fremdenwesen</w:t>
      </w:r>
      <w:proofErr w:type="spellEnd"/>
      <w:r w:rsidRPr="00FD005E">
        <w:rPr>
          <w:i/>
          <w:iCs/>
          <w:sz w:val="24"/>
          <w:lang w:val="it-IT"/>
        </w:rPr>
        <w:t xml:space="preserve"> und </w:t>
      </w:r>
      <w:proofErr w:type="spellStart"/>
      <w:r w:rsidRPr="00FD005E">
        <w:rPr>
          <w:i/>
          <w:iCs/>
          <w:sz w:val="24"/>
          <w:lang w:val="it-IT"/>
        </w:rPr>
        <w:t>Asyl</w:t>
      </w:r>
      <w:proofErr w:type="spellEnd"/>
      <w:r w:rsidRPr="002C0055">
        <w:rPr>
          <w:sz w:val="24"/>
          <w:lang w:val="it-IT"/>
        </w:rPr>
        <w:t>, C‑608/22, C‑609/22, ECLI:EU:C:2024:828.</w:t>
      </w:r>
    </w:p>
  </w:footnote>
  <w:footnote w:id="3">
    <w:p w14:paraId="1C1C2CEB" w14:textId="077C93AB" w:rsidR="001F265C" w:rsidRPr="002C0055" w:rsidRDefault="001F265C" w:rsidP="002C0055">
      <w:pPr>
        <w:pStyle w:val="FootnoteText"/>
        <w:ind w:left="567" w:hanging="567"/>
        <w:rPr>
          <w:sz w:val="24"/>
          <w:lang w:val="it-IT"/>
        </w:rPr>
      </w:pPr>
      <w:r w:rsidRPr="002C0055">
        <w:rPr>
          <w:rStyle w:val="FootnoteReference"/>
          <w:sz w:val="24"/>
          <w:lang w:val="it-IT"/>
        </w:rPr>
        <w:footnoteRef/>
      </w:r>
      <w:r w:rsidR="002C0055" w:rsidRPr="002C0055">
        <w:rPr>
          <w:sz w:val="24"/>
          <w:lang w:val="it-IT"/>
        </w:rPr>
        <w:t xml:space="preserve"> </w:t>
      </w:r>
      <w:r w:rsidR="002C0055" w:rsidRPr="002C0055">
        <w:rPr>
          <w:sz w:val="24"/>
          <w:lang w:val="it-IT"/>
        </w:rPr>
        <w:tab/>
      </w:r>
      <w:r w:rsidRPr="002C0055">
        <w:rPr>
          <w:sz w:val="24"/>
          <w:lang w:val="it-IT"/>
        </w:rPr>
        <w:t xml:space="preserve">GU L 67 del 14.3.2017, pag. 3, ELI: </w:t>
      </w:r>
      <w:hyperlink r:id="rId2" w:history="1">
        <w:r w:rsidRPr="002C0055">
          <w:rPr>
            <w:rStyle w:val="Hyperlink"/>
            <w:sz w:val="24"/>
            <w:lang w:val="it-IT"/>
          </w:rPr>
          <w:t>http://data.europa.eu/eli/agree_internation/2017/434/oj</w:t>
        </w:r>
      </w:hyperlink>
      <w:r w:rsidRPr="002C0055">
        <w:rPr>
          <w:sz w:val="24"/>
          <w:lang w:val="it-IT"/>
        </w:rPr>
        <w:t>.</w:t>
      </w:r>
    </w:p>
  </w:footnote>
  <w:footnote w:id="4">
    <w:p w14:paraId="7FF3F24F" w14:textId="2E36F713" w:rsidR="001F265C" w:rsidRPr="002C0055" w:rsidRDefault="001F265C" w:rsidP="002C0055">
      <w:pPr>
        <w:pStyle w:val="FootnoteText"/>
        <w:ind w:left="567" w:hanging="567"/>
        <w:rPr>
          <w:sz w:val="24"/>
          <w:lang w:val="it-IT"/>
        </w:rPr>
      </w:pPr>
      <w:r w:rsidRPr="002C0055">
        <w:rPr>
          <w:rStyle w:val="FootnoteReference"/>
          <w:sz w:val="24"/>
          <w:lang w:val="it-IT"/>
        </w:rPr>
        <w:footnoteRef/>
      </w:r>
      <w:r w:rsidR="002C0055" w:rsidRPr="002C0055">
        <w:rPr>
          <w:sz w:val="24"/>
          <w:lang w:val="it-IT"/>
        </w:rPr>
        <w:t xml:space="preserve"> </w:t>
      </w:r>
      <w:r w:rsidR="002C0055" w:rsidRPr="002C0055">
        <w:rPr>
          <w:sz w:val="24"/>
          <w:lang w:val="it-IT"/>
        </w:rPr>
        <w:tab/>
      </w:r>
      <w:r w:rsidRPr="002C0055">
        <w:rPr>
          <w:sz w:val="24"/>
          <w:lang w:val="it-IT"/>
        </w:rPr>
        <w:t xml:space="preserve">Sentenza della Corte di giustizia del 16 gennaio 2024, </w:t>
      </w:r>
      <w:r w:rsidRPr="00FD005E">
        <w:rPr>
          <w:i/>
          <w:iCs/>
          <w:sz w:val="24"/>
          <w:lang w:val="it-IT"/>
        </w:rPr>
        <w:t>WS/</w:t>
      </w:r>
      <w:proofErr w:type="spellStart"/>
      <w:r w:rsidRPr="00FD005E">
        <w:rPr>
          <w:i/>
          <w:iCs/>
          <w:sz w:val="24"/>
          <w:lang w:val="it-IT"/>
        </w:rPr>
        <w:t>Intervyuirasht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organ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na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Darzhavna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agentsia</w:t>
      </w:r>
      <w:proofErr w:type="spellEnd"/>
      <w:r w:rsidRPr="00FD005E">
        <w:rPr>
          <w:i/>
          <w:iCs/>
          <w:sz w:val="24"/>
          <w:lang w:val="it-IT"/>
        </w:rPr>
        <w:t xml:space="preserve"> za </w:t>
      </w:r>
      <w:proofErr w:type="spellStart"/>
      <w:r w:rsidRPr="00FD005E">
        <w:rPr>
          <w:i/>
          <w:iCs/>
          <w:sz w:val="24"/>
          <w:lang w:val="it-IT"/>
        </w:rPr>
        <w:t>bezhantsite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pri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Ministerskia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savet</w:t>
      </w:r>
      <w:proofErr w:type="spellEnd"/>
      <w:r w:rsidRPr="002C0055">
        <w:rPr>
          <w:sz w:val="24"/>
          <w:lang w:val="it-IT"/>
        </w:rPr>
        <w:t>, C-621/21, ECLI:EU:C:2024:47;</w:t>
      </w:r>
    </w:p>
  </w:footnote>
  <w:footnote w:id="5">
    <w:p w14:paraId="4CA3B0B7" w14:textId="69C64F76" w:rsidR="001F265C" w:rsidRPr="002C0055" w:rsidRDefault="001F265C" w:rsidP="002C0055">
      <w:pPr>
        <w:pStyle w:val="FootnoteText"/>
        <w:ind w:left="567" w:hanging="567"/>
        <w:rPr>
          <w:sz w:val="24"/>
          <w:lang w:val="it-IT"/>
        </w:rPr>
      </w:pPr>
      <w:r w:rsidRPr="002C0055">
        <w:rPr>
          <w:rStyle w:val="FootnoteReference"/>
          <w:sz w:val="24"/>
          <w:lang w:val="it-IT"/>
        </w:rPr>
        <w:footnoteRef/>
      </w:r>
      <w:r w:rsidR="002C0055" w:rsidRPr="002C0055">
        <w:rPr>
          <w:sz w:val="24"/>
          <w:lang w:val="it-IT"/>
        </w:rPr>
        <w:t xml:space="preserve"> </w:t>
      </w:r>
      <w:r w:rsidR="002C0055" w:rsidRPr="002C0055">
        <w:rPr>
          <w:sz w:val="24"/>
          <w:lang w:val="it-IT"/>
        </w:rPr>
        <w:tab/>
      </w:r>
      <w:r w:rsidRPr="002C0055">
        <w:rPr>
          <w:sz w:val="24"/>
          <w:lang w:val="it-IT"/>
        </w:rPr>
        <w:t xml:space="preserve">Sentenza della Corte di giustizia del 16 gennaio 2024, </w:t>
      </w:r>
      <w:r w:rsidRPr="00FD005E">
        <w:rPr>
          <w:i/>
          <w:iCs/>
          <w:sz w:val="24"/>
          <w:lang w:val="it-IT"/>
        </w:rPr>
        <w:t>WS/</w:t>
      </w:r>
      <w:proofErr w:type="spellStart"/>
      <w:r w:rsidRPr="00FD005E">
        <w:rPr>
          <w:i/>
          <w:iCs/>
          <w:sz w:val="24"/>
          <w:lang w:val="it-IT"/>
        </w:rPr>
        <w:t>Intervyuirasht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organ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na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Darzhavna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agentsia</w:t>
      </w:r>
      <w:proofErr w:type="spellEnd"/>
      <w:r w:rsidRPr="00FD005E">
        <w:rPr>
          <w:i/>
          <w:iCs/>
          <w:sz w:val="24"/>
          <w:lang w:val="it-IT"/>
        </w:rPr>
        <w:t xml:space="preserve"> za </w:t>
      </w:r>
      <w:proofErr w:type="spellStart"/>
      <w:r w:rsidRPr="00FD005E">
        <w:rPr>
          <w:i/>
          <w:iCs/>
          <w:sz w:val="24"/>
          <w:lang w:val="it-IT"/>
        </w:rPr>
        <w:t>bezhantsite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pri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Ministerskia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savet</w:t>
      </w:r>
      <w:proofErr w:type="spellEnd"/>
      <w:r w:rsidRPr="002C0055">
        <w:rPr>
          <w:sz w:val="24"/>
          <w:lang w:val="it-IT"/>
        </w:rPr>
        <w:t>, C</w:t>
      </w:r>
      <w:r w:rsidRPr="002C0055">
        <w:rPr>
          <w:sz w:val="24"/>
          <w:lang w:val="it-IT"/>
        </w:rPr>
        <w:noBreakHyphen/>
        <w:t xml:space="preserve">621/21, ECLI:EU:C:2024:47; sentenza della Corte di giustizia dell'11 giugno 2024, </w:t>
      </w:r>
      <w:r w:rsidRPr="00FD005E">
        <w:rPr>
          <w:i/>
          <w:iCs/>
          <w:sz w:val="24"/>
          <w:lang w:val="it-IT"/>
        </w:rPr>
        <w:t>K, L/</w:t>
      </w:r>
      <w:proofErr w:type="spellStart"/>
      <w:r w:rsidRPr="00FD005E">
        <w:rPr>
          <w:i/>
          <w:iCs/>
          <w:sz w:val="24"/>
          <w:lang w:val="it-IT"/>
        </w:rPr>
        <w:t>Staatssecretaris</w:t>
      </w:r>
      <w:proofErr w:type="spellEnd"/>
      <w:r w:rsidRPr="00FD005E">
        <w:rPr>
          <w:i/>
          <w:iCs/>
          <w:sz w:val="24"/>
          <w:lang w:val="it-IT"/>
        </w:rPr>
        <w:t xml:space="preserve"> van </w:t>
      </w:r>
      <w:proofErr w:type="spellStart"/>
      <w:r w:rsidRPr="00FD005E">
        <w:rPr>
          <w:i/>
          <w:iCs/>
          <w:sz w:val="24"/>
          <w:lang w:val="it-IT"/>
        </w:rPr>
        <w:t>Justitie</w:t>
      </w:r>
      <w:proofErr w:type="spellEnd"/>
      <w:r w:rsidRPr="00FD005E">
        <w:rPr>
          <w:i/>
          <w:iCs/>
          <w:sz w:val="24"/>
          <w:lang w:val="it-IT"/>
        </w:rPr>
        <w:t xml:space="preserve"> en </w:t>
      </w:r>
      <w:proofErr w:type="spellStart"/>
      <w:r w:rsidRPr="00FD005E">
        <w:rPr>
          <w:i/>
          <w:iCs/>
          <w:sz w:val="24"/>
          <w:lang w:val="it-IT"/>
        </w:rPr>
        <w:t>Veiligheid</w:t>
      </w:r>
      <w:proofErr w:type="spellEnd"/>
      <w:r w:rsidRPr="002C0055">
        <w:rPr>
          <w:sz w:val="24"/>
          <w:lang w:val="it-IT"/>
        </w:rPr>
        <w:t>, C</w:t>
      </w:r>
      <w:r w:rsidRPr="002C0055">
        <w:rPr>
          <w:sz w:val="24"/>
          <w:lang w:val="it-IT"/>
        </w:rPr>
        <w:noBreakHyphen/>
        <w:t xml:space="preserve">646/21, ECLI:EU:C:2024:487; sentenza della Corte di giustizia del 4 ottobre 2024, </w:t>
      </w:r>
      <w:r w:rsidRPr="00FD005E">
        <w:rPr>
          <w:i/>
          <w:iCs/>
          <w:sz w:val="24"/>
          <w:lang w:val="it-IT"/>
        </w:rPr>
        <w:t>AH, FN/</w:t>
      </w:r>
      <w:proofErr w:type="spellStart"/>
      <w:r w:rsidRPr="00FD005E">
        <w:rPr>
          <w:i/>
          <w:iCs/>
          <w:sz w:val="24"/>
          <w:lang w:val="it-IT"/>
        </w:rPr>
        <w:t>Bundesamt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für</w:t>
      </w:r>
      <w:proofErr w:type="spellEnd"/>
      <w:r w:rsidRPr="00FD005E">
        <w:rPr>
          <w:i/>
          <w:iCs/>
          <w:sz w:val="24"/>
          <w:lang w:val="it-IT"/>
        </w:rPr>
        <w:t xml:space="preserve"> </w:t>
      </w:r>
      <w:proofErr w:type="spellStart"/>
      <w:r w:rsidRPr="00FD005E">
        <w:rPr>
          <w:i/>
          <w:iCs/>
          <w:sz w:val="24"/>
          <w:lang w:val="it-IT"/>
        </w:rPr>
        <w:t>Fremdenwesen</w:t>
      </w:r>
      <w:proofErr w:type="spellEnd"/>
      <w:r w:rsidRPr="00FD005E">
        <w:rPr>
          <w:i/>
          <w:iCs/>
          <w:sz w:val="24"/>
          <w:lang w:val="it-IT"/>
        </w:rPr>
        <w:t xml:space="preserve"> und </w:t>
      </w:r>
      <w:proofErr w:type="spellStart"/>
      <w:r w:rsidRPr="00FD005E">
        <w:rPr>
          <w:i/>
          <w:iCs/>
          <w:sz w:val="24"/>
          <w:lang w:val="it-IT"/>
        </w:rPr>
        <w:t>Asyl</w:t>
      </w:r>
      <w:proofErr w:type="spellEnd"/>
      <w:r w:rsidRPr="002C0055">
        <w:rPr>
          <w:sz w:val="24"/>
          <w:lang w:val="it-IT"/>
        </w:rPr>
        <w:t>, C-608/22, C-609/22, ECLI:EU:C:2024:82.</w:t>
      </w:r>
    </w:p>
  </w:footnote>
  <w:footnote w:id="6">
    <w:p w14:paraId="3EBF4B99" w14:textId="67DA4DDB" w:rsidR="001F265C" w:rsidRPr="002C0055" w:rsidRDefault="001F265C" w:rsidP="002C0055">
      <w:pPr>
        <w:pStyle w:val="FootnoteText"/>
        <w:ind w:left="567" w:hanging="567"/>
        <w:rPr>
          <w:sz w:val="24"/>
          <w:lang w:val="it-IT"/>
        </w:rPr>
      </w:pPr>
      <w:r w:rsidRPr="002C0055">
        <w:rPr>
          <w:rStyle w:val="FootnoteReference"/>
          <w:sz w:val="24"/>
          <w:lang w:val="it-IT"/>
        </w:rPr>
        <w:footnoteRef/>
      </w:r>
      <w:r w:rsidR="002C0055" w:rsidRPr="002C0055">
        <w:rPr>
          <w:sz w:val="24"/>
          <w:lang w:val="it-IT"/>
        </w:rPr>
        <w:t xml:space="preserve"> </w:t>
      </w:r>
      <w:r w:rsidR="002C0055" w:rsidRPr="002C0055">
        <w:rPr>
          <w:sz w:val="24"/>
          <w:lang w:val="it-IT"/>
        </w:rPr>
        <w:tab/>
      </w:r>
      <w:r w:rsidRPr="002C0055">
        <w:rPr>
          <w:sz w:val="24"/>
          <w:lang w:val="it-IT"/>
        </w:rPr>
        <w:t>Proposta della Commissione del 16 luglio 2025 per un regolamento del Parlamento europeo e del Consiglio che istituisce Europa globale (</w:t>
      </w:r>
      <w:proofErr w:type="gramStart"/>
      <w:r w:rsidRPr="002C0055">
        <w:rPr>
          <w:sz w:val="24"/>
          <w:lang w:val="it-IT"/>
        </w:rPr>
        <w:t>COM(</w:t>
      </w:r>
      <w:proofErr w:type="gramEnd"/>
      <w:r w:rsidRPr="002C0055">
        <w:rPr>
          <w:sz w:val="24"/>
          <w:lang w:val="it-IT"/>
        </w:rPr>
        <w:t>2025)0551).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041C" w14:textId="77777777" w:rsidR="00064002" w:rsidRPr="002C00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59E5F" w14:textId="77777777" w:rsidR="00064002" w:rsidRPr="002C00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6DBE1" w14:textId="77777777" w:rsidR="00064002" w:rsidRPr="002C00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2731939">
    <w:abstractNumId w:val="9"/>
  </w:num>
  <w:num w:numId="2" w16cid:durableId="1986540835">
    <w:abstractNumId w:val="9"/>
  </w:num>
  <w:num w:numId="3" w16cid:durableId="1775057231">
    <w:abstractNumId w:val="7"/>
  </w:num>
  <w:num w:numId="4" w16cid:durableId="609122552">
    <w:abstractNumId w:val="7"/>
  </w:num>
  <w:num w:numId="5" w16cid:durableId="1791244756">
    <w:abstractNumId w:val="6"/>
  </w:num>
  <w:num w:numId="6" w16cid:durableId="1961765823">
    <w:abstractNumId w:val="6"/>
  </w:num>
  <w:num w:numId="7" w16cid:durableId="1636250657">
    <w:abstractNumId w:val="5"/>
  </w:num>
  <w:num w:numId="8" w16cid:durableId="516117286">
    <w:abstractNumId w:val="5"/>
  </w:num>
  <w:num w:numId="9" w16cid:durableId="640816736">
    <w:abstractNumId w:val="4"/>
  </w:num>
  <w:num w:numId="10" w16cid:durableId="1003824712">
    <w:abstractNumId w:val="4"/>
  </w:num>
  <w:num w:numId="11" w16cid:durableId="1649823516">
    <w:abstractNumId w:val="8"/>
  </w:num>
  <w:num w:numId="12" w16cid:durableId="1693065112">
    <w:abstractNumId w:val="8"/>
  </w:num>
  <w:num w:numId="13" w16cid:durableId="90130550">
    <w:abstractNumId w:val="3"/>
  </w:num>
  <w:num w:numId="14" w16cid:durableId="893737057">
    <w:abstractNumId w:val="3"/>
  </w:num>
  <w:num w:numId="15" w16cid:durableId="1408652560">
    <w:abstractNumId w:val="2"/>
  </w:num>
  <w:num w:numId="16" w16cid:durableId="1333411454">
    <w:abstractNumId w:val="2"/>
  </w:num>
  <w:num w:numId="17" w16cid:durableId="1064334738">
    <w:abstractNumId w:val="1"/>
  </w:num>
  <w:num w:numId="18" w16cid:durableId="691416314">
    <w:abstractNumId w:val="1"/>
  </w:num>
  <w:num w:numId="19" w16cid:durableId="1377310615">
    <w:abstractNumId w:val="0"/>
  </w:num>
  <w:num w:numId="20" w16cid:durableId="772363332">
    <w:abstractNumId w:val="0"/>
  </w:num>
  <w:num w:numId="21" w16cid:durableId="1926761723">
    <w:abstractNumId w:val="9"/>
  </w:num>
  <w:num w:numId="22" w16cid:durableId="1321927484">
    <w:abstractNumId w:val="7"/>
  </w:num>
  <w:num w:numId="23" w16cid:durableId="821968167">
    <w:abstractNumId w:val="6"/>
  </w:num>
  <w:num w:numId="24" w16cid:durableId="1561018111">
    <w:abstractNumId w:val="5"/>
  </w:num>
  <w:num w:numId="25" w16cid:durableId="337999486">
    <w:abstractNumId w:val="4"/>
  </w:num>
  <w:num w:numId="26" w16cid:durableId="2010407666">
    <w:abstractNumId w:val="8"/>
  </w:num>
  <w:num w:numId="27" w16cid:durableId="1694110157">
    <w:abstractNumId w:val="3"/>
  </w:num>
  <w:num w:numId="28" w16cid:durableId="302855419">
    <w:abstractNumId w:val="2"/>
  </w:num>
  <w:num w:numId="29" w16cid:durableId="651763312">
    <w:abstractNumId w:val="1"/>
  </w:num>
  <w:num w:numId="30" w16cid:durableId="1442452700">
    <w:abstractNumId w:val="0"/>
  </w:num>
  <w:num w:numId="31" w16cid:durableId="1392385202">
    <w:abstractNumId w:val="9"/>
  </w:num>
  <w:num w:numId="32" w16cid:durableId="845944242">
    <w:abstractNumId w:val="7"/>
  </w:num>
  <w:num w:numId="33" w16cid:durableId="1272929711">
    <w:abstractNumId w:val="6"/>
  </w:num>
  <w:num w:numId="34" w16cid:durableId="867765174">
    <w:abstractNumId w:val="5"/>
  </w:num>
  <w:num w:numId="35" w16cid:durableId="1290017066">
    <w:abstractNumId w:val="4"/>
  </w:num>
  <w:num w:numId="36" w16cid:durableId="2053528932">
    <w:abstractNumId w:val="8"/>
  </w:num>
  <w:num w:numId="37" w16cid:durableId="1629775253">
    <w:abstractNumId w:val="3"/>
  </w:num>
  <w:num w:numId="38" w16cid:durableId="1158157189">
    <w:abstractNumId w:val="2"/>
  </w:num>
  <w:num w:numId="39" w16cid:durableId="753165766">
    <w:abstractNumId w:val="1"/>
  </w:num>
  <w:num w:numId="40" w16cid:durableId="1222713714">
    <w:abstractNumId w:val="0"/>
  </w:num>
  <w:num w:numId="41" w16cid:durableId="576212863">
    <w:abstractNumId w:val="10"/>
  </w:num>
  <w:num w:numId="42" w16cid:durableId="702553597">
    <w:abstractNumId w:val="10"/>
  </w:num>
  <w:num w:numId="43" w16cid:durableId="1909152693">
    <w:abstractNumId w:val="10"/>
  </w:num>
  <w:num w:numId="44" w16cid:durableId="8421607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5/2025"/>
    <w:docVar w:name="dvlangue" w:val="IT"/>
    <w:docVar w:name="dvnumam" w:val="0"/>
    <w:docVar w:name="dvpe" w:val="776.254"/>
    <w:docVar w:name="dvtitre" w:val="Risoluzione del Parlamento europeo del 9 ottobre 2025 sulla situazione in Afghanistan: sostenere le donne e le comunità colpite dai recenti terremoti(2025/2872(RSP))"/>
  </w:docVars>
  <w:rsids>
    <w:rsidRoot w:val="00013A54"/>
    <w:rsid w:val="00002272"/>
    <w:rsid w:val="00013A54"/>
    <w:rsid w:val="00064002"/>
    <w:rsid w:val="000677B9"/>
    <w:rsid w:val="000831BA"/>
    <w:rsid w:val="000A42CC"/>
    <w:rsid w:val="000E7DD9"/>
    <w:rsid w:val="0010095E"/>
    <w:rsid w:val="00125B37"/>
    <w:rsid w:val="00187494"/>
    <w:rsid w:val="001F265C"/>
    <w:rsid w:val="001F32AE"/>
    <w:rsid w:val="002767FF"/>
    <w:rsid w:val="002B17AB"/>
    <w:rsid w:val="002B18FE"/>
    <w:rsid w:val="002B5493"/>
    <w:rsid w:val="002C0055"/>
    <w:rsid w:val="0030504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3576"/>
    <w:rsid w:val="004C0004"/>
    <w:rsid w:val="004C5D52"/>
    <w:rsid w:val="0050519A"/>
    <w:rsid w:val="005072A1"/>
    <w:rsid w:val="00514517"/>
    <w:rsid w:val="00545827"/>
    <w:rsid w:val="00560270"/>
    <w:rsid w:val="00571C9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17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E3B"/>
    <w:rsid w:val="00C61C0C"/>
    <w:rsid w:val="00C941CB"/>
    <w:rsid w:val="00CC2357"/>
    <w:rsid w:val="00CF071A"/>
    <w:rsid w:val="00D058B8"/>
    <w:rsid w:val="00D13E64"/>
    <w:rsid w:val="00D2320D"/>
    <w:rsid w:val="00D56C11"/>
    <w:rsid w:val="00D834A0"/>
    <w:rsid w:val="00D872DF"/>
    <w:rsid w:val="00D91E21"/>
    <w:rsid w:val="00DA7FCD"/>
    <w:rsid w:val="00E22B4F"/>
    <w:rsid w:val="00E365E1"/>
    <w:rsid w:val="00E820A4"/>
    <w:rsid w:val="00EB006A"/>
    <w:rsid w:val="00EB4772"/>
    <w:rsid w:val="00ED102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05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9D95B"/>
  <w15:chartTrackingRefBased/>
  <w15:docId w15:val="{D5AACA44-CBDB-47EA-A923-882696DC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F265C"/>
    <w:pPr>
      <w:spacing w:after="240"/>
      <w:ind w:left="567" w:hanging="567"/>
    </w:pPr>
  </w:style>
  <w:style w:type="paragraph" w:customStyle="1" w:styleId="EPComma">
    <w:name w:val="EPComma"/>
    <w:basedOn w:val="Normal"/>
    <w:rsid w:val="001F265C"/>
    <w:pPr>
      <w:spacing w:before="480" w:after="240"/>
    </w:pPr>
  </w:style>
  <w:style w:type="character" w:styleId="Hyperlink">
    <w:name w:val="Hyperlink"/>
    <w:basedOn w:val="DefaultParagraphFont"/>
    <w:rsid w:val="001F265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B17AB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434/oj" TargetMode="External"/><Relationship Id="rId1" Type="http://schemas.openxmlformats.org/officeDocument/2006/relationships/hyperlink" Target="http://data.europa.eu/eli/C/2024/72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2768</Words>
  <Characters>16323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AR_relec</dc:creator>
  <cp:keywords/>
  <cp:lastModifiedBy>AR_1</cp:lastModifiedBy>
  <cp:revision>2</cp:revision>
  <cp:lastPrinted>2004-11-19T15:42:00Z</cp:lastPrinted>
  <dcterms:created xsi:type="dcterms:W3CDTF">2025-10-09T14:02:00Z</dcterms:created>
  <dcterms:modified xsi:type="dcterms:W3CDTF">2025-10-09T14:02:00Z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B10-0415/2025</vt:lpwstr>
  </property>
  <property fmtid="{D5CDD505-2E9C-101B-9397-08002B2CF9AE}" pid="4" name="&lt;Type&gt;">
    <vt:lpwstr>RR</vt:lpwstr>
  </property>
</Properties>
</file>