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B3FC2" w14:paraId="00521C3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E970FE1" w14:textId="77777777" w:rsidR="00751A4A" w:rsidRPr="002B3FC2" w:rsidRDefault="00F73D4B" w:rsidP="0010095E">
            <w:pPr>
              <w:pStyle w:val="EPName"/>
            </w:pPr>
            <w:r w:rsidRPr="002B3FC2">
              <w:t>Europski parlament</w:t>
            </w:r>
          </w:p>
          <w:p w14:paraId="4449101E" w14:textId="77777777" w:rsidR="00751A4A" w:rsidRPr="002B3FC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B3FC2">
              <w:t>2024</w:t>
            </w:r>
            <w:r w:rsidR="00817416" w:rsidRPr="002B3FC2">
              <w:t>-202</w:t>
            </w:r>
            <w:r w:rsidRPr="002B3FC2">
              <w:t>9</w:t>
            </w:r>
          </w:p>
        </w:tc>
        <w:tc>
          <w:tcPr>
            <w:tcW w:w="2268" w:type="dxa"/>
            <w:shd w:val="clear" w:color="auto" w:fill="auto"/>
          </w:tcPr>
          <w:p w14:paraId="41FC1F86" w14:textId="77777777" w:rsidR="00751A4A" w:rsidRPr="002B3FC2" w:rsidRDefault="00187494" w:rsidP="0010095E">
            <w:pPr>
              <w:pStyle w:val="EPLogo"/>
            </w:pPr>
            <w:r w:rsidRPr="002B3FC2">
              <w:rPr>
                <w:noProof/>
                <w:lang w:eastAsia="ja-JP"/>
              </w:rPr>
              <w:drawing>
                <wp:inline distT="0" distB="0" distL="0" distR="0" wp14:anchorId="6B51F229" wp14:editId="41C3FB3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91231B7" w14:textId="77777777" w:rsidR="00D058B8" w:rsidRPr="002B3FC2" w:rsidRDefault="00D058B8" w:rsidP="004C5D52">
      <w:pPr>
        <w:pStyle w:val="LineTop"/>
      </w:pPr>
    </w:p>
    <w:p w14:paraId="7A0A2659" w14:textId="77777777" w:rsidR="00680577" w:rsidRPr="002B3FC2" w:rsidRDefault="00F73D4B" w:rsidP="00680577">
      <w:pPr>
        <w:pStyle w:val="EPBodyTA1"/>
      </w:pPr>
      <w:r w:rsidRPr="002B3FC2">
        <w:t>USVOJENI TEKSTOVI</w:t>
      </w:r>
    </w:p>
    <w:p w14:paraId="726E2FFF" w14:textId="77777777" w:rsidR="00D058B8" w:rsidRPr="002B3FC2" w:rsidRDefault="00D058B8" w:rsidP="00D058B8">
      <w:pPr>
        <w:pStyle w:val="LineBottom"/>
      </w:pPr>
    </w:p>
    <w:p w14:paraId="083439A9" w14:textId="32C74DE6" w:rsidR="00F73D4B" w:rsidRPr="002B3FC2" w:rsidRDefault="00F73D4B" w:rsidP="00F73D4B">
      <w:pPr>
        <w:pStyle w:val="ATHeading1"/>
      </w:pPr>
      <w:bookmarkStart w:id="0" w:name="TANumber"/>
      <w:r w:rsidRPr="002B3FC2">
        <w:t>P10_TA(2025)0</w:t>
      </w:r>
      <w:bookmarkEnd w:id="0"/>
      <w:r w:rsidR="0082079B">
        <w:t>230</w:t>
      </w:r>
    </w:p>
    <w:p w14:paraId="5694AAC9" w14:textId="77777777" w:rsidR="00F73D4B" w:rsidRPr="002B3FC2" w:rsidRDefault="00F73D4B" w:rsidP="00F73D4B">
      <w:pPr>
        <w:pStyle w:val="ATHeading2"/>
      </w:pPr>
      <w:bookmarkStart w:id="1" w:name="title"/>
      <w:r w:rsidRPr="002B3FC2">
        <w:t>Ujedinjeni odgovor na nedavne ruske povrede zračnog prostora i kritične infrastrukture država članica EU-a</w:t>
      </w:r>
      <w:bookmarkEnd w:id="1"/>
    </w:p>
    <w:p w14:paraId="2068C92C" w14:textId="0EAAF6C4" w:rsidR="00F73D4B" w:rsidRPr="002B3FC2" w:rsidRDefault="00F73D4B" w:rsidP="00F73D4B">
      <w:pPr>
        <w:rPr>
          <w:i/>
          <w:vanish/>
        </w:rPr>
      </w:pPr>
      <w:r w:rsidRPr="002B3FC2">
        <w:rPr>
          <w:i/>
        </w:rPr>
        <w:fldChar w:fldCharType="begin"/>
      </w:r>
      <w:r w:rsidRPr="002B3FC2">
        <w:rPr>
          <w:i/>
        </w:rPr>
        <w:instrText xml:space="preserve"> TC"(</w:instrText>
      </w:r>
      <w:bookmarkStart w:id="2" w:name="DocNumber"/>
      <w:r w:rsidRPr="002B3FC2">
        <w:rPr>
          <w:i/>
        </w:rPr>
        <w:instrText>B10-0419</w:instrText>
      </w:r>
      <w:r w:rsidR="007837E9">
        <w:rPr>
          <w:i/>
        </w:rPr>
        <w:instrText>, 0422, 0423, 0424 i 0437</w:instrText>
      </w:r>
      <w:r w:rsidRPr="002B3FC2">
        <w:rPr>
          <w:i/>
        </w:rPr>
        <w:instrText>/2025</w:instrText>
      </w:r>
      <w:bookmarkEnd w:id="2"/>
      <w:r w:rsidRPr="002B3FC2">
        <w:rPr>
          <w:i/>
        </w:rPr>
        <w:instrText xml:space="preserve">)"\l3 \n&gt; \* MERGEFORMAT </w:instrText>
      </w:r>
      <w:r w:rsidRPr="002B3FC2">
        <w:rPr>
          <w:i/>
        </w:rPr>
        <w:fldChar w:fldCharType="end"/>
      </w:r>
    </w:p>
    <w:p w14:paraId="6EFA62E4" w14:textId="77777777" w:rsidR="00F73D4B" w:rsidRPr="002B3FC2" w:rsidRDefault="00F73D4B" w:rsidP="00F73D4B">
      <w:pPr>
        <w:rPr>
          <w:vanish/>
        </w:rPr>
      </w:pPr>
      <w:bookmarkStart w:id="3" w:name="PE"/>
      <w:r w:rsidRPr="002B3FC2">
        <w:rPr>
          <w:vanish/>
        </w:rPr>
        <w:t>PE776.258</w:t>
      </w:r>
      <w:bookmarkEnd w:id="3"/>
    </w:p>
    <w:p w14:paraId="16B0B0BA" w14:textId="7B15D2DF" w:rsidR="00F73D4B" w:rsidRPr="002B3FC2" w:rsidRDefault="00F73D4B" w:rsidP="00F73D4B">
      <w:pPr>
        <w:pStyle w:val="ATHeading3"/>
      </w:pPr>
      <w:bookmarkStart w:id="4" w:name="Sujet"/>
      <w:r w:rsidRPr="002B3FC2">
        <w:t xml:space="preserve">Rezolucija Europskog parlamenta od </w:t>
      </w:r>
      <w:r w:rsidR="007837E9">
        <w:t>9. listopada</w:t>
      </w:r>
      <w:r w:rsidRPr="002B3FC2">
        <w:t xml:space="preserve"> 2025. o ujedinjenom odgovoru na nedavne ruske povrede zračnog prostora i kritične infrastrukture država članica EU-a</w:t>
      </w:r>
      <w:bookmarkEnd w:id="4"/>
      <w:r w:rsidRPr="002B3FC2">
        <w:t xml:space="preserve"> </w:t>
      </w:r>
      <w:bookmarkStart w:id="5" w:name="References"/>
      <w:r w:rsidRPr="002B3FC2">
        <w:t>(2025/2901(RSP))</w:t>
      </w:r>
      <w:bookmarkEnd w:id="5"/>
    </w:p>
    <w:p w14:paraId="774760BC" w14:textId="77777777" w:rsidR="00EA4C22" w:rsidRPr="002B3FC2" w:rsidRDefault="00EA4C22" w:rsidP="00EA4C22">
      <w:pPr>
        <w:pStyle w:val="EPComma"/>
      </w:pPr>
      <w:bookmarkStart w:id="6" w:name="TextBodyBegin"/>
      <w:bookmarkEnd w:id="6"/>
      <w:r w:rsidRPr="002B3FC2">
        <w:rPr>
          <w:i/>
          <w:iCs/>
        </w:rPr>
        <w:t>Europski parlament,</w:t>
      </w:r>
    </w:p>
    <w:p w14:paraId="08571532" w14:textId="77777777" w:rsidR="00EA4C22" w:rsidRPr="002B3FC2" w:rsidRDefault="00EA4C22" w:rsidP="00EA4C22">
      <w:pPr>
        <w:pStyle w:val="NormalHanging12a"/>
      </w:pPr>
      <w:r w:rsidRPr="002B3FC2">
        <w:t>–</w:t>
      </w:r>
      <w:r w:rsidRPr="002B3FC2">
        <w:tab/>
        <w:t>uzimajući u obzir Povelju Ujedinjenih naroda i temeljna načela međunarodnog humanitarnog prava,</w:t>
      </w:r>
    </w:p>
    <w:p w14:paraId="0FD4CD40" w14:textId="77777777" w:rsidR="00EA4C22" w:rsidRPr="002B3FC2" w:rsidRDefault="00EA4C22" w:rsidP="00EA4C22">
      <w:pPr>
        <w:pStyle w:val="NormalHanging12a"/>
      </w:pPr>
      <w:r w:rsidRPr="002B3FC2">
        <w:t>–</w:t>
      </w:r>
      <w:r w:rsidRPr="002B3FC2">
        <w:tab/>
        <w:t>uzimajući u obzir članak 42. stavak 7. i članak 24. stavak 3. Ugovora o Europskoj uniji (UEU),</w:t>
      </w:r>
    </w:p>
    <w:p w14:paraId="71D2B88F" w14:textId="77777777" w:rsidR="00EA4C22" w:rsidRPr="002B3FC2" w:rsidRDefault="00EA4C22" w:rsidP="00EA4C22">
      <w:pPr>
        <w:pStyle w:val="NormalHanging12a"/>
      </w:pPr>
      <w:r w:rsidRPr="002B3FC2">
        <w:t>–</w:t>
      </w:r>
      <w:r w:rsidRPr="002B3FC2">
        <w:tab/>
        <w:t>uzimajući u obzir svoje prethodne rezolucije o Ukrajini i Rusiji,</w:t>
      </w:r>
    </w:p>
    <w:p w14:paraId="3BFF3B83" w14:textId="77777777" w:rsidR="00EA4C22" w:rsidRPr="002B3FC2" w:rsidRDefault="00EA4C22" w:rsidP="00EA4C22">
      <w:pPr>
        <w:pStyle w:val="NormalHanging12a"/>
      </w:pPr>
      <w:r w:rsidRPr="002B3FC2">
        <w:t>–</w:t>
      </w:r>
      <w:r w:rsidRPr="002B3FC2">
        <w:tab/>
        <w:t>uzimajući u obzir Bijelu knjigu o europskoj obrambenoj spremnosti 2030. i svoju Rezoluciju od 12. ožujka 2025. o toj temi</w:t>
      </w:r>
      <w:r w:rsidRPr="002B3FC2">
        <w:rPr>
          <w:rStyle w:val="FootnoteReference"/>
        </w:rPr>
        <w:footnoteReference w:id="1"/>
      </w:r>
      <w:r w:rsidRPr="002B3FC2">
        <w:t>,</w:t>
      </w:r>
    </w:p>
    <w:p w14:paraId="499AEA47" w14:textId="009DCB13" w:rsidR="00EA4C22" w:rsidRPr="002B3FC2" w:rsidRDefault="00EA4C22" w:rsidP="00EA4C22">
      <w:pPr>
        <w:pStyle w:val="NormalHanging12a"/>
      </w:pPr>
      <w:r w:rsidRPr="002B3FC2">
        <w:t>–</w:t>
      </w:r>
      <w:r w:rsidRPr="002B3FC2">
        <w:tab/>
        <w:t xml:space="preserve">uzimajući u obzir Uredbu Vijeća (EU) 2025/1106 od </w:t>
      </w:r>
      <w:r w:rsidR="002274AC">
        <w:t>2</w:t>
      </w:r>
      <w:r w:rsidRPr="002B3FC2">
        <w:t>7. svibnja 2025. o uspostavi Instrumenta za sigurnosne mjere za Europu (SAFE) putem jačanja europske obrambene industrije</w:t>
      </w:r>
      <w:r w:rsidRPr="002B3FC2">
        <w:rPr>
          <w:rStyle w:val="FootnoteReference"/>
        </w:rPr>
        <w:footnoteReference w:id="2"/>
      </w:r>
      <w:r w:rsidRPr="002B3FC2">
        <w:t>,</w:t>
      </w:r>
    </w:p>
    <w:p w14:paraId="571A8FE4" w14:textId="77777777" w:rsidR="00EA4C22" w:rsidRPr="002B3FC2" w:rsidRDefault="00EA4C22" w:rsidP="00EA4C22">
      <w:pPr>
        <w:pStyle w:val="NormalHanging12a"/>
      </w:pPr>
      <w:r w:rsidRPr="002B3FC2">
        <w:t>–</w:t>
      </w:r>
      <w:r w:rsidRPr="002B3FC2">
        <w:tab/>
        <w:t>uzimajući u obzir Prijedlog uredbe Europskog parlamenta i Vijeća, koji je Komisija podnijela 5. ožujka 2024., o uspostavi Programa za europsku obrambenu industriju i okvira mjera za osiguravanje pravodobne dostupnosti i opskrbe obrambenim proizvodima („EDIP”) (COM(2024)0150),</w:t>
      </w:r>
    </w:p>
    <w:p w14:paraId="310EFF76" w14:textId="77777777" w:rsidR="00EA4C22" w:rsidRPr="002B3FC2" w:rsidRDefault="00EA4C22" w:rsidP="00EA4C22">
      <w:pPr>
        <w:pStyle w:val="NormalHanging12a"/>
      </w:pPr>
      <w:r w:rsidRPr="002B3FC2">
        <w:t>–</w:t>
      </w:r>
      <w:r w:rsidRPr="002B3FC2">
        <w:tab/>
        <w:t>uzimajući u obzir svoje prethodne rezolucije o Ukrajini i Rusiji, posebno one donesene nakon opće ruske invazije na Ukrajinu u veljači 2022. i pripojenja Krimskog poluotoka 19. veljače 2014.,</w:t>
      </w:r>
    </w:p>
    <w:p w14:paraId="276B1F58" w14:textId="77777777" w:rsidR="00EA4C22" w:rsidRPr="002B3FC2" w:rsidRDefault="00EA4C22" w:rsidP="00EA4C22">
      <w:pPr>
        <w:pStyle w:val="NormalHanging12a"/>
      </w:pPr>
      <w:r w:rsidRPr="002B3FC2">
        <w:t>–</w:t>
      </w:r>
      <w:r w:rsidRPr="002B3FC2">
        <w:tab/>
        <w:t xml:space="preserve">uzimajući u obzir međunarodni pravni okvir za sprečavanje i borbu protiv terorizma, uključujući Rezoluciju Vijeća sigurnosti UN-a 2341 o zaštiti kritične infrastrukture od </w:t>
      </w:r>
      <w:r w:rsidRPr="002B3FC2">
        <w:lastRenderedPageBreak/>
        <w:t>terorističkih djela, donesenu 13. veljače 2017.,</w:t>
      </w:r>
    </w:p>
    <w:p w14:paraId="539E45C3" w14:textId="77777777" w:rsidR="00EA4C22" w:rsidRPr="002B3FC2" w:rsidRDefault="00EA4C22" w:rsidP="00EA4C22">
      <w:pPr>
        <w:pStyle w:val="NormalHanging12a"/>
      </w:pPr>
      <w:r w:rsidRPr="002B3FC2">
        <w:t>–</w:t>
      </w:r>
      <w:r w:rsidRPr="002B3FC2">
        <w:tab/>
        <w:t xml:space="preserve">uzimajući u obzir govor o stanju Unije koji je 10. rujna 2025. održala predsjednica Komisije Ursula von </w:t>
      </w:r>
      <w:proofErr w:type="spellStart"/>
      <w:r w:rsidRPr="002B3FC2">
        <w:t>der</w:t>
      </w:r>
      <w:proofErr w:type="spellEnd"/>
      <w:r w:rsidRPr="002B3FC2">
        <w:t xml:space="preserve"> </w:t>
      </w:r>
      <w:proofErr w:type="spellStart"/>
      <w:r w:rsidRPr="002B3FC2">
        <w:t>Leyen</w:t>
      </w:r>
      <w:proofErr w:type="spellEnd"/>
      <w:r w:rsidRPr="002B3FC2">
        <w:t>,</w:t>
      </w:r>
    </w:p>
    <w:p w14:paraId="79E73F06" w14:textId="77777777" w:rsidR="00EA4C22" w:rsidRPr="002B3FC2" w:rsidRDefault="00EA4C22" w:rsidP="00EA4C22">
      <w:pPr>
        <w:pStyle w:val="NormalHanging12a"/>
      </w:pPr>
      <w:r w:rsidRPr="002B3FC2">
        <w:t>–</w:t>
      </w:r>
      <w:r w:rsidRPr="002B3FC2">
        <w:tab/>
        <w:t xml:space="preserve">uzimajući u obzir izjavu glavnog tajnika NATO-a Marka </w:t>
      </w:r>
      <w:proofErr w:type="spellStart"/>
      <w:r w:rsidRPr="002B3FC2">
        <w:t>Ruttea</w:t>
      </w:r>
      <w:proofErr w:type="spellEnd"/>
      <w:r w:rsidRPr="002B3FC2">
        <w:t xml:space="preserve"> od 10. rujna 2025. o povredi poljskog zračnog prostora ruskim bespilotnim letjelicama,</w:t>
      </w:r>
    </w:p>
    <w:p w14:paraId="3769CCAE" w14:textId="77777777" w:rsidR="00EA4C22" w:rsidRPr="002B3FC2" w:rsidRDefault="00EA4C22" w:rsidP="00EA4C22">
      <w:pPr>
        <w:pStyle w:val="NormalHanging12a"/>
      </w:pPr>
      <w:r w:rsidRPr="002B3FC2">
        <w:t>–</w:t>
      </w:r>
      <w:r w:rsidRPr="002B3FC2">
        <w:tab/>
        <w:t xml:space="preserve">uzimajući u obzir govor poljskog potpredsjednika vlade </w:t>
      </w:r>
      <w:proofErr w:type="spellStart"/>
      <w:r w:rsidRPr="002B3FC2">
        <w:t>Radosława</w:t>
      </w:r>
      <w:proofErr w:type="spellEnd"/>
      <w:r w:rsidRPr="002B3FC2">
        <w:t xml:space="preserve"> </w:t>
      </w:r>
      <w:proofErr w:type="spellStart"/>
      <w:r w:rsidRPr="002B3FC2">
        <w:t>Sikorskog</w:t>
      </w:r>
      <w:proofErr w:type="spellEnd"/>
      <w:r w:rsidRPr="002B3FC2">
        <w:t xml:space="preserve"> održan na izvanrednoj sjednici Vijeća sigurnosti UN-a 22. rujna 2025.,</w:t>
      </w:r>
    </w:p>
    <w:p w14:paraId="70DE00A8" w14:textId="77777777" w:rsidR="00EA4C22" w:rsidRPr="002B3FC2" w:rsidRDefault="00EA4C22" w:rsidP="00EA4C22">
      <w:pPr>
        <w:pStyle w:val="NormalHanging12a"/>
      </w:pPr>
      <w:r w:rsidRPr="002B3FC2">
        <w:t>–</w:t>
      </w:r>
      <w:r w:rsidRPr="002B3FC2">
        <w:tab/>
        <w:t xml:space="preserve">uzimajući u obzir izjavu o povredi estonskog zračnog prostora koju je dala visoka predstavnica Unije za vanjske poslove i sigurnosnu politiku Kaja </w:t>
      </w:r>
      <w:proofErr w:type="spellStart"/>
      <w:r w:rsidRPr="002B3FC2">
        <w:t>Kallas</w:t>
      </w:r>
      <w:proofErr w:type="spellEnd"/>
      <w:r w:rsidRPr="002B3FC2">
        <w:t xml:space="preserve"> na izvanrednoj sjednici Vijeća sigurnosti 22. rujna 2025.;</w:t>
      </w:r>
    </w:p>
    <w:p w14:paraId="0FCC17E2" w14:textId="77777777" w:rsidR="00EA4C22" w:rsidRPr="002B3FC2" w:rsidRDefault="00EA4C22" w:rsidP="00EA4C22">
      <w:pPr>
        <w:pStyle w:val="NormalHanging12a"/>
      </w:pPr>
      <w:r w:rsidRPr="002B3FC2">
        <w:t>–</w:t>
      </w:r>
      <w:r w:rsidRPr="002B3FC2">
        <w:tab/>
        <w:t>uzimajući u obzir izjavu Sjevernoatlantskog vijeća od 23. rujna 2025. o nedavnim ruskim povredama zračnog prostora,</w:t>
      </w:r>
    </w:p>
    <w:p w14:paraId="23BCED7A" w14:textId="77777777" w:rsidR="00EA4C22" w:rsidRPr="002B3FC2" w:rsidRDefault="00EA4C22" w:rsidP="00EA4C22">
      <w:pPr>
        <w:pStyle w:val="NormalHanging12a"/>
      </w:pPr>
      <w:r w:rsidRPr="002B3FC2">
        <w:t>–</w:t>
      </w:r>
      <w:r w:rsidRPr="002B3FC2">
        <w:tab/>
        <w:t xml:space="preserve">uzimajući u obzir izjavu povjerenika </w:t>
      </w:r>
      <w:proofErr w:type="spellStart"/>
      <w:r w:rsidRPr="002B3FC2">
        <w:t>Andriusa</w:t>
      </w:r>
      <w:proofErr w:type="spellEnd"/>
      <w:r w:rsidRPr="002B3FC2">
        <w:t xml:space="preserve"> </w:t>
      </w:r>
      <w:proofErr w:type="spellStart"/>
      <w:r w:rsidRPr="002B3FC2">
        <w:t>Kubiliusa</w:t>
      </w:r>
      <w:proofErr w:type="spellEnd"/>
      <w:r w:rsidRPr="002B3FC2">
        <w:t xml:space="preserve"> od 26. rujna 2025. nakon videokonferencije na visokoj razini o suradnji u području obrane istočnog krila,</w:t>
      </w:r>
    </w:p>
    <w:p w14:paraId="21EF39E3" w14:textId="77777777" w:rsidR="00EA4C22" w:rsidRPr="002B3FC2" w:rsidRDefault="00EA4C22" w:rsidP="00EA4C22">
      <w:pPr>
        <w:pStyle w:val="NormalHanging12a"/>
      </w:pPr>
      <w:r w:rsidRPr="002B3FC2">
        <w:t>–</w:t>
      </w:r>
      <w:r w:rsidRPr="002B3FC2">
        <w:tab/>
        <w:t>uzimajući u obzir napomene predsjednika Vijeća Antónija Coste od 1. listopada 2025. na konferenciji za medije nakon neformalnog sastanka čelnika država i vlada,</w:t>
      </w:r>
    </w:p>
    <w:p w14:paraId="718C87C3" w14:textId="77777777" w:rsidR="00EA4C22" w:rsidRPr="002B3FC2" w:rsidRDefault="00EA4C22" w:rsidP="00EA4C22">
      <w:pPr>
        <w:pStyle w:val="NormalHanging12a"/>
      </w:pPr>
      <w:r w:rsidRPr="002B3FC2">
        <w:t>–</w:t>
      </w:r>
      <w:r w:rsidRPr="002B3FC2">
        <w:tab/>
        <w:t>uzimajući u obzir članak 136. stavke 2. i 4. Poslovnika,</w:t>
      </w:r>
    </w:p>
    <w:p w14:paraId="37413CED" w14:textId="77777777" w:rsidR="00EA4C22" w:rsidRPr="002B3FC2" w:rsidRDefault="00EA4C22" w:rsidP="00EA4C22">
      <w:pPr>
        <w:pStyle w:val="NormalHanging12a"/>
      </w:pPr>
      <w:r w:rsidRPr="002B3FC2">
        <w:t>A.</w:t>
      </w:r>
      <w:r w:rsidRPr="002B3FC2">
        <w:tab/>
        <w:t>budući da je Rusija tijekom posljednjih godina u više navrata bila uključena u namjerno hibridno ratovanje na teritoriju EU-a, koje uključuje kibernetičke napade, kampanje dezinformiranja i uplitanje u izbore, upotrebu energije kao oružja, podmetanje požara, sabotažu kritične infrastrukture, ometanje i lažiranje globalnih navigacijskih satelitskih sustava (GNSS) (uključujući GPS), te vojne provokacije, uključujući povrede zračnog prostora lovačkim zrakoplovima i dalekometnim napadačkim bespilotnim letjelicama, uz namjeru širenja straha među građanima EU-a, destabilizacije političke situacije u državama članicama i smanjenja potpore EU-a Ukrajini;</w:t>
      </w:r>
    </w:p>
    <w:p w14:paraId="5CCB17F4" w14:textId="77777777" w:rsidR="00EA4C22" w:rsidRPr="002B3FC2" w:rsidRDefault="00EA4C22" w:rsidP="00EA4C22">
      <w:pPr>
        <w:pStyle w:val="NormalHanging12a"/>
      </w:pPr>
      <w:r w:rsidRPr="002B3FC2">
        <w:t>B.</w:t>
      </w:r>
      <w:r w:rsidRPr="002B3FC2">
        <w:tab/>
        <w:t>budući da se od početka opće ruske invazije na Ukrajinu događaju upadi Rusije u zračni prostor NATO-a i EU-a, što predstavlja očitu povredu suverenosti država članica i međunarodnog prava, te da su ti upadi nedavno dosegli nezabilježene razmjere, što otvara pitanje pokušava li Rusija testirati odlučnost NATO-a ili preusmjeriti pozornost i resurse NATO-a s rata u Ukrajini;</w:t>
      </w:r>
    </w:p>
    <w:p w14:paraId="7662CCE5" w14:textId="77777777" w:rsidR="00EA4C22" w:rsidRPr="002B3FC2" w:rsidRDefault="00EA4C22" w:rsidP="00EA4C22">
      <w:pPr>
        <w:pStyle w:val="NormalHanging12a"/>
      </w:pPr>
      <w:r w:rsidRPr="002B3FC2">
        <w:t>C.</w:t>
      </w:r>
      <w:r w:rsidRPr="002B3FC2">
        <w:tab/>
        <w:t xml:space="preserve">budući da je 28. srpnja 2025. ruska bespilotna letjelica s eksplozivima iz </w:t>
      </w:r>
      <w:proofErr w:type="spellStart"/>
      <w:r w:rsidRPr="002B3FC2">
        <w:t>Bjelarusa</w:t>
      </w:r>
      <w:proofErr w:type="spellEnd"/>
      <w:r w:rsidRPr="002B3FC2">
        <w:t xml:space="preserve"> ušla u litavski zračni prostor te se srušila na njezinu državnom području na vojnom poligonu; budući da su 4. listopada 2025. meteorološki baloni korišteni za krijumčarenje iz </w:t>
      </w:r>
      <w:proofErr w:type="spellStart"/>
      <w:r w:rsidRPr="002B3FC2">
        <w:t>Bjelarusa</w:t>
      </w:r>
      <w:proofErr w:type="spellEnd"/>
      <w:r w:rsidRPr="002B3FC2">
        <w:t xml:space="preserve"> ušli u litavski zračni prostor, čime su ozbiljno omeli aktivnosti međunarodne zračne luke Vilnius;</w:t>
      </w:r>
    </w:p>
    <w:p w14:paraId="475B648D" w14:textId="77777777" w:rsidR="00EA4C22" w:rsidRPr="002B3FC2" w:rsidRDefault="00EA4C22" w:rsidP="00EA4C22">
      <w:pPr>
        <w:pStyle w:val="NormalHanging12a"/>
      </w:pPr>
      <w:r w:rsidRPr="002B3FC2">
        <w:t>D.</w:t>
      </w:r>
      <w:r w:rsidRPr="002B3FC2">
        <w:tab/>
        <w:t>budući da je 10. rujna 2025. tijekom sedam sati oko 20 ruskih bespilotnih letjelica zašlo duboko u poljski zračni prostor, dok ih nisu srušili zrakoplovi NATO-a ili su se same srušile, što predstavlja prvi izravni vojni sukob NATO-a i Rusije od početka opće invazije;</w:t>
      </w:r>
    </w:p>
    <w:p w14:paraId="182D5CB4" w14:textId="77777777" w:rsidR="00EA4C22" w:rsidRPr="002B3FC2" w:rsidRDefault="00EA4C22" w:rsidP="00EA4C22">
      <w:pPr>
        <w:pStyle w:val="NormalHanging12a"/>
      </w:pPr>
      <w:r w:rsidRPr="002B3FC2">
        <w:t>E.</w:t>
      </w:r>
      <w:r w:rsidRPr="002B3FC2">
        <w:tab/>
        <w:t xml:space="preserve">budući da su 19. rujna 2025. tri naoružana ruska lovačka zrakoplova MiG-31 narušila </w:t>
      </w:r>
      <w:r w:rsidRPr="002B3FC2">
        <w:lastRenderedPageBreak/>
        <w:t>estonski zračni prostor na 12 minuta, ušla u sigurnosnu zonu iznad poljske naftne platforme u Baltičkom moru, ne obazirući se na komunikaciju NATO-ovih pilota zrakoplova F-35, te su u konačnici ispraćena u međunarodni zračni prostor;</w:t>
      </w:r>
    </w:p>
    <w:p w14:paraId="1F4A12F3" w14:textId="77777777" w:rsidR="00EA4C22" w:rsidRPr="002B3FC2" w:rsidRDefault="00EA4C22" w:rsidP="00EA4C22">
      <w:pPr>
        <w:pStyle w:val="NormalHanging12a"/>
      </w:pPr>
      <w:r w:rsidRPr="002B3FC2">
        <w:t>F.</w:t>
      </w:r>
      <w:r w:rsidRPr="002B3FC2">
        <w:tab/>
        <w:t xml:space="preserve">budući da su 25. rujna 2025. mađarski zrakoplovi </w:t>
      </w:r>
      <w:proofErr w:type="spellStart"/>
      <w:r w:rsidRPr="002B3FC2">
        <w:t>Gripen</w:t>
      </w:r>
      <w:proofErr w:type="spellEnd"/>
      <w:r w:rsidRPr="002B3FC2">
        <w:t xml:space="preserve"> poletjeli iz Litve kako bi presreli formaciju pet ruskih lovačkih zrakoplova koji su letjeli u blizini zračnog prostora NATO-a, pri čemu nisu poštovali međunarodne propise o sigurnosti leta; budući da su zrakoplovi bili vizualno identificirani zapadno od latvijske obale prije nego što su ispraćeni iz zračnog prostora NATO-a;</w:t>
      </w:r>
    </w:p>
    <w:p w14:paraId="77C5B889" w14:textId="77777777" w:rsidR="00EA4C22" w:rsidRPr="002B3FC2" w:rsidRDefault="00EA4C22" w:rsidP="00EA4C22">
      <w:pPr>
        <w:pStyle w:val="NormalHanging12a"/>
      </w:pPr>
      <w:r w:rsidRPr="002B3FC2">
        <w:t>G.</w:t>
      </w:r>
      <w:r w:rsidRPr="002B3FC2">
        <w:tab/>
        <w:t xml:space="preserve">budući da su od veljače 2022. ruske bespilotne letjelice 11 puta ušle u rumunjski zračni prostor, a u 39 navrata nekoliko je dijelova dronova palo na rumunjski državni teritorij; budući da je nedavno, 13. rujna 2025., ruska bespilotna letjelica </w:t>
      </w:r>
      <w:proofErr w:type="spellStart"/>
      <w:r w:rsidRPr="002B3FC2">
        <w:t>Geran</w:t>
      </w:r>
      <w:proofErr w:type="spellEnd"/>
      <w:r w:rsidRPr="002B3FC2">
        <w:t xml:space="preserve"> ponovno ušla u rumunjski zračni prostor, gdje su je presrela dva lovačka zrakoplova F-16; budući da su se slični incidenti dogodili i u Republici </w:t>
      </w:r>
      <w:proofErr w:type="spellStart"/>
      <w:r w:rsidRPr="002B3FC2">
        <w:t>Moldovi</w:t>
      </w:r>
      <w:proofErr w:type="spellEnd"/>
      <w:r w:rsidRPr="002B3FC2">
        <w:t>;</w:t>
      </w:r>
    </w:p>
    <w:p w14:paraId="77454BD0" w14:textId="77777777" w:rsidR="00EA4C22" w:rsidRPr="002B3FC2" w:rsidRDefault="00EA4C22" w:rsidP="00EA4C22">
      <w:pPr>
        <w:pStyle w:val="NormalHanging12a"/>
      </w:pPr>
      <w:r w:rsidRPr="002B3FC2">
        <w:t>H.</w:t>
      </w:r>
      <w:r w:rsidRPr="002B3FC2">
        <w:tab/>
        <w:t>budući da su Danska, Švedska, Norveška, Litva, Francuska, Njemačka i Belgija doživjele koordinirane upade bespilotnih letjelica u civilne i vojne zračne luke ili vojne objekte ili u područja u njihovoj blizini, što je dovelo do privremenog zatvaranja zračnih luka;</w:t>
      </w:r>
    </w:p>
    <w:p w14:paraId="387A6811" w14:textId="77777777" w:rsidR="00EA4C22" w:rsidRPr="002B3FC2" w:rsidRDefault="00EA4C22" w:rsidP="00EA4C22">
      <w:pPr>
        <w:pStyle w:val="NormalHanging12a"/>
      </w:pPr>
      <w:r w:rsidRPr="002B3FC2">
        <w:t>I.</w:t>
      </w:r>
      <w:r w:rsidRPr="002B3FC2">
        <w:tab/>
        <w:t xml:space="preserve">budući da nedavni niz upada bespilotnih letjelica diljem regije Baltičkog mora predstavlja znatnu hibridnu prijetnju sigurnoj i učinkovitoj provedbi inicijative za jedinstveno europsko nebo; budući da su ti upadi prouzročili štetu na infrastrukturi i gospodarske gubitke; </w:t>
      </w:r>
    </w:p>
    <w:p w14:paraId="4AF7379B" w14:textId="77777777" w:rsidR="00EA4C22" w:rsidRPr="002B3FC2" w:rsidRDefault="00EA4C22" w:rsidP="00EA4C22">
      <w:pPr>
        <w:pStyle w:val="NormalHanging12a"/>
      </w:pPr>
      <w:r w:rsidRPr="002B3FC2">
        <w:t>J.</w:t>
      </w:r>
      <w:r w:rsidRPr="002B3FC2">
        <w:tab/>
        <w:t>budući da je moguće da se bespilotne letjelice lansiraju s plovila, uključujući plovila ruske flote u sjeni koja djeluje u Baltičkom moru kako bi zaobišla sankcije;</w:t>
      </w:r>
    </w:p>
    <w:p w14:paraId="091D1093" w14:textId="77777777" w:rsidR="00EA4C22" w:rsidRPr="002B3FC2" w:rsidRDefault="00EA4C22" w:rsidP="00EA4C22">
      <w:pPr>
        <w:pStyle w:val="NormalHanging12a"/>
      </w:pPr>
      <w:r w:rsidRPr="002B3FC2">
        <w:t>K.</w:t>
      </w:r>
      <w:r w:rsidRPr="002B3FC2">
        <w:tab/>
        <w:t>budući da su europski čelnici te incidente shvatili kao namjernu provokaciju koju je organizirala Rusija te u njima prepoznali obrazac nepromišljenog i neodgovornog ruskog ponašanja, pri čemu Rusija dosljedno odbija preuzeti odgovornost za takve incidente i umjesto toga negira sve dokaze, optužuje države članice za izmišljanje incidenata i širi dezinformacije kako bi diskreditira Uniju i njezine saveznike te lažno optužila Ukrajinu;</w:t>
      </w:r>
    </w:p>
    <w:p w14:paraId="3B119405" w14:textId="77777777" w:rsidR="00EA4C22" w:rsidRPr="002B3FC2" w:rsidRDefault="00EA4C22" w:rsidP="00EA4C22">
      <w:pPr>
        <w:pStyle w:val="NormalHanging12a"/>
      </w:pPr>
      <w:r w:rsidRPr="002B3FC2">
        <w:t>L.</w:t>
      </w:r>
      <w:r w:rsidRPr="002B3FC2">
        <w:tab/>
        <w:t>budući da su se nakon tih upada saveznice NATO-a, uključujući Poljsku i Estoniju, pozvale na članak 4. Sjevernoatlantskog ugovora; budući da su države članice EU-a raspravljale o tim upadima na sastancima svojih stalnih predstavnika;</w:t>
      </w:r>
    </w:p>
    <w:p w14:paraId="2C685BA2" w14:textId="77777777" w:rsidR="00EA4C22" w:rsidRPr="002B3FC2" w:rsidRDefault="00EA4C22" w:rsidP="00EA4C22">
      <w:pPr>
        <w:pStyle w:val="NormalHanging12a"/>
      </w:pPr>
      <w:r w:rsidRPr="002B3FC2">
        <w:t>M.</w:t>
      </w:r>
      <w:r w:rsidRPr="002B3FC2">
        <w:tab/>
        <w:t>budući da je NATO pokrenuo vojnu akciju „Istočna straža” kako bi zaštitio kritičnu podmorsku infrastrukturu u Baltičkom moru, poboljšao informiranosti o stanju na moru kao odgovor na ruske sabotaže i ojačao svoju zračnu obranu duž cijelog istočnog krila nakon incidenta u Poljskoj te da su Finska, Švedska i Danska sudjelovale u vojnoj vježbi „</w:t>
      </w:r>
      <w:proofErr w:type="spellStart"/>
      <w:r w:rsidRPr="002B3FC2">
        <w:t>Protective</w:t>
      </w:r>
      <w:proofErr w:type="spellEnd"/>
      <w:r w:rsidRPr="002B3FC2">
        <w:t xml:space="preserve"> </w:t>
      </w:r>
      <w:proofErr w:type="spellStart"/>
      <w:r w:rsidRPr="002B3FC2">
        <w:t>Fence</w:t>
      </w:r>
      <w:proofErr w:type="spellEnd"/>
      <w:r w:rsidRPr="002B3FC2">
        <w:t xml:space="preserve"> 25” za jačanje obrambenih sposobnosti, odvraćanja i spremnosti raspršenih formacija;</w:t>
      </w:r>
    </w:p>
    <w:p w14:paraId="3A902B32" w14:textId="77777777" w:rsidR="00EA4C22" w:rsidRPr="002B3FC2" w:rsidRDefault="00EA4C22" w:rsidP="00EA4C22">
      <w:pPr>
        <w:pStyle w:val="NormalHanging12a"/>
      </w:pPr>
      <w:r w:rsidRPr="002B3FC2">
        <w:t>N.</w:t>
      </w:r>
      <w:r w:rsidRPr="002B3FC2">
        <w:tab/>
        <w:t xml:space="preserve">budući da Rusija od 24. veljače 2022. vodi nezakonit, ničim izazvan i neopravdan agresivni rat protiv Ukrajine, što predstavlja očito kršenje Povelje UN-a i temeljnih načela međunarodnog prava i međunarodnog humanitarnog prava; budući da ruske snage i dalje provode sustavne napade bespilotnim letjelicama i projektilima na ukrajinske gradove, u kojima ciljaju civile i među ostalim napadaju vozila hitne pomoći </w:t>
      </w:r>
      <w:r w:rsidRPr="002B3FC2">
        <w:lastRenderedPageBreak/>
        <w:t>i osoblje spasilačkih službi; budući da upotreba bespilotnih letjelica protiv jasno prepoznatljivih civilnih ciljeva, širenje snimaka tih ubojstava i objavljivanje izričitih prijetnji na društvenim mrežama pokazuju koordiniranu državnu politiku usmjerenu na teroriziranje stanovništva i prisilno raseljavanje; budući da su tijekom nedavnih napada pogođene zgrade ukrajinske vlade te misije EU-a i veleposlanstva Poljske, što upućuje na to da se radi o namjernim napadima Kremlja; budući da Rusija mjesečno proizvodi tisuće bespilotnih letjelica i nastavlja povećavati svoje proizvodne kapacitete;</w:t>
      </w:r>
    </w:p>
    <w:p w14:paraId="47D5F2BB" w14:textId="77777777" w:rsidR="00EA4C22" w:rsidRPr="002B3FC2" w:rsidRDefault="00EA4C22" w:rsidP="00EA4C22">
      <w:pPr>
        <w:pStyle w:val="NormalHanging12a"/>
      </w:pPr>
      <w:r w:rsidRPr="002B3FC2">
        <w:t>O.</w:t>
      </w:r>
      <w:r w:rsidRPr="002B3FC2">
        <w:tab/>
        <w:t>budući da je sigurnost Ukrajine povezana s europskom, transatlantskom i globalnom sigurnošću te da Rusija nastoji preusmjeriti pozornost i resurse NATO-a s pružanja potpore Ukrajini na obranu vlastitog teritorija;</w:t>
      </w:r>
    </w:p>
    <w:p w14:paraId="75CDDA67" w14:textId="77777777" w:rsidR="00EA4C22" w:rsidRPr="002B3FC2" w:rsidRDefault="00EA4C22" w:rsidP="00EA4C22">
      <w:pPr>
        <w:pStyle w:val="NormalHanging12a"/>
      </w:pPr>
      <w:r w:rsidRPr="002B3FC2">
        <w:t>P.</w:t>
      </w:r>
      <w:r w:rsidRPr="002B3FC2">
        <w:tab/>
        <w:t>budući da su neke zemlje NATO-a, uključujući Poljsku, upozorile da su spremne srušiti ruske zrakoplove koji uđu u njihovo državno područje, dok NATO naglašava da se odluke o postupanju sa zrakoplovima koji upadnu u njegov zračni prostor temelje na dostupnim obavještajnim podacima o prijetnji koju predstavljaju, među ostalim o namjeri i naoružanju;</w:t>
      </w:r>
    </w:p>
    <w:p w14:paraId="7540A5E3" w14:textId="77777777" w:rsidR="00EA4C22" w:rsidRPr="002B3FC2" w:rsidRDefault="00EA4C22" w:rsidP="00EA4C22">
      <w:pPr>
        <w:pStyle w:val="NormalHanging12a"/>
      </w:pPr>
      <w:r w:rsidRPr="002B3FC2">
        <w:t>Q.</w:t>
      </w:r>
      <w:r w:rsidRPr="002B3FC2">
        <w:tab/>
        <w:t>budući da je stajalište Sjedinjenih Američkih Država o ruskoj ratnoj agresiji na Ukrajinu nepredvidljivo, zbog čega su Unija i njezine države članice glavni strateški saveznici Ukrajine te je potreban snažniji i jedinstven europski odgovor za obranu građana EU-a, regionalne stabilnosti i međunarodnog mira; budući da je suradnja EU-a i SAD-a u području sigurnosti i obrane i dalje ključna te bi je trebalo ojačati; budući da su za učinkovito odvraćanje od ruske agresije potrebna čvrsta sigurnosna jamstva koja će zajednički koordinirati Europska unija i Sjedinjene Američke Države;</w:t>
      </w:r>
    </w:p>
    <w:p w14:paraId="4C28FB10" w14:textId="77777777" w:rsidR="00EA4C22" w:rsidRPr="002B3FC2" w:rsidRDefault="00EA4C22" w:rsidP="00EA4C22">
      <w:pPr>
        <w:pStyle w:val="NormalHanging12a"/>
      </w:pPr>
      <w:r w:rsidRPr="002B3FC2">
        <w:t>R.</w:t>
      </w:r>
      <w:r w:rsidRPr="002B3FC2">
        <w:tab/>
        <w:t>budući da se sustavi zračne obrane za zaštitu od bespilotnih letjelica oslanjaju na kinetičko djelovanje i elektroničke protumjere, posebno na ometanje, kako bi se onemogućilo upravljanje letjelicama i/ili uzrokovalo njihovo prizemljivanje;</w:t>
      </w:r>
    </w:p>
    <w:p w14:paraId="5B34698E" w14:textId="4D3CE672" w:rsidR="00EA4C22" w:rsidRPr="002B3FC2" w:rsidRDefault="00EA4C22" w:rsidP="00EA4C22">
      <w:pPr>
        <w:pStyle w:val="NormalHanging12a"/>
      </w:pPr>
      <w:r w:rsidRPr="002B3FC2">
        <w:t>S.</w:t>
      </w:r>
      <w:r w:rsidRPr="002B3FC2">
        <w:tab/>
        <w:t>budući da su danske vlasti od 29. rujna do 3. listopada</w:t>
      </w:r>
      <w:r w:rsidR="002274AC">
        <w:t xml:space="preserve"> 2025.</w:t>
      </w:r>
      <w:r w:rsidRPr="002B3FC2">
        <w:t xml:space="preserve"> zabranile sve civilne letove bespilotnih letjelica u danskom zračnom prostoru radi zaštite prilikom neformalnog sastanka čelnika država i vlada EU-a održanog 1. i 2. listopada 2025. u Kopenhagenu; budući da je nekoliko država članica podržalo Dansku u osiguravanju takvih sigurnosnih mjera za taj neformalni sastanak;</w:t>
      </w:r>
    </w:p>
    <w:p w14:paraId="04C25723" w14:textId="77777777" w:rsidR="00EA4C22" w:rsidRPr="002B3FC2" w:rsidRDefault="00EA4C22" w:rsidP="00EA4C22">
      <w:pPr>
        <w:pStyle w:val="NormalHanging12a"/>
      </w:pPr>
      <w:r w:rsidRPr="002B3FC2">
        <w:t>T.</w:t>
      </w:r>
      <w:r w:rsidRPr="002B3FC2">
        <w:tab/>
        <w:t>budući da izjava predsjednika Vijeća Antónija Coste od 1. listopada 2025. nakon neformalnog sastanka čelnika država ili vlada jasno ukazuje na spremnost na poboljšanje interoperabilnosti sposobnosti, kao i na snažnu predanost vodećoj promatračkoj misiji na istočnim granicama, među ostalim putem koalicija sposobnosti koje koordiniraju odgovarajuće vodeće zemlje i inicijative EU-a za uspostavu „zida protiv bespilotnih letjelica”, naglašavajući predanost EU-a i NATO-a zajedničkoj obrani od konvencionalnih i hibridnih prijetnji te jačanju sigurnosti i stabilnosti regije;</w:t>
      </w:r>
    </w:p>
    <w:p w14:paraId="2E95986E" w14:textId="77777777" w:rsidR="00EA4C22" w:rsidRPr="002B3FC2" w:rsidRDefault="00EA4C22" w:rsidP="00EA4C22">
      <w:pPr>
        <w:pStyle w:val="NormalHanging12a"/>
      </w:pPr>
      <w:r w:rsidRPr="002B3FC2">
        <w:t>U.</w:t>
      </w:r>
      <w:r w:rsidRPr="002B3FC2">
        <w:tab/>
        <w:t>budući da nedavni upadi u zračni prostor zahtijevaju odvažan odgovor i sveobuhvatan pristup u predstojećem planu za obrambenu pripravnost do 2030.;</w:t>
      </w:r>
    </w:p>
    <w:p w14:paraId="3C058F13" w14:textId="77777777" w:rsidR="00EA4C22" w:rsidRPr="002B3FC2" w:rsidRDefault="00EA4C22" w:rsidP="00EA4C22">
      <w:pPr>
        <w:pStyle w:val="NormalHanging12a"/>
      </w:pPr>
      <w:r w:rsidRPr="002B3FC2">
        <w:t>V.</w:t>
      </w:r>
      <w:r w:rsidRPr="002B3FC2">
        <w:tab/>
        <w:t>budući da je proces razvoja cjelovite višeslojne obrane zračnog prostora trebao započeti nakon nezakonitog pripojenja Krima; budući da je za donošenje odluka, financiranje, nabavu i akviziciju te operativnu spremnost potrebno određeno vrijeme;</w:t>
      </w:r>
    </w:p>
    <w:p w14:paraId="3C4EA0F2" w14:textId="77777777" w:rsidR="00EA4C22" w:rsidRPr="002B3FC2" w:rsidRDefault="00EA4C22" w:rsidP="00EA4C22">
      <w:pPr>
        <w:pStyle w:val="NormalHanging12a"/>
      </w:pPr>
      <w:r w:rsidRPr="002B3FC2">
        <w:t>W.</w:t>
      </w:r>
      <w:r w:rsidRPr="002B3FC2">
        <w:tab/>
        <w:t xml:space="preserve">budući da bi za Bugarsku, Dansku, Estoniju, Finsku, Njemačku, Mađarsku, Latviju, </w:t>
      </w:r>
      <w:r w:rsidRPr="002B3FC2">
        <w:lastRenderedPageBreak/>
        <w:t>Litvu, Poljsku, Rumunjsku, Slovačku i Švedsku potpuno razvijeni kapaciteti EU-a u području bespilotnih letjelica duž istočnog krila NATO-a te baltičke i crnomorske regije bili od ključne važnosti; budući da bi za razvijanje takvih kapaciteta bila potrebna znatna ulaganja u europsku obranu u okviru trenutačnog i sljedećeg višegodišnjeg financijskog okvira (VFO);</w:t>
      </w:r>
    </w:p>
    <w:p w14:paraId="2F8143F9" w14:textId="77777777" w:rsidR="00EA4C22" w:rsidRPr="002B3FC2" w:rsidRDefault="00EA4C22" w:rsidP="00EA4C22">
      <w:pPr>
        <w:pStyle w:val="NormalHanging12a"/>
      </w:pPr>
      <w:r w:rsidRPr="002B3FC2">
        <w:t>X.</w:t>
      </w:r>
      <w:r w:rsidRPr="002B3FC2">
        <w:tab/>
        <w:t>budući da su hitno potrebne mjere za jačanje europske obrambene tehnološke i industrijske baze (EDTIB) kako bi se povećali proizvodni kapaciteti obrambene industrije EU-a, ojačala konkurentnost europske obrambene industrije i osigurala opskrba obrambenim proizvodima;</w:t>
      </w:r>
    </w:p>
    <w:p w14:paraId="0D197C0E" w14:textId="77777777" w:rsidR="00EA4C22" w:rsidRPr="002B3FC2" w:rsidRDefault="00EA4C22" w:rsidP="00EA4C22">
      <w:pPr>
        <w:pStyle w:val="NormalHanging12a"/>
      </w:pPr>
      <w:r w:rsidRPr="002B3FC2">
        <w:t>Y.</w:t>
      </w:r>
      <w:r w:rsidRPr="002B3FC2">
        <w:tab/>
        <w:t>budući da su potrebni kontinuirani napori i ulaganja kako bi se poduprle tehnološke inovacije i istraživanja u području obrane radi potpore EDTIB-u i europskoj strateškoj autonomiji;</w:t>
      </w:r>
    </w:p>
    <w:p w14:paraId="25B8DB56" w14:textId="0681447B" w:rsidR="00EA4C22" w:rsidRPr="002B3FC2" w:rsidRDefault="00EA4C22" w:rsidP="00EA4C22">
      <w:pPr>
        <w:pStyle w:val="NormalHanging12a"/>
      </w:pPr>
      <w:r w:rsidRPr="002B3FC2">
        <w:t>1.</w:t>
      </w:r>
      <w:r w:rsidRPr="002B3FC2">
        <w:tab/>
        <w:t xml:space="preserve">izražava punu solidarnost s </w:t>
      </w:r>
      <w:proofErr w:type="spellStart"/>
      <w:r w:rsidRPr="002B3FC2">
        <w:t>Moldovom</w:t>
      </w:r>
      <w:proofErr w:type="spellEnd"/>
      <w:r w:rsidRPr="002B3FC2">
        <w:t xml:space="preserve">, kao i s Danskom, Švedskom, Poljskom, </w:t>
      </w:r>
      <w:r w:rsidR="00D530D1" w:rsidRPr="00D530D1">
        <w:t>Litvom, Latvijom</w:t>
      </w:r>
      <w:r w:rsidR="00D530D1">
        <w:t>,</w:t>
      </w:r>
      <w:r w:rsidR="007C6BEC">
        <w:t xml:space="preserve"> </w:t>
      </w:r>
      <w:r w:rsidRPr="002B3FC2">
        <w:t>Finskom, Rumunjskom i Estonijom te sa svim drugim državama članicama koje su izložene ruskim izravnim prijetnjama, vojnim provokacijama i hibridnom ratovanju; smatra da namjerno narušavanje zračnog prometa EU-a, pri čemu su mete europske ključne vojne usluge i infrastruktura, te funkcioniranja političkih institucija EU-a i država članica s pomoću bespilotnih letjelica od strane ruskih stranih agenata predstavlja eskalaciju, dovodi do rizika od pogrešne procjene, ugrožava živote i predstavlja ozbiljno kršenje primjenjivih međunarodnih normi i ozbiljnu prijetnju građanima EU-a te miru i sigurnosti u Europi;</w:t>
      </w:r>
    </w:p>
    <w:p w14:paraId="3FC33933" w14:textId="77777777" w:rsidR="00EA4C22" w:rsidRPr="002B3FC2" w:rsidRDefault="00EA4C22" w:rsidP="00EA4C22">
      <w:pPr>
        <w:pStyle w:val="NormalHanging12a"/>
      </w:pPr>
      <w:r w:rsidRPr="002B3FC2">
        <w:t>2.</w:t>
      </w:r>
      <w:r w:rsidRPr="002B3FC2">
        <w:tab/>
      </w:r>
      <w:bookmarkStart w:id="7" w:name="_Hlk210749729"/>
      <w:r w:rsidRPr="002B3FC2">
        <w:t>potiče sve inicijative kojima se EU-u i državama članicama omogućuje da poduzmu koordinirane, ujedinjene i razmjerne mjere protiv svih povreda njihova zračnog prostora, uključujući obaranje prijetnji iz zraka; oštro osuđuje nepromišljene aktivnosti kojima je Rusija povrijedila zračni prostor država članica EU-a i članica NATO-a, odnosno Poljske, Estonije, Latvije, Litve i Rumunjske, koje dovode do zaoštravanja odnosa, kao i namjerne upade bespilotnih letjelica usmjerene na kritičnu infrastrukturu u Danskoj, Švedskoj i Norveškoj, koji su dio sustavnog vojnog i hibridnog ratovanja i provokacija Rusije usmjerenih protiv EU-a i njezinih država članica; izjavljuje da Rusija snosi punu i nedvosmislenu odgovornost za spomenute događaje u poljskom, estonskom i rumunjskom zračnom prostoru;</w:t>
      </w:r>
      <w:bookmarkEnd w:id="7"/>
    </w:p>
    <w:p w14:paraId="3F7633E4" w14:textId="77777777" w:rsidR="00EA4C22" w:rsidRPr="002B3FC2" w:rsidRDefault="00EA4C22" w:rsidP="00EA4C22">
      <w:pPr>
        <w:pStyle w:val="NormalHanging12a"/>
      </w:pPr>
      <w:r w:rsidRPr="002B3FC2">
        <w:t>3.</w:t>
      </w:r>
      <w:r w:rsidRPr="002B3FC2">
        <w:tab/>
        <w:t>pozdravlja odlučnu i razmjernu reakciju snaga NATO-a, uključujući presretanje i ispraćanje ruskih lovačkih zrakoplova iz estonskog zračnog prostora te rušenje ruskih bespilotnih letjelica iznad Poljske; prima na znanje brz i koordiniran odgovor oružanih snaga nekih država članica i partnera iz NATO-a za zaštitu europskog neba; u potpunosti podržava napore NATO-a da ojača svoje kapacitete i mogućnost odvraćanja, protuzračnu obranu i kolektivni obrambeni položaj duž istočnog krila, među ostalim pokretanjem operacije „Istočna straža” i razvojem cijelog spektra mjera u okviru te operacije;</w:t>
      </w:r>
    </w:p>
    <w:p w14:paraId="34B18DEA" w14:textId="77777777" w:rsidR="00EA4C22" w:rsidRPr="002B3FC2" w:rsidRDefault="00EA4C22" w:rsidP="00EA4C22">
      <w:pPr>
        <w:pStyle w:val="NormalHanging12a"/>
      </w:pPr>
      <w:r w:rsidRPr="002B3FC2">
        <w:t>4.</w:t>
      </w:r>
      <w:r w:rsidRPr="002B3FC2">
        <w:tab/>
        <w:t xml:space="preserve">poziva Vijeće i Komisiju da povećaju djelotvornost i učinak sankcija protiv Rusije kako bi se definitivno potkopala sposobnost Rusije da nastavi s brutalnom ratnom agresijom na Ukrajinu i ugrožavanjem sigurnosti drugih susjednih zemalja; poziva na hitno donošenje strogog 19. paketa sankcija usmjerenih na primarne ruske izvore prihoda; poziva Vijeće da zajedno s američkim partnerima zadrži i proširi svoju politiku sankcija protiv Rusije te da primijeni sličnu politiku sankcija na sve države koje joj pomažu, uključujući </w:t>
      </w:r>
      <w:proofErr w:type="spellStart"/>
      <w:r w:rsidRPr="002B3FC2">
        <w:t>Bjelarus</w:t>
      </w:r>
      <w:proofErr w:type="spellEnd"/>
      <w:r w:rsidRPr="002B3FC2">
        <w:t xml:space="preserve">, Iran i Sjevernu Koreju, te da sankcionira kineske subjekte koji </w:t>
      </w:r>
      <w:r w:rsidRPr="002B3FC2">
        <w:lastRenderedPageBreak/>
        <w:t>isporučuju robu dvojne namjene i vojnu robu ključnu za proizvodnju bespilotnih letjelica i projektila; poziva na nametanje ciljanih sankcija ruskoj floti u sjeni i daljnje mjere protiv nje koristeći se punim opsegom pravnih mogućnosti za zaustavljanje, podrivanje ili ometanje njezinih operacija s obzirom na to da je moguće da je uključena u lansiranje bespilotnih letjelica usmjerenih na kritičnu infrastrukturu; poziva Vijeće da sustavno radi na rješavanju problema koji predstavlja zaobilaženje sankcija od strane zlonamjernih subjekata izvan EU-a sa sjedištem u EU-u, i to temeljitim istragama i strožim kaznama za subjekte koji krše sankcije ili ne provode dubinsku analizu pri kontroli izvoza i provjeri krajnjih korisnika; ponavlja da svaki oblik potpore koju agresoru pružaju države kao što su Iran, Sjeverna Koreja ili Kina mora imati izravne posljedice na sve druge odnose s tim zemljama, uključujući trgovinu;</w:t>
      </w:r>
    </w:p>
    <w:p w14:paraId="1A9E2CEA" w14:textId="77777777" w:rsidR="00EA4C22" w:rsidRPr="002B3FC2" w:rsidRDefault="00EA4C22" w:rsidP="00EA4C22">
      <w:pPr>
        <w:pStyle w:val="NormalHanging12a"/>
      </w:pPr>
      <w:r w:rsidRPr="002B3FC2">
        <w:t>5.</w:t>
      </w:r>
      <w:r w:rsidRPr="002B3FC2">
        <w:tab/>
        <w:t>ističe da su EU i njegove države članice i dalje čvrsto predani međunarodnom poretku utemeljenom na pravilima i svim diplomatskim naporima usmjerenima na postizanje sveobuhvatnog, pravednog i trajnog mira za Ukrajinu, uz potpuno poštovanje njezina suvereniteta, neovisnosti i teritorijalne cjelovitosti unutar njezinih međunarodno priznatih granica; u tom pogledu poziva države članice i EU da blisko i učinkovito koordiniraju svoje diplomatske inicijative u multilateralnim organizacijama, uključujući UN, u cilju suzbijanja ruskog sustavnog kršenja međunarodnog prava;</w:t>
      </w:r>
    </w:p>
    <w:p w14:paraId="412DDDDB" w14:textId="77777777" w:rsidR="00EA4C22" w:rsidRPr="002B3FC2" w:rsidRDefault="00EA4C22" w:rsidP="00EA4C22">
      <w:pPr>
        <w:pStyle w:val="NormalHanging12a"/>
      </w:pPr>
      <w:r w:rsidRPr="002B3FC2">
        <w:t>6.</w:t>
      </w:r>
      <w:r w:rsidRPr="002B3FC2">
        <w:tab/>
        <w:t>poziva Komisiju i Vijeće da razviju akcijski plan mjera za sprečavanje i reagiranje na eskalacije ruskog hibridnog ratovanja protiv EU-a, bilo ono kopneno, zračno, pomorsko ili digitalno; ističe da će takvi okviri pružiti mogućnosti za mjere odmazde EU-a koje odgovaraju ozbiljnosti i intenzitetu neprijateljskih aktivnosti poduzetih protiv EU-a; poziva države članice da u koordinaciji sa saveznicima iz NATO-a preispitaju pravila vojnog djelovanja za sve vrste prijetnji kako bi se osiguralo da su primjerena za odgovor na najinovativnije prijetnje; naglašava da EU mora pokazati odlučnost i ukazati na to da će se svaki pokušaj zemlje izvan EU-a da naruši njegov suverenitet biti odmah dočekan odmazdom;</w:t>
      </w:r>
    </w:p>
    <w:p w14:paraId="17A4F407" w14:textId="77777777" w:rsidR="00EA4C22" w:rsidRPr="002B3FC2" w:rsidRDefault="00EA4C22" w:rsidP="00EA4C22">
      <w:pPr>
        <w:pStyle w:val="NormalHanging12a"/>
        <w:rPr>
          <w:rFonts w:eastAsiaTheme="minorEastAsia"/>
        </w:rPr>
      </w:pPr>
      <w:r w:rsidRPr="002B3FC2">
        <w:t>7.</w:t>
      </w:r>
      <w:r w:rsidRPr="002B3FC2">
        <w:tab/>
        <w:t>naglašava da niz sabotaža i hibridnih aktivnosti koje je Rusija poduzela protiv EU-a predstavlja terorizam pod pokroviteljstvom države, čak i ako te aktivnosti nisu na razini oružanog napada; stoga naglašava potrebu za primjenom dostupnih pravnih okvira za borbu protiv terorizma na neprijateljske aktivnosti Rusije kojima se narušava teritorijalni suverenitet država članica EU-a, potkopava integritet njihovih institucija i izravno ugrožava sigurnost civilnog stanovništva; poziva Komisiju da pokrene postupak kojim bi se Rusija klasificirala kao visokorizična treća zemlja kad je riječ o pranju novca i financiranju terorizma u skladu s Uredbom (EU) 2016/1675</w:t>
      </w:r>
      <w:r w:rsidRPr="002B3FC2">
        <w:rPr>
          <w:rStyle w:val="FootnoteReference"/>
        </w:rPr>
        <w:footnoteReference w:id="3"/>
      </w:r>
      <w:r w:rsidRPr="002B3FC2">
        <w:t xml:space="preserve"> kao jednu od mjera za ograničavanje kapaciteta Rusije za provođenje državnog terorizma;</w:t>
      </w:r>
    </w:p>
    <w:p w14:paraId="2E325F60" w14:textId="77777777" w:rsidR="00EA4C22" w:rsidRPr="002B3FC2" w:rsidRDefault="00EA4C22" w:rsidP="00EA4C22">
      <w:pPr>
        <w:pStyle w:val="NormalHanging12a"/>
      </w:pPr>
      <w:r w:rsidRPr="002B3FC2">
        <w:t>8.</w:t>
      </w:r>
      <w:r w:rsidRPr="002B3FC2">
        <w:tab/>
        <w:t xml:space="preserve">osuđuje Rusiju zbog namjernog ometanja i lažiranja signala globalnog navigacijskog satelitskog sustava (uključujući GPS) u regiji Baltičkog mora, crnomorskoj regiji i drugim područjima, što predstavlja ozbiljan sigurnosni rizik za civilno zrakoplovstvo i pomorski promet; podsjeća da je Vijeće Međunarodne organizacije civilnog zrakoplovstva zatražilo da Rusija ispuni svoje međunarodne obveze koje se temelje na Konvenciji o međunarodnom civilnom zrakoplovstvu i pobrine se za to da ometanje odmah prestane; poziva Vijeće i Komisiju da poduzmu odgovarajuće mjere kojima će </w:t>
      </w:r>
      <w:r w:rsidRPr="002B3FC2">
        <w:lastRenderedPageBreak/>
        <w:t>izvršiti dovoljan pritisak na Rusiju da bi se te zlonamjerne aktivnosti zaustavile, kao i da ojačaju stabilnost usluga satelitske navigacije i njihovu otpornost na uplitanje;</w:t>
      </w:r>
    </w:p>
    <w:p w14:paraId="5D81AD81" w14:textId="77777777" w:rsidR="00EA4C22" w:rsidRPr="002B3FC2" w:rsidRDefault="00EA4C22" w:rsidP="00EA4C22">
      <w:pPr>
        <w:pStyle w:val="NormalHanging12a"/>
      </w:pPr>
      <w:r w:rsidRPr="002B3FC2">
        <w:t>9.</w:t>
      </w:r>
      <w:r w:rsidRPr="002B3FC2">
        <w:tab/>
        <w:t>poziva na preispitivanje postupka planiranja kapaciteta EU-a; uvjeren je da bi proces glavnog cilja trebao obuhvaćati ne samo upravljanje krizama nego i kolektivnu obranu, uključujući puni spektar kapaciteta u okviru nacionalnih i međunarodnih ciljeva u pogledu kapaciteta; smatra da bi EU trebao razmotriti zahtjeve za raspodjelu kapaciteta za svoje države članice, odražavajući model NATO-a; smatra da bi se takav postupak mogao nastaviti u okviru europskog obrambenog semestra; ustraje u tome da je hitno potrebno prijeći na istinsku europsku obrambenu uniju, koja će nadopunjavati NATO, nadovezujući se na postojeće okvire kao što je onaj predviđen u Zajedničkoj bijeloj knjizi o europskoj obrambenoj spremnosti 2030.; naglašava da EU može djelotvorno odgovoriti na sve veće ruske prijetnje samo boljom integracijom, koordinacijom i udruživanjem resursa; ponavlja da je zaštita suvereniteta i teritorijalne cjelovitosti svih država članica temeljno načelo EU-a te naglašava potrebu za hitnim, čvrstim, ujedinjenim i razmjernim odgovorom kako bi se zaštitili građani i kritična infrastruktura;</w:t>
      </w:r>
    </w:p>
    <w:p w14:paraId="52EA2094" w14:textId="77777777" w:rsidR="00EA4C22" w:rsidRPr="002B3FC2" w:rsidRDefault="00EA4C22" w:rsidP="00EA4C22">
      <w:pPr>
        <w:pStyle w:val="NormalHanging12a"/>
      </w:pPr>
      <w:r w:rsidRPr="002B3FC2">
        <w:t>10.</w:t>
      </w:r>
      <w:r w:rsidRPr="002B3FC2">
        <w:tab/>
        <w:t>poziva na daljnje ostvarivanje napretka prema uspostavi europske strukture za zapovijedanje i kontrolu koja ne bi samo upravljala krizama u skladu sa zajedničkom sigurnosnom i obrambenom politikom (ZSOP), nego bi bila i ekvivalent NATO-ova Vrhovnog zapovjedništva savezničkih snaga u Europi (SHAPE); napominje da bi, kako bi se izbjeglo udvostručavanje, takva struktura nadopunjavala SHAPE te bi osiguravala odgovarajuće resurse Vojnom stožeru EU-a (EUMS); naglašava važnost pojačane koordinacije, uključujući moguću uspostavu stalne međuinstitucijske jedinice za rusku krizu, zadužene za praćenje u stvarnom vremenu, brzu razmjenu informacija i brzo donošenje operativnih odluka; smatra da je nedavni upad u zračni prostor EU-a katalizator brzog i temeljitog napretka u područjima kao što su razmjena obavještajnih podataka, zajednička logistika te interoperabilnost sigurnosti i koordinirane nabave; poziva na sve tješnju suradnju između NATO-a i EU-a kako bi se ojačala europska obrana i odvraćanje; naglašava potrebu za snažnim i precizno definiranim europskim stupom u okviru NATO-a, koji će moći braniti svoj suverenitet, suzbijati ruske prijetnje i djelovati neovisno o NATO-u te komplementarno njemu;</w:t>
      </w:r>
    </w:p>
    <w:p w14:paraId="7AF0AB1F" w14:textId="77777777" w:rsidR="00EA4C22" w:rsidRDefault="00EA4C22" w:rsidP="00EA4C22">
      <w:pPr>
        <w:pStyle w:val="NormalHanging12a"/>
      </w:pPr>
      <w:r w:rsidRPr="002B3FC2">
        <w:t>11.</w:t>
      </w:r>
      <w:r w:rsidRPr="002B3FC2">
        <w:tab/>
        <w:t xml:space="preserve">poziva na pojačanu koordinaciju, jedinstvo i solidarnost između država članica, institucija EU-a i struktura NATO-a u svrhu praćenja, presretanja i neutraliziranja neprijateljskih bespilotnih letjelica, među ostalim uz pomoć zajedničkog osposobljavanja, simulacija i vježbi te razmjene operativnih obavještajnih podataka; ističe da je potrebno uspostaviti zajedničke centre za zapovijedanje i kontrolu za sve buduće inicijative u području bespilotnih letjelica ili borbe protiv bespilotnih letjelica; ističe da je potrebno u potpunosti integrirati sve kapacitete u području bespilotnih letjelica u konvencionalne snage protuzračne obrane i osigurati da su njihovi sustavi </w:t>
      </w:r>
      <w:proofErr w:type="spellStart"/>
      <w:r w:rsidRPr="002B3FC2">
        <w:t>interoperabilni</w:t>
      </w:r>
      <w:proofErr w:type="spellEnd"/>
      <w:r w:rsidRPr="002B3FC2">
        <w:t xml:space="preserve"> s NATO-ovom strukturom integrirane protuzračne i proturaketne obrane; preporučuje uspostavu strukturiranih mehanizama za kontinuiranu razmjenu znanja, među ostalim i u kontekstu NATO-a, posebno u područjima digitalne obrane i kibernetičkih sposobnosti, koja se brzo razvijaju, kako bi se racionalizirale zajedničke vježbe i interoperabilnost diljem država članica;</w:t>
      </w:r>
    </w:p>
    <w:p w14:paraId="6D81C5C9" w14:textId="3E8765B1" w:rsidR="0082079B" w:rsidRPr="002B3FC2" w:rsidRDefault="001478E9" w:rsidP="00EA4C22">
      <w:pPr>
        <w:pStyle w:val="NormalHanging12a"/>
      </w:pPr>
      <w:r>
        <w:t>12</w:t>
      </w:r>
      <w:r w:rsidR="0082079B" w:rsidRPr="0082079B">
        <w:t>.</w:t>
      </w:r>
      <w:r w:rsidR="0082079B" w:rsidRPr="0082079B">
        <w:tab/>
        <w:t xml:space="preserve">poziva EU i njegove države članice da nadležnim tijelima osiguraju sredstva za borbu protiv bespilotnih letjelica na kritičnim infrastrukturnim lokacijama kao što su zračne luke i elektrane; napominje da takva sredstva moraju biti prikladna za civilni kontekst i slijediti model slojevite obrane s više sustava koji mogu kinetički i elektronički oboriti </w:t>
      </w:r>
      <w:r w:rsidR="0082079B" w:rsidRPr="0082079B">
        <w:lastRenderedPageBreak/>
        <w:t>bespilotne letjelice;</w:t>
      </w:r>
    </w:p>
    <w:p w14:paraId="7DE1D0E6" w14:textId="5E6675E4" w:rsidR="00EA4C22" w:rsidRPr="002B3FC2" w:rsidRDefault="001478E9" w:rsidP="00EA4C22">
      <w:pPr>
        <w:pStyle w:val="NormalHanging12a"/>
      </w:pPr>
      <w:r>
        <w:t>13</w:t>
      </w:r>
      <w:r w:rsidR="00EA4C22" w:rsidRPr="002B3FC2">
        <w:t>.</w:t>
      </w:r>
      <w:r w:rsidR="00EA4C22" w:rsidRPr="002B3FC2">
        <w:tab/>
        <w:t xml:space="preserve">ističe potrebu za podupiranjem država članica duž istočnog krila NATO-a i crnomorske regije u razvoju kapaciteta za prikupljanje obavještajnih podataka te otkrivanje i praćenje prijetnji koje potječu izvan vanjskih granica EU-a, kao što su hibridne operacije, napadi na kritičnu infrastrukturu, </w:t>
      </w:r>
      <w:proofErr w:type="spellStart"/>
      <w:r w:rsidR="00EA4C22" w:rsidRPr="002B3FC2">
        <w:t>instrumentalizirane</w:t>
      </w:r>
      <w:proofErr w:type="spellEnd"/>
      <w:r w:rsidR="00EA4C22" w:rsidRPr="002B3FC2">
        <w:t xml:space="preserve"> migracije ili upadi bespilotnim letjelicama, kako bi se povećala informiranost EU-a o stanju i sposobnost učinkovitog predviđanja prijetnji; ističe da bi takvi kapaciteti trebali uključivati sustave za nadzor bespilotnih letjelica i druge tehnologije koje omogućuju praćenje iz zraka u pograničnim regijama EU-a, kao i presretanje neposrednih prijetnji iz zraka; naglašava da je djelotvoran, slojevit sustav izviđanja i obrane ključan za zaštitu građana i kritične infrastrukture te za uspješno odvraćanje;</w:t>
      </w:r>
    </w:p>
    <w:p w14:paraId="5B180582" w14:textId="1BC5A25E" w:rsidR="00EA4C22" w:rsidRPr="002B3FC2" w:rsidRDefault="001478E9" w:rsidP="00EA4C22">
      <w:pPr>
        <w:pStyle w:val="NormalHanging12a"/>
      </w:pPr>
      <w:r>
        <w:t>14</w:t>
      </w:r>
      <w:r w:rsidR="00EA4C22" w:rsidRPr="002B3FC2">
        <w:t>.</w:t>
      </w:r>
      <w:r w:rsidR="00EA4C22" w:rsidRPr="002B3FC2">
        <w:tab/>
        <w:t>poziva države članice i Europsku obrambenu agenciju (EDA) da hitno konsolidiraju projekt stalne strukturirane suradnje (PESCO) pod nazivom Integrirani višeslojni protuzračni i proturaketni obrambeni sustav (IMLAMD), posebno protiv prijetnje koju predstavljaju jeftine bespilotne letjelice i u skladu s strukturom integrirane protuzračne i proturaketne obrane NATO-a, kako bi se otkrile i presrele sve neposredne prijetnje iz zraka koje dolaze izvan EU-a, posebno duž istočnog krila; ustraje u tome da su europska ulaganja u oružane sustave s dalekometnom preciznošću i u poboljšanje zračne obrane ključna za osiguravanje odvraćanja i smanjenje rizika od toga da Rusija iskoristi slabe točke; naglašava da bi se povećane stope financiranja Europskog fonda za obranu (EFO) trebale primjenjivati na projekte povezane s tim kapacitetima, kao što je već slučaj s projektima PESCO-a;</w:t>
      </w:r>
    </w:p>
    <w:p w14:paraId="4398331A" w14:textId="07F2B144" w:rsidR="00EA4C22" w:rsidRPr="002B3FC2" w:rsidRDefault="001478E9" w:rsidP="00EA4C22">
      <w:pPr>
        <w:pStyle w:val="NormalHanging12a"/>
      </w:pPr>
      <w:r>
        <w:t>15</w:t>
      </w:r>
      <w:r w:rsidR="00EA4C22" w:rsidRPr="002B3FC2">
        <w:t>.</w:t>
      </w:r>
      <w:r w:rsidR="00EA4C22" w:rsidRPr="002B3FC2">
        <w:tab/>
        <w:t>poziva Komisiju da s Grupom Europske investicijske banke i Europskom obrambenom agencijom blisko surađuje na osiguravanju sveobuhvatnog pristupa kojim se kombiniraju razvoj sposobnosti i financiranje i da prilagodi svoje instrumente u području obrane i obrambene industrijske politike; poziva države članice da znatno povećaju osoblje i proračun EDA-e kako bi se olakšao odgovarajući i pravodoban razvoj sposobnosti i zajednička nabava te poziva EDA-u da uspostavi namjenski i fleksibilan proračun za bespilotne letjelice kojim bi se obuhvatio cjelokupan životni ciklus tih kapaciteta; naglašava hitnu potrebu za velikim ulaganjem u bespilotne letjelice i u opremu za obranu od bespilotnih letjelica; pozdravlja upotrebu instrumenta SAFE i Instrumenta vlasničkog kapitala u području obrane za povećanje proizvodnje, osiguravanje lanaca opskrbe i potporu sudjelovanju malih i srednjih poduzeća u sektoru bespilotnih sustava;</w:t>
      </w:r>
    </w:p>
    <w:p w14:paraId="40ED5558" w14:textId="04872B43" w:rsidR="00EA4C22" w:rsidRPr="002B3FC2" w:rsidRDefault="001478E9" w:rsidP="00EA4C22">
      <w:pPr>
        <w:pStyle w:val="NormalHanging12a"/>
      </w:pPr>
      <w:r>
        <w:t>16</w:t>
      </w:r>
      <w:r w:rsidR="00EA4C22" w:rsidRPr="002B3FC2">
        <w:t>.</w:t>
      </w:r>
      <w:r w:rsidR="00EA4C22" w:rsidRPr="002B3FC2">
        <w:tab/>
        <w:t xml:space="preserve">pozdravlja inicijativu EU-a za uspostavu zida protiv bespilotnih letjelica, koju su najavili predsjednica Komisije von </w:t>
      </w:r>
      <w:proofErr w:type="spellStart"/>
      <w:r w:rsidR="00EA4C22" w:rsidRPr="002B3FC2">
        <w:t>der</w:t>
      </w:r>
      <w:proofErr w:type="spellEnd"/>
      <w:r w:rsidR="00EA4C22" w:rsidRPr="002B3FC2">
        <w:t xml:space="preserve"> </w:t>
      </w:r>
      <w:proofErr w:type="spellStart"/>
      <w:r w:rsidR="00EA4C22" w:rsidRPr="002B3FC2">
        <w:t>Leyen</w:t>
      </w:r>
      <w:proofErr w:type="spellEnd"/>
      <w:r w:rsidR="00EA4C22" w:rsidRPr="002B3FC2">
        <w:t xml:space="preserve">, povjerenik </w:t>
      </w:r>
      <w:proofErr w:type="spellStart"/>
      <w:r w:rsidR="00EA4C22" w:rsidRPr="002B3FC2">
        <w:t>Andrius</w:t>
      </w:r>
      <w:proofErr w:type="spellEnd"/>
      <w:r w:rsidR="00EA4C22" w:rsidRPr="002B3FC2">
        <w:t xml:space="preserve"> </w:t>
      </w:r>
      <w:proofErr w:type="spellStart"/>
      <w:r w:rsidR="00EA4C22" w:rsidRPr="002B3FC2">
        <w:t>Kubilius</w:t>
      </w:r>
      <w:proofErr w:type="spellEnd"/>
      <w:r w:rsidR="00EA4C22" w:rsidRPr="002B3FC2">
        <w:t xml:space="preserve"> i potpredsjednica Komisije / Visoka predstavnica Unije za vanjske poslove i sigurnosnu politiku Kaja </w:t>
      </w:r>
      <w:proofErr w:type="spellStart"/>
      <w:r w:rsidR="00EA4C22" w:rsidRPr="002B3FC2">
        <w:t>Kallas</w:t>
      </w:r>
      <w:proofErr w:type="spellEnd"/>
      <w:r w:rsidR="00EA4C22" w:rsidRPr="002B3FC2">
        <w:t xml:space="preserve">, i inicijativu promatračke misije na istočnim granicama, napominjući da ambiciozan rok koji je povjerenik </w:t>
      </w:r>
      <w:proofErr w:type="spellStart"/>
      <w:r w:rsidR="00EA4C22" w:rsidRPr="002B3FC2">
        <w:t>Kubilius</w:t>
      </w:r>
      <w:proofErr w:type="spellEnd"/>
      <w:r w:rsidR="00EA4C22" w:rsidRPr="002B3FC2">
        <w:t xml:space="preserve"> naveo za njihovu uspostavu zahtijeva brzu provedbu u sklopu šireg obrambenog štita duž istočnog krila EU-a i NATO-a kao odgovor na opetovane ruske povrede zračnog prostora</w:t>
      </w:r>
      <w:r w:rsidR="00183B7A">
        <w:t xml:space="preserve"> </w:t>
      </w:r>
      <w:r w:rsidR="00183B7A" w:rsidRPr="00183B7A">
        <w:t>te istovremeno ističe da je potrebno osigurati sveobuhvatnu pokrivenost svih država članica koje se suočavaju s izravnim sigurnosnim izazovima duž južnoga krila</w:t>
      </w:r>
      <w:r w:rsidR="00EA4C22" w:rsidRPr="002B3FC2">
        <w:t xml:space="preserve">; poziva Komisiju, potpredsjednicu Komisije / Visoku predstavnicu Unije za vanjske poslove i sigurnosnu politiku i države članice da u bliskoj suradnji s NATO-om ubrzaju razvoj konkretnog i operativnog plana za brzu provedbu tih inicijativa; poziva Komisiju da na sastanku Europskog vijeća 23. i 24. listopada 2025. predstavi dosljedan plan; svjestan je izazova koji predstavlja visoki trošak presretanja bespilotnih letjelica i poziva na zajedničke </w:t>
      </w:r>
      <w:r w:rsidR="00EA4C22" w:rsidRPr="002B3FC2">
        <w:lastRenderedPageBreak/>
        <w:t>programe za promicanje razvoja troškovno učinkovitih kapaciteta obrane od bespilotnih letjelica;</w:t>
      </w:r>
    </w:p>
    <w:p w14:paraId="6BEFF632" w14:textId="50936D99" w:rsidR="00EA4C22" w:rsidRPr="002B3FC2" w:rsidRDefault="001478E9" w:rsidP="00EA4C22">
      <w:pPr>
        <w:pStyle w:val="NormalHanging12a"/>
      </w:pPr>
      <w:r>
        <w:t>17</w:t>
      </w:r>
      <w:r w:rsidR="00EA4C22" w:rsidRPr="002B3FC2">
        <w:t>.</w:t>
      </w:r>
      <w:r w:rsidR="00EA4C22" w:rsidRPr="002B3FC2">
        <w:tab/>
        <w:t>poziva Komisiju da bez odlaganja obrađuje sve zahtjeve država članica u pogledu dobrovoljne prilagodbe njihovih nacionalnih planova za oporavak i otpornost kako bi se ispunili zahtjevi za financiranje razvoja kapaciteta bespilotnih letjelica;</w:t>
      </w:r>
    </w:p>
    <w:p w14:paraId="6FC4C536" w14:textId="42E072A1" w:rsidR="00EA4C22" w:rsidRPr="002B3FC2" w:rsidRDefault="001478E9" w:rsidP="00EA4C22">
      <w:pPr>
        <w:pStyle w:val="NormalHanging12a"/>
      </w:pPr>
      <w:r>
        <w:t>18</w:t>
      </w:r>
      <w:r w:rsidR="00EA4C22" w:rsidRPr="002B3FC2">
        <w:t>.</w:t>
      </w:r>
      <w:r w:rsidR="00EA4C22" w:rsidRPr="002B3FC2">
        <w:tab/>
        <w:t>naglašava hitnu potrebu za pojačanim pomorskim nadzorom i smatra da nova operativna dimenzija hibridnog ratovanja zahtijeva integraciju pomorske sigurnosti i strategija za borbu protiv bespilotnih letjelica, među ostalim s pomoću poboljšanih kapaciteta za podvodni nadzor; pozdravlja pokretanje operacija pod vodstvom NATO-a, kao što je operacija Baltičke straže, kako bi se zaštitila kritična podmorska infrastruktura i poboljšala informiranost o stanju u pomorstvu; ističe važnost strategije EU-a za Crno more i centra za pomorsku sigurnost čiji je cilj poboljšati pomorsku sigurnost i zaštitu;</w:t>
      </w:r>
    </w:p>
    <w:p w14:paraId="6ACE9BEE" w14:textId="379A617B" w:rsidR="00EA4C22" w:rsidRPr="002B3FC2" w:rsidRDefault="001478E9" w:rsidP="00EA4C22">
      <w:pPr>
        <w:pStyle w:val="NormalHanging12a"/>
      </w:pPr>
      <w:r>
        <w:t>19</w:t>
      </w:r>
      <w:r w:rsidR="00EA4C22" w:rsidRPr="002B3FC2">
        <w:t>.</w:t>
      </w:r>
      <w:r w:rsidR="00EA4C22" w:rsidRPr="002B3FC2">
        <w:tab/>
        <w:t>poziva Komisiju da u potpunosti surađuje s predstavnicima proizvođača bespilotnih letjelica u državama članicama, među ostalim s proizvođačima bespilotnih letjelica i satelita s dvojnom namjenom;</w:t>
      </w:r>
    </w:p>
    <w:p w14:paraId="1340E848" w14:textId="389A811A" w:rsidR="00EA4C22" w:rsidRPr="002B3FC2" w:rsidRDefault="001478E9" w:rsidP="00EA4C22">
      <w:pPr>
        <w:pStyle w:val="NormalHanging12a"/>
      </w:pPr>
      <w:r>
        <w:t>20</w:t>
      </w:r>
      <w:r w:rsidR="00EA4C22" w:rsidRPr="002B3FC2">
        <w:t>.</w:t>
      </w:r>
      <w:r w:rsidR="00EA4C22" w:rsidRPr="002B3FC2">
        <w:tab/>
        <w:t>poziva na jačanje i daljnju diversifikaciju opskrbe sirovinama s obzirom na širenje proizvodnje bespilotnih letjelica te u tom kontekstu ističe važnost Akta EU-a o kritičnim sirovinama</w:t>
      </w:r>
      <w:r w:rsidR="00EA4C22" w:rsidRPr="002B3FC2">
        <w:rPr>
          <w:rStyle w:val="FootnoteReference"/>
        </w:rPr>
        <w:footnoteReference w:id="4"/>
      </w:r>
      <w:r w:rsidR="00EA4C22" w:rsidRPr="002B3FC2">
        <w:t>, koji služi kao polazište za sveobuhvatno, kohezivno i strateško djelovanje; naglašava stratešku važnost partnerstava EU-a s Ukrajinom, Kanadom i Latinskom Amerikom;</w:t>
      </w:r>
    </w:p>
    <w:p w14:paraId="3C1BDE82" w14:textId="1A579EFC" w:rsidR="00EA4C22" w:rsidRPr="002B3FC2" w:rsidRDefault="001478E9" w:rsidP="00EA4C22">
      <w:pPr>
        <w:pStyle w:val="NormalHanging12a"/>
      </w:pPr>
      <w:r>
        <w:t>21</w:t>
      </w:r>
      <w:r w:rsidR="00EA4C22" w:rsidRPr="002B3FC2">
        <w:t>.</w:t>
      </w:r>
      <w:r w:rsidR="00EA4C22" w:rsidRPr="002B3FC2">
        <w:tab/>
        <w:t>naglašava da tehnološki razvoj bespilotnih letjelica zahtijeva fleksibilnost i brzu nadogradnju, što treba olakšati budućim inicijativama EU-a; napominje da će EU vjerojatno dati prednost sofisticiranim, skupim i najsuvremenijim rješenjima koja često dolaze s velikim kašnjenjima; poziva na kontinuirano ulaganje u inovacije i tehnologiju u području obrane kako bi se pružila potpora EDTIB-u i uklonili nedostaci u ulaganjima i istraživanju u području obrambene tehnologije, napominjući da bi se planiranje, istraživanje, razvoj, nabava i upravljanje kapacitetima trebali provoditi zajednički i s europskog gledišta; ističe stratešku važnost proizvodnje povezane s obranom i potrebu da se osigura brzo povećanje proizvodnje u kriznim vremenima; poziva države članice da uspostave regulatorno okruženje i postupke javne nabave kojima se postojeći europski ekosustav koordinira i integrira sa strateškim partnerima;</w:t>
      </w:r>
    </w:p>
    <w:p w14:paraId="1433FE97" w14:textId="2E7AE989" w:rsidR="00EA4C22" w:rsidRPr="002B3FC2" w:rsidRDefault="001478E9" w:rsidP="00EA4C22">
      <w:pPr>
        <w:pStyle w:val="NormalHanging12a"/>
      </w:pPr>
      <w:r>
        <w:t>22</w:t>
      </w:r>
      <w:r w:rsidR="00EA4C22" w:rsidRPr="002B3FC2">
        <w:t>.</w:t>
      </w:r>
      <w:r w:rsidR="00EA4C22" w:rsidRPr="002B3FC2">
        <w:tab/>
        <w:t xml:space="preserve">napominje da kapaciteti za bespilotne letjelice zahtijevaju znatno ubrzanje kapaciteta za vojnu mobilnost, kao i brzo prekogranično kretanje opreme i osoblja, s posebnim naglaskom na graničnim kontrolama, carinskim postupcima i procesima carinjenja; naglašava da vjerodostojno odvraćanje podrazumijeva pojačanu, istinsku i učinkovitu vojnu mobilnost na svim koridorima EU-a i zaštitu granica; poziva institucije EU-a da odobre predloženo deseterostruko povećanje sredstava za vojnu mobilnost u sljedećem VFO-u i da masovno ulažu u infrastrukturu dvojne namjene, posebno u najizloženijim regijama; u tom pogledu napominje kontinuiranu potrebu za uspostavom vojnog </w:t>
      </w:r>
      <w:proofErr w:type="spellStart"/>
      <w:r w:rsidR="00EA4C22" w:rsidRPr="002B3FC2">
        <w:lastRenderedPageBreak/>
        <w:t>schengenskog</w:t>
      </w:r>
      <w:proofErr w:type="spellEnd"/>
      <w:r w:rsidR="00EA4C22" w:rsidRPr="002B3FC2">
        <w:t xml:space="preserve"> područja kako bi se olakšalo učinkovito kretanje obrambenih resursa diljem EU-a; prima na znanje prijedlog Komisije o skupnom zakonodavnom paketu o vojnoj mobilnosti kao korak prema ispunjavanju tih zahtjeva;</w:t>
      </w:r>
    </w:p>
    <w:p w14:paraId="29BAA6C5" w14:textId="3C5E0B41" w:rsidR="00EA4C22" w:rsidRPr="002B3FC2" w:rsidRDefault="001478E9" w:rsidP="00EA4C22">
      <w:pPr>
        <w:pStyle w:val="NormalHanging12a"/>
      </w:pPr>
      <w:r>
        <w:t>23</w:t>
      </w:r>
      <w:r w:rsidR="00EA4C22" w:rsidRPr="002B3FC2">
        <w:t>.</w:t>
      </w:r>
      <w:r w:rsidR="00EA4C22" w:rsidRPr="002B3FC2">
        <w:tab/>
        <w:t>naglašava da je potrebno imati ciljeve za razvoj bespilotnih letjelica i za borbu protiv bespilotnih letjelica kako bi se osiguralo da su kapaciteti za bespilotne letjelice sveobuhvatni; poziva Komisiju da predloži izuzeća od zakonodavstva EU-a o okolišu za postrojenja za proizvodnju bespilotnih letjelica;</w:t>
      </w:r>
    </w:p>
    <w:p w14:paraId="789CAB14" w14:textId="7EE29852" w:rsidR="00EA4C22" w:rsidRPr="002B3FC2" w:rsidRDefault="001478E9" w:rsidP="00EA4C22">
      <w:pPr>
        <w:pStyle w:val="NormalHanging12a"/>
      </w:pPr>
      <w:r>
        <w:t>24</w:t>
      </w:r>
      <w:r w:rsidR="00EA4C22" w:rsidRPr="002B3FC2">
        <w:t>.</w:t>
      </w:r>
      <w:r w:rsidR="00EA4C22" w:rsidRPr="002B3FC2">
        <w:tab/>
        <w:t>poziva države članice i Komisiju da se u potpunosti uključe u izmjenu relevantnih regulatornih okvira EU-a i nacionalnih regulatornih okvira kako bi se olakšale buduće sposobnosti u području bespilotnih letjelica i borbe protiv bespilotnih letjelica, naročito s obzirom na sudjelovanje oružanih snaga; pozdravlja sve konkretne projekte za popunjavanje nedostataka u sposobnostima u području ratovanja koje uključuje bespilotne letjelice i borbu protiv njih, te za stvaranje višeslojne i duboke zone tehnološki naprednih sustava; poziva države članice da za uspostavu takvih projekata razmotre upotrebu okvira za europske obrambene projekte od zajedničkog interesa;</w:t>
      </w:r>
    </w:p>
    <w:p w14:paraId="2D5C2477" w14:textId="55FA8E94" w:rsidR="00EA4C22" w:rsidRDefault="001478E9" w:rsidP="00EA4C22">
      <w:pPr>
        <w:pStyle w:val="NormalHanging12a"/>
      </w:pPr>
      <w:r>
        <w:t>25</w:t>
      </w:r>
      <w:r w:rsidR="00EA4C22" w:rsidRPr="002B3FC2">
        <w:t>.</w:t>
      </w:r>
      <w:r w:rsidR="00EA4C22" w:rsidRPr="002B3FC2">
        <w:tab/>
      </w:r>
      <w:r w:rsidR="0082079B" w:rsidRPr="0082079B">
        <w:t xml:space="preserve">ističe da su jasne ruske provokacije aktivna strategija hibridnog ratovanja kako bi se posijao strah i nepovjerenje te da su namijenjene testiranju i destabilizaciji društava država članica EU-a i članica NATO-a; stoga naglašava važnost društvene otpornosti i pripravnosti, kako je istaknuto u preporukama iz izvješća </w:t>
      </w:r>
      <w:proofErr w:type="spellStart"/>
      <w:r w:rsidR="0082079B" w:rsidRPr="0082079B">
        <w:t>Niinistöa</w:t>
      </w:r>
      <w:proofErr w:type="spellEnd"/>
      <w:r w:rsidR="0082079B" w:rsidRPr="0082079B">
        <w:t xml:space="preserve"> o jačanju europske civilne i vojne pripravnosti i spremnosti; </w:t>
      </w:r>
      <w:r w:rsidR="00EA4C22" w:rsidRPr="002B3FC2">
        <w:t>poziva Komisiju i države članice da osiguraju brzu provedbu europske strategije unutarnje sigurnosti (</w:t>
      </w:r>
      <w:proofErr w:type="spellStart"/>
      <w:r w:rsidR="00EA4C22" w:rsidRPr="002B3FC2">
        <w:t>ProtectEU</w:t>
      </w:r>
      <w:proofErr w:type="spellEnd"/>
      <w:r w:rsidR="00EA4C22" w:rsidRPr="002B3FC2">
        <w:t>) i strategije pripravnosti kako bi se zajamčila sveobuhvatna spremnost i zaštita od prijetnji koje predstavljaju upadi Rusije u europski zračni prostor i druge prijetnje; u tom pogledu ističe da EU mora osigurati dostatna financijska sredstva u okviru sadašnjeg i budućeg VFO-a; preporučuje razvoj sveobuhvatnih nacionalnih strategija civilne obrane protiv zračnih napada i prijetnji projektilima, uključujući bespilotne letjelice, kako bi se osigurala pripravnost na nacionalnoj, regionalnoj i općinskoj razini te na razini zajednice i kućanstva, te da u tim strategijama naglasak bude na sustavima ranog upozoravanja za lokalno stanovništvo, jasnim uputa o načinu odgovora i zaštićenim prostorima (skloništima);</w:t>
      </w:r>
    </w:p>
    <w:p w14:paraId="1398D268" w14:textId="46AEB7F9" w:rsidR="0082079B" w:rsidRPr="002B3FC2" w:rsidRDefault="001478E9" w:rsidP="00EA4C22">
      <w:pPr>
        <w:pStyle w:val="NormalHanging12a"/>
      </w:pPr>
      <w:r>
        <w:t>26</w:t>
      </w:r>
      <w:r w:rsidR="0082079B" w:rsidRPr="0082079B">
        <w:t>.</w:t>
      </w:r>
      <w:r w:rsidR="0082079B" w:rsidRPr="0082079B">
        <w:tab/>
        <w:t>podsjeća da u skladu s Uredbom (EU) br. 833/2014</w:t>
      </w:r>
      <w:r w:rsidR="0082079B">
        <w:rPr>
          <w:rStyle w:val="FootnoteReference"/>
        </w:rPr>
        <w:footnoteReference w:id="5"/>
      </w:r>
      <w:r w:rsidR="0082079B" w:rsidRPr="0082079B">
        <w:t xml:space="preserve"> zrakoplovi registrirani u Rusiji ili kojima upravljaju ruski operateri, uz ograničene iznimke, ne smiju letjeti u Europsku uniju; podsjeća da, iako nakon rušenja zrakoplova </w:t>
      </w:r>
      <w:proofErr w:type="spellStart"/>
      <w:r w:rsidR="0082079B" w:rsidRPr="0082079B">
        <w:t>Malaysia</w:t>
      </w:r>
      <w:proofErr w:type="spellEnd"/>
      <w:r w:rsidR="0082079B" w:rsidRPr="0082079B">
        <w:t xml:space="preserve"> Airlinesa na letu 17 nijedan zračni prijevoznik iz EU-a trenutačno ne leti u zračni prostor ili iz zračnog prostora Ruske Federacije ili iznad njega, određeni broj prijevoznika iz zemalja izvan EU-a to i dalje čini unatoč rizicima povezanima s ratom te unatoč tome što Rusiji plaćaju naknade za prelijetanje; naglašava da se procjenjuje da se u ime tih naknada za prelijetanje Rusiji godišnje isplati 18 milijuna EUR samo od letova kojima upravljaju kineski prijevoznici iz zračne luke Schiphol; podsjeća da je zračni prijevoz između EU-a i Kine trenutačno uređen bilateralnim sporazumima između država članica i Kine; poziva Komisiju i države članice da, u svjetlu sveobuhvatne ratne agresije na Ukrajinu, preispitaju te bilateralne sporazume i predlože mjere kojima bi se spriječilo da Rusija profitira od naknada za prelijetanje;</w:t>
      </w:r>
    </w:p>
    <w:p w14:paraId="42EFA8FF" w14:textId="083CA94C" w:rsidR="00EA4C22" w:rsidRPr="002B3FC2" w:rsidRDefault="001478E9" w:rsidP="00EA4C22">
      <w:pPr>
        <w:pStyle w:val="NormalHanging12a"/>
      </w:pPr>
      <w:r>
        <w:lastRenderedPageBreak/>
        <w:t>27</w:t>
      </w:r>
      <w:r w:rsidR="00EA4C22" w:rsidRPr="002B3FC2">
        <w:t>.</w:t>
      </w:r>
      <w:r w:rsidR="00EA4C22" w:rsidRPr="002B3FC2">
        <w:tab/>
        <w:t>naglašava da je potrebna jača civilno-vojna koordinacija zračnog prostora; u tom kontekstu naglašava potrebu za cjelovitim pristupom koji je usmjeren i na bolje opremanje policijskih snaga i civilnih tijela sredstvima za otkrivanje bespilotnih letjelica i obranu od njih; podržava širenje zajedničkih simulacijskih vježbi i vježbi presretanja koje uključuju civilne, policijske i vojne organizacije kako bi se poboljšala pripravnost na višeslojne prijetnje; ističe da bi se takve vježbe trebale redovno provoditi kako bi se osigurala trajna spremnost i interoperabilnost;</w:t>
      </w:r>
    </w:p>
    <w:p w14:paraId="7F330836" w14:textId="1A3780CF" w:rsidR="00EA4C22" w:rsidRPr="002B3FC2" w:rsidRDefault="001478E9" w:rsidP="00EA4C22">
      <w:pPr>
        <w:pStyle w:val="NormalHanging12a"/>
      </w:pPr>
      <w:r>
        <w:t>28</w:t>
      </w:r>
      <w:r w:rsidR="00EA4C22" w:rsidRPr="002B3FC2">
        <w:t>.</w:t>
      </w:r>
      <w:r w:rsidR="00EA4C22" w:rsidRPr="002B3FC2">
        <w:tab/>
        <w:t xml:space="preserve">poziva Komisiju i države članice da zajednički razviju sigurne, pouzdane i otporne sustave komunikacije i razmjene informacija kojima će se koristiti tijela kaznenog progona, sigurnosne agencije i civilne institucije za sigurnosna pitanja, posebno u kriznim vremenima; ponovno ističe važnost poboljšanja </w:t>
      </w:r>
      <w:proofErr w:type="spellStart"/>
      <w:r w:rsidR="00EA4C22" w:rsidRPr="002B3FC2">
        <w:t>kibersigurnosti</w:t>
      </w:r>
      <w:proofErr w:type="spellEnd"/>
      <w:r w:rsidR="00EA4C22" w:rsidRPr="002B3FC2">
        <w:t xml:space="preserve"> i strateške komunikacije o rizicima i mjerama zaštite za jačanje kolektivne otpornosti;</w:t>
      </w:r>
    </w:p>
    <w:p w14:paraId="63CF0E0E" w14:textId="19E276E8" w:rsidR="00EA4C22" w:rsidRPr="002B3FC2" w:rsidRDefault="001478E9" w:rsidP="00EA4C22">
      <w:pPr>
        <w:pStyle w:val="NormalHanging12a"/>
      </w:pPr>
      <w:r>
        <w:t>29</w:t>
      </w:r>
      <w:r w:rsidR="00EA4C22" w:rsidRPr="002B3FC2">
        <w:t>.</w:t>
      </w:r>
      <w:r w:rsidR="00EA4C22" w:rsidRPr="002B3FC2">
        <w:tab/>
        <w:t>poziva države članice da aktiviraju članak 42. stavak 7. UEU-a ako se takva teška agresivna djelovanja pretvore u oružani napad ili doprinose pripremi neposrednog napada; potiče EU i njegove države članice da utvrde operativne postupke i mehanizme za slučaj da država članica aktivira članak 42. stavak 7. UEU-a;</w:t>
      </w:r>
    </w:p>
    <w:p w14:paraId="2A4C6794" w14:textId="1FF8747B" w:rsidR="005C77B2" w:rsidRPr="002B3FC2" w:rsidRDefault="001478E9" w:rsidP="00EA4C22">
      <w:pPr>
        <w:pStyle w:val="NormalHanging12a"/>
      </w:pPr>
      <w:r>
        <w:t>30</w:t>
      </w:r>
      <w:r w:rsidR="00EA4C22" w:rsidRPr="002B3FC2">
        <w:t>.</w:t>
      </w:r>
      <w:r w:rsidR="00EA4C22" w:rsidRPr="002B3FC2">
        <w:tab/>
        <w:t xml:space="preserve">poziva na jačanje istočne granice EU-a, s obzirom na stalni pritisak Rusije i </w:t>
      </w:r>
      <w:proofErr w:type="spellStart"/>
      <w:r w:rsidR="00EA4C22" w:rsidRPr="002B3FC2">
        <w:t>Bjelarusa</w:t>
      </w:r>
      <w:proofErr w:type="spellEnd"/>
      <w:r w:rsidR="00EA4C22" w:rsidRPr="002B3FC2">
        <w:t xml:space="preserve"> na vanjske granice EU-a </w:t>
      </w:r>
      <w:proofErr w:type="spellStart"/>
      <w:r w:rsidR="00EA4C22" w:rsidRPr="002B3FC2">
        <w:t>instrumentalizacijom</w:t>
      </w:r>
      <w:proofErr w:type="spellEnd"/>
      <w:r w:rsidR="00EA4C22" w:rsidRPr="002B3FC2">
        <w:t xml:space="preserve"> migracija, kako bi se državama članicama pružila brza i fleksibilna potpora rješavanjem svih tehnoloških i operativnih nedostataka u trenutku kada do njih dođe, bilo u zraku, na kopnu ili u moru;</w:t>
      </w:r>
      <w:r w:rsidR="005C77B2">
        <w:t xml:space="preserve"> </w:t>
      </w:r>
    </w:p>
    <w:p w14:paraId="562CE9DA" w14:textId="19995021" w:rsidR="00EA4C22" w:rsidRPr="002B3FC2" w:rsidRDefault="001478E9" w:rsidP="00EA4C22">
      <w:pPr>
        <w:pStyle w:val="NormalHanging12a"/>
      </w:pPr>
      <w:r>
        <w:t>31</w:t>
      </w:r>
      <w:r w:rsidR="00EA4C22" w:rsidRPr="002B3FC2">
        <w:t>.</w:t>
      </w:r>
      <w:r w:rsidR="00EA4C22" w:rsidRPr="002B3FC2">
        <w:tab/>
        <w:t>poziva na znatno jačanje obrambene suradnje s Ukrajinom, posebno u pogledu tehnologije bespilotnih letjelica i protumjera, što uključuje jačanje industrijske suradnje između država članica i Ukrajine; poziva Komisiju i države članice i njihove obrambene industrije da razmotre pružanje podrške ukrajinskoj obrambenoj industriji, ulaganje u nju i suradnju s njom kako bi se na najučinkovitiji način iskoristio puni potencijal proizvodnih kapaciteta u Ukrajini, u skladu s „danskim modelom”; potiče države članice i njihove obrambene industrije da uspostave zajedničke pothvate i razviju partnerstva s Ukrajinom za zajednički razvoj obrambenih proizvoda u EU-u, posebno u području bespilotnih letjelica, tehnologija za borbu protiv bespilotnih letjelica i kapaciteta za dalekometne napade;</w:t>
      </w:r>
    </w:p>
    <w:p w14:paraId="14143B1F" w14:textId="29A3B35E" w:rsidR="00EA4C22" w:rsidRPr="002B3FC2" w:rsidRDefault="001478E9" w:rsidP="00EA4C22">
      <w:pPr>
        <w:pStyle w:val="NormalHanging12a"/>
      </w:pPr>
      <w:r>
        <w:t>32</w:t>
      </w:r>
      <w:r w:rsidR="00EA4C22" w:rsidRPr="002B3FC2">
        <w:t>.</w:t>
      </w:r>
      <w:r w:rsidR="00EA4C22" w:rsidRPr="002B3FC2">
        <w:tab/>
        <w:t xml:space="preserve">pozdravlja najavu ukrajinskog predsjednika </w:t>
      </w:r>
      <w:proofErr w:type="spellStart"/>
      <w:r w:rsidR="00EA4C22" w:rsidRPr="002B3FC2">
        <w:t>Volodimira</w:t>
      </w:r>
      <w:proofErr w:type="spellEnd"/>
      <w:r w:rsidR="00EA4C22" w:rsidRPr="002B3FC2">
        <w:t xml:space="preserve"> </w:t>
      </w:r>
      <w:proofErr w:type="spellStart"/>
      <w:r w:rsidR="00EA4C22" w:rsidRPr="002B3FC2">
        <w:t>Zelenskog</w:t>
      </w:r>
      <w:proofErr w:type="spellEnd"/>
      <w:r w:rsidR="00EA4C22" w:rsidRPr="002B3FC2">
        <w:t xml:space="preserve"> da će Ukrajina započeti inozemnu proizvodnju i izvoz vlastite obrambene tehnologije odabranim europskim partnerima i partnerima NATO-a; prepoznaje znatno znanje i iskustvo koje je Ukrajina stekla u pogledu proizvodnje bespilotnih letjelica i tehnologija za obranu od dronova te očekuje od EU-a i njegovih država članica da iskoriste tu stručnost i znanje, uviđajući potencijalni doprinos ukrajinskog vojnog i industrijskog znanja i iskustva stečenog tijekom ruske invazije; poziva Komisiju da zajedno s Europskom obrambenom agencijom koordinira kupnju dozvola za bespilotne letjelice iz Ukrajine kako bi se državama članicama koje to žele omogućilo da proizvode bespilotne letjelice; poziva države članice da formaliziraju suradnju i uspostave strukture za olakšavanje razmjene stečenih iskustava, tehničkog znanja i najboljih praksi, među ostalim u okviru EU-a i NATO-a; poziva na suradnju EU-a i NATO-a u cilju institucionalizacije iskustava koja je Ukrajina stekla na bojištu, i to integriranjem inovacija u pogledu doktrine i tehnoloških inovacija u njihovu pripremu za moderne borbene uvjete;</w:t>
      </w:r>
    </w:p>
    <w:p w14:paraId="672CCF74" w14:textId="0824EB87" w:rsidR="00EA4C22" w:rsidRPr="002B3FC2" w:rsidRDefault="001478E9" w:rsidP="00EA4C22">
      <w:pPr>
        <w:pStyle w:val="NormalHanging12a"/>
      </w:pPr>
      <w:r>
        <w:t>33</w:t>
      </w:r>
      <w:r w:rsidR="00EA4C22" w:rsidRPr="002B3FC2">
        <w:t>.</w:t>
      </w:r>
      <w:r w:rsidR="00EA4C22" w:rsidRPr="002B3FC2">
        <w:tab/>
        <w:t xml:space="preserve">poziva na brzo dovršenje zakonodavstva o EDIP-u i na njegovu upotrebu, zajedno s instrumentom SAFE, za izdvajanje financijskih sredstava za učenje na primjeru </w:t>
      </w:r>
      <w:r w:rsidR="00EA4C22" w:rsidRPr="002B3FC2">
        <w:lastRenderedPageBreak/>
        <w:t>ukrajinskog iskustva i za potporu Ukrajini u ratovanju bespilotnim letjelicama; uviđa aktualnu ulogu Koalicije za bespilotne letjelice u standardizaciji bespilotnih letjelica, njezinu ključnu pomoć Ukrajini i ulogu u osiguravanju da države članice idu ukorak s promjenjivim zahtjevima na bojištu;</w:t>
      </w:r>
    </w:p>
    <w:p w14:paraId="3D1F8203" w14:textId="0B6C4D5F" w:rsidR="00EA4C22" w:rsidRPr="002B3FC2" w:rsidRDefault="001478E9" w:rsidP="00EA4C22">
      <w:pPr>
        <w:pStyle w:val="NormalHanging12a"/>
      </w:pPr>
      <w:r>
        <w:t>34</w:t>
      </w:r>
      <w:r w:rsidR="00EA4C22" w:rsidRPr="002B3FC2">
        <w:t>.</w:t>
      </w:r>
      <w:r w:rsidR="00EA4C22" w:rsidRPr="002B3FC2">
        <w:tab/>
        <w:t xml:space="preserve">ponavlja da nedavna agresivna djelovanja Rusije ne smiju i neće odvratiti EU i njegove države članice od njihove trajne predanosti podupiranju Ukrajine u ostvarivanju njezina neotuđiva prava na samoobranu, podsjećajući da sigurnost Ukrajine doprinosi sigurnosti cijele Europe; naglašava da je ključno pomoći Ukrajini da ojača svoje kapacitete u području protuzračne obrane jer se djelovanjem na ukrajinskom nebu smanjuje rizik od dolaska bespilotnih letjelica do teritorija EU-a; smatra da će ishod rata i stav međunarodne zajednice imati ključnu ulogu kada je riječ o utjecanju na buduće agresivno djelovanje Rusije u Europi i šire; potiče sve države članice da odmah pruže dodatnu vojnu pomoć i da se uključe u zajedničku nabavu dodatnih kapaciteta za Ukrajinu, posebno streljiva za protuzračnu obranu; poziva na ukidanje ograničenja upotrebe zapadnih oružanih sustava isporučenih Ukrajini protiv vojnih ciljeva na ruskom državnom području jer se </w:t>
      </w:r>
      <w:proofErr w:type="spellStart"/>
      <w:r w:rsidR="00EA4C22" w:rsidRPr="002B3FC2">
        <w:t>otamo</w:t>
      </w:r>
      <w:proofErr w:type="spellEnd"/>
      <w:r w:rsidR="00EA4C22" w:rsidRPr="002B3FC2">
        <w:t xml:space="preserve"> lansiraju napadi na ukrajinsko stanovništvo i kritičnu civilnu infrastrukturu;</w:t>
      </w:r>
    </w:p>
    <w:p w14:paraId="7CCB8401" w14:textId="54E0F93F" w:rsidR="00EA4C22" w:rsidRPr="002B3FC2" w:rsidRDefault="001478E9" w:rsidP="00EA4C22">
      <w:pPr>
        <w:pStyle w:val="NormalHanging12a"/>
        <w:rPr>
          <w:rFonts w:eastAsia="Aptos"/>
          <w:kern w:val="2"/>
          <w14:ligatures w14:val="standardContextual"/>
        </w:rPr>
      </w:pPr>
      <w:r>
        <w:t>35</w:t>
      </w:r>
      <w:r w:rsidR="00EA4C22" w:rsidRPr="002B3FC2">
        <w:t>.</w:t>
      </w:r>
      <w:r w:rsidR="00EA4C22" w:rsidRPr="002B3FC2">
        <w:tab/>
        <w:t>ponavlja svoj poziv državama članicama da zajedno sa svojim partnerima iz skupine G-7 odmah podrže prijedlog Komisije da se sva zamrznuta ruska imovina iskoristi kao osnova za znatna bespovratna sredstva i zajam Ukrajini, pri čemu povrat ovisi o budućem ruskom plaćanju ratne odštete, kao pravno utemeljen i financijski važan način za održavanje i povećanje potpore EU-a vojnim potrebama Ukrajine, uključujući obranu od bespilotnih letjelica;</w:t>
      </w:r>
    </w:p>
    <w:p w14:paraId="295E6DCF" w14:textId="55C6C784" w:rsidR="00E365E1" w:rsidRPr="002B3FC2" w:rsidRDefault="001478E9" w:rsidP="002B3FC2">
      <w:pPr>
        <w:pStyle w:val="NormalHanging12a"/>
      </w:pPr>
      <w:r>
        <w:t>36</w:t>
      </w:r>
      <w:r w:rsidR="00EA4C22" w:rsidRPr="002B3FC2">
        <w:t>.</w:t>
      </w:r>
      <w:r w:rsidR="00EA4C22" w:rsidRPr="002B3FC2">
        <w:tab/>
        <w:t>nalaže svojoj predsjednici da ovu Rezoluciju proslijedi Vijeću, Komisiji, potpredsjednici Komisije / Visokoj predstavnici Unije za vanjsku i sigurnosnu politiku, vladama i parlamentima država članica, glavnom tajniku NATO-a i predsjedniku i parlamentu Ukrajine.</w:t>
      </w:r>
    </w:p>
    <w:sectPr w:rsidR="00E365E1" w:rsidRPr="002B3FC2" w:rsidSect="002B3FC2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8B6E91" w14:textId="77777777" w:rsidR="00F73D4B" w:rsidRPr="002B3FC2" w:rsidRDefault="00F73D4B">
      <w:r w:rsidRPr="002B3FC2">
        <w:separator/>
      </w:r>
    </w:p>
  </w:endnote>
  <w:endnote w:type="continuationSeparator" w:id="0">
    <w:p w14:paraId="5BC1944F" w14:textId="77777777" w:rsidR="00F73D4B" w:rsidRPr="002B3FC2" w:rsidRDefault="00F73D4B">
      <w:r w:rsidRPr="002B3FC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B2FF38" w14:textId="77777777" w:rsidR="00F73D4B" w:rsidRPr="002B3FC2" w:rsidRDefault="00F73D4B">
      <w:r w:rsidRPr="002B3FC2">
        <w:separator/>
      </w:r>
    </w:p>
  </w:footnote>
  <w:footnote w:type="continuationSeparator" w:id="0">
    <w:p w14:paraId="253160BB" w14:textId="77777777" w:rsidR="00F73D4B" w:rsidRPr="002B3FC2" w:rsidRDefault="00F73D4B">
      <w:r w:rsidRPr="002B3FC2">
        <w:continuationSeparator/>
      </w:r>
    </w:p>
  </w:footnote>
  <w:footnote w:id="1">
    <w:p w14:paraId="19171215" w14:textId="6A5505CF" w:rsidR="00EA4C22" w:rsidRPr="002B3FC2" w:rsidRDefault="00EA4C22" w:rsidP="002B3FC2">
      <w:pPr>
        <w:pStyle w:val="FootnoteText"/>
        <w:ind w:left="567" w:hanging="567"/>
        <w:rPr>
          <w:sz w:val="24"/>
          <w:lang w:val="hr-HR"/>
        </w:rPr>
      </w:pPr>
      <w:r w:rsidRPr="002B3FC2">
        <w:rPr>
          <w:rStyle w:val="FootnoteReference"/>
          <w:sz w:val="24"/>
          <w:lang w:val="hr-HR"/>
        </w:rPr>
        <w:footnoteRef/>
      </w:r>
      <w:r w:rsidR="002B3FC2" w:rsidRPr="002B3FC2">
        <w:rPr>
          <w:sz w:val="24"/>
          <w:lang w:val="hr-HR"/>
        </w:rPr>
        <w:t xml:space="preserve"> </w:t>
      </w:r>
      <w:r w:rsidR="002B3FC2" w:rsidRPr="002B3FC2">
        <w:rPr>
          <w:sz w:val="24"/>
          <w:lang w:val="hr-HR"/>
        </w:rPr>
        <w:tab/>
      </w:r>
      <w:r w:rsidRPr="002B3FC2">
        <w:rPr>
          <w:sz w:val="24"/>
          <w:lang w:val="hr-HR"/>
        </w:rPr>
        <w:t xml:space="preserve">SL C, C/2025/3151, 20.6.2025., ELI: </w:t>
      </w:r>
      <w:hyperlink r:id="rId1" w:history="1">
        <w:r w:rsidRPr="007837E9">
          <w:rPr>
            <w:rStyle w:val="Hyperlink"/>
            <w:sz w:val="24"/>
            <w:lang w:val="hr-HR"/>
          </w:rPr>
          <w:t>http://data.europa.eu/eli/C/2025/3151/oj</w:t>
        </w:r>
      </w:hyperlink>
      <w:r w:rsidR="007837E9">
        <w:rPr>
          <w:sz w:val="24"/>
          <w:lang w:val="hr-HR"/>
        </w:rPr>
        <w:t>.</w:t>
      </w:r>
    </w:p>
  </w:footnote>
  <w:footnote w:id="2">
    <w:p w14:paraId="251D7637" w14:textId="161CCF9A" w:rsidR="00EA4C22" w:rsidRPr="002B3FC2" w:rsidRDefault="00EA4C22" w:rsidP="002B3FC2">
      <w:pPr>
        <w:pStyle w:val="FootnoteText"/>
        <w:ind w:left="567" w:hanging="567"/>
        <w:rPr>
          <w:sz w:val="24"/>
          <w:lang w:val="hr-HR"/>
        </w:rPr>
      </w:pPr>
      <w:r w:rsidRPr="002B3FC2">
        <w:rPr>
          <w:rStyle w:val="FootnoteReference"/>
          <w:sz w:val="24"/>
          <w:lang w:val="hr-HR"/>
        </w:rPr>
        <w:footnoteRef/>
      </w:r>
      <w:r w:rsidR="002B3FC2" w:rsidRPr="002B3FC2">
        <w:rPr>
          <w:sz w:val="24"/>
          <w:lang w:val="hr-HR"/>
        </w:rPr>
        <w:t xml:space="preserve"> </w:t>
      </w:r>
      <w:r w:rsidR="002B3FC2" w:rsidRPr="002B3FC2">
        <w:rPr>
          <w:sz w:val="24"/>
          <w:lang w:val="hr-HR"/>
        </w:rPr>
        <w:tab/>
      </w:r>
      <w:r w:rsidRPr="002B3FC2">
        <w:rPr>
          <w:sz w:val="24"/>
          <w:lang w:val="hr-HR"/>
        </w:rPr>
        <w:t xml:space="preserve">SL L, 2025/1106, 28.5.2025., ELI: </w:t>
      </w:r>
      <w:hyperlink r:id="rId2" w:history="1">
        <w:r w:rsidRPr="007837E9">
          <w:rPr>
            <w:rStyle w:val="Hyperlink"/>
            <w:sz w:val="24"/>
            <w:lang w:val="hr-HR"/>
          </w:rPr>
          <w:t>http://data.europa.eu/eli/reg/2025/1106/oj</w:t>
        </w:r>
      </w:hyperlink>
      <w:r w:rsidRPr="002B3FC2">
        <w:rPr>
          <w:sz w:val="24"/>
          <w:lang w:val="hr-HR"/>
        </w:rPr>
        <w:t>.</w:t>
      </w:r>
    </w:p>
  </w:footnote>
  <w:footnote w:id="3">
    <w:p w14:paraId="764CD380" w14:textId="72B5EBAD" w:rsidR="00EA4C22" w:rsidRPr="002B3FC2" w:rsidRDefault="00EA4C22" w:rsidP="002B3FC2">
      <w:pPr>
        <w:pStyle w:val="FootnoteText"/>
        <w:ind w:left="567" w:hanging="567"/>
        <w:rPr>
          <w:sz w:val="24"/>
          <w:lang w:val="hr-HR"/>
        </w:rPr>
      </w:pPr>
      <w:r w:rsidRPr="002B3FC2">
        <w:rPr>
          <w:rStyle w:val="FootnoteReference"/>
          <w:sz w:val="24"/>
          <w:lang w:val="hr-HR"/>
        </w:rPr>
        <w:footnoteRef/>
      </w:r>
      <w:r w:rsidR="002B3FC2" w:rsidRPr="002B3FC2">
        <w:rPr>
          <w:sz w:val="24"/>
          <w:lang w:val="hr-HR"/>
        </w:rPr>
        <w:t xml:space="preserve"> </w:t>
      </w:r>
      <w:r w:rsidR="002B3FC2" w:rsidRPr="002B3FC2">
        <w:rPr>
          <w:sz w:val="24"/>
          <w:lang w:val="hr-HR"/>
        </w:rPr>
        <w:tab/>
      </w:r>
      <w:r w:rsidRPr="002B3FC2">
        <w:rPr>
          <w:sz w:val="24"/>
          <w:lang w:val="hr-HR"/>
        </w:rPr>
        <w:t xml:space="preserve">Delegirana uredba Komisije (EU) 2016/1675 </w:t>
      </w:r>
      <w:proofErr w:type="spellStart"/>
      <w:r w:rsidRPr="002B3FC2">
        <w:rPr>
          <w:sz w:val="24"/>
          <w:lang w:val="hr-HR"/>
        </w:rPr>
        <w:t>оd</w:t>
      </w:r>
      <w:proofErr w:type="spellEnd"/>
      <w:r w:rsidRPr="002B3FC2">
        <w:rPr>
          <w:sz w:val="24"/>
          <w:lang w:val="hr-HR"/>
        </w:rPr>
        <w:t xml:space="preserve"> 14. srpnja 2016. o dopuni Direktive (EU) 2015/849 Europskog parlamenta i Vijeća utvrđivanjem visokorizičnih trećih zemalja sa strateškim nedostacima (SL L 254, 20.9.2016., str. </w:t>
      </w:r>
      <w:r w:rsidRPr="002B3FC2">
        <w:rPr>
          <w:sz w:val="24"/>
          <w:lang w:val="hr-HR"/>
        </w:rPr>
        <w:t xml:space="preserve">1., ELI: </w:t>
      </w:r>
      <w:hyperlink r:id="rId3" w:history="1">
        <w:r w:rsidRPr="007837E9">
          <w:rPr>
            <w:rStyle w:val="Hyperlink"/>
            <w:sz w:val="24"/>
            <w:lang w:val="hr-HR"/>
          </w:rPr>
          <w:t>http://data.europa.eu/eli/reg_del/2016/1675/oj</w:t>
        </w:r>
      </w:hyperlink>
      <w:r w:rsidRPr="002B3FC2">
        <w:rPr>
          <w:sz w:val="24"/>
          <w:lang w:val="hr-HR"/>
        </w:rPr>
        <w:t>).</w:t>
      </w:r>
    </w:p>
  </w:footnote>
  <w:footnote w:id="4">
    <w:p w14:paraId="7C5AC630" w14:textId="771F291E" w:rsidR="00EA4C22" w:rsidRPr="002B3FC2" w:rsidRDefault="00EA4C22" w:rsidP="002B3FC2">
      <w:pPr>
        <w:pStyle w:val="FootnoteText"/>
        <w:ind w:left="567" w:hanging="567"/>
        <w:rPr>
          <w:sz w:val="24"/>
          <w:lang w:val="hr-HR"/>
        </w:rPr>
      </w:pPr>
      <w:r w:rsidRPr="002B3FC2">
        <w:rPr>
          <w:rStyle w:val="FootnoteReference"/>
          <w:sz w:val="24"/>
          <w:lang w:val="hr-HR"/>
        </w:rPr>
        <w:footnoteRef/>
      </w:r>
      <w:r w:rsidR="002B3FC2" w:rsidRPr="002B3FC2">
        <w:rPr>
          <w:sz w:val="24"/>
          <w:lang w:val="hr-HR"/>
        </w:rPr>
        <w:t xml:space="preserve"> </w:t>
      </w:r>
      <w:r w:rsidR="002B3FC2" w:rsidRPr="002B3FC2">
        <w:rPr>
          <w:sz w:val="24"/>
          <w:lang w:val="hr-HR"/>
        </w:rPr>
        <w:tab/>
      </w:r>
      <w:r w:rsidRPr="002B3FC2">
        <w:rPr>
          <w:sz w:val="24"/>
          <w:lang w:val="hr-HR"/>
        </w:rPr>
        <w:t xml:space="preserve">Uredba (EU) 2024/1252 Europskog parlamenta i Vijeća od 11. travnja 2024. o uspostavi okvira za osiguravanje sigurne i održive opskrbe kritičnim sirovinama i o izmjeni uredbi (EU) br. 168/2013, (EU) 2018/858, (EU) 2018/1724 i (EU) 2019/1020 (SL L, 2024/1252, 3.5.2024, ELI: http://data.europa.eu/eli/reg/2024/1252/oj). </w:t>
      </w:r>
      <w:hyperlink r:id="rId4" w:history="1">
        <w:r w:rsidRPr="007837E9">
          <w:rPr>
            <w:rStyle w:val="Hyperlink"/>
            <w:sz w:val="24"/>
            <w:lang w:val="hr-HR"/>
          </w:rPr>
          <w:t>http://data.europa.eu/eli/reg/2024/1252/oj</w:t>
        </w:r>
      </w:hyperlink>
      <w:r w:rsidRPr="002B3FC2">
        <w:rPr>
          <w:sz w:val="24"/>
          <w:lang w:val="hr-HR"/>
        </w:rPr>
        <w:t>).</w:t>
      </w:r>
    </w:p>
  </w:footnote>
  <w:footnote w:id="5">
    <w:p w14:paraId="2B372FFF" w14:textId="14869749" w:rsidR="0082079B" w:rsidRPr="001478E9" w:rsidRDefault="0082079B" w:rsidP="001478E9">
      <w:pPr>
        <w:pStyle w:val="FootnoteText"/>
        <w:ind w:left="567" w:hanging="567"/>
        <w:rPr>
          <w:sz w:val="24"/>
          <w:szCs w:val="24"/>
          <w:lang w:val="hr-HR"/>
        </w:rPr>
      </w:pPr>
      <w:r>
        <w:rPr>
          <w:rStyle w:val="FootnoteReference"/>
        </w:rPr>
        <w:footnoteRef/>
      </w:r>
      <w:r w:rsidRPr="001478E9">
        <w:rPr>
          <w:lang w:val="hr-HR"/>
        </w:rPr>
        <w:t xml:space="preserve"> </w:t>
      </w:r>
      <w:r>
        <w:rPr>
          <w:lang w:val="hr-HR"/>
        </w:rPr>
        <w:tab/>
      </w:r>
      <w:r w:rsidRPr="001478E9">
        <w:rPr>
          <w:sz w:val="24"/>
          <w:szCs w:val="24"/>
          <w:lang w:val="hr-HR"/>
        </w:rPr>
        <w:t xml:space="preserve">Uredba Vijeća (EU) br. 833/2014 od 31. srpnja 2014. o mjerama ograničavanja s obzirom na djelovanja Rusije kojima se destabilizira stanje u Ukrajini (SL L 229, 31.7.2014., str. 1., ELI: </w:t>
      </w:r>
      <w:hyperlink r:id="rId5" w:history="1">
        <w:r w:rsidRPr="001478E9">
          <w:rPr>
            <w:rStyle w:val="Hyperlink"/>
            <w:sz w:val="24"/>
            <w:szCs w:val="24"/>
            <w:lang w:val="hr-HR"/>
          </w:rPr>
          <w:t>http://data.europa.eu/eli/reg/2014/833/oj</w:t>
        </w:r>
      </w:hyperlink>
      <w:r w:rsidRPr="001478E9">
        <w:rPr>
          <w:sz w:val="24"/>
          <w:szCs w:val="24"/>
          <w:lang w:val="hr-HR"/>
        </w:rPr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7307004">
    <w:abstractNumId w:val="9"/>
  </w:num>
  <w:num w:numId="2" w16cid:durableId="706488946">
    <w:abstractNumId w:val="9"/>
  </w:num>
  <w:num w:numId="3" w16cid:durableId="1303805416">
    <w:abstractNumId w:val="7"/>
  </w:num>
  <w:num w:numId="4" w16cid:durableId="337654310">
    <w:abstractNumId w:val="7"/>
  </w:num>
  <w:num w:numId="5" w16cid:durableId="860974122">
    <w:abstractNumId w:val="6"/>
  </w:num>
  <w:num w:numId="6" w16cid:durableId="1876582645">
    <w:abstractNumId w:val="6"/>
  </w:num>
  <w:num w:numId="7" w16cid:durableId="28646796">
    <w:abstractNumId w:val="5"/>
  </w:num>
  <w:num w:numId="8" w16cid:durableId="1116828779">
    <w:abstractNumId w:val="5"/>
  </w:num>
  <w:num w:numId="9" w16cid:durableId="1019937494">
    <w:abstractNumId w:val="4"/>
  </w:num>
  <w:num w:numId="10" w16cid:durableId="814447766">
    <w:abstractNumId w:val="4"/>
  </w:num>
  <w:num w:numId="11" w16cid:durableId="1805076479">
    <w:abstractNumId w:val="8"/>
  </w:num>
  <w:num w:numId="12" w16cid:durableId="1825927226">
    <w:abstractNumId w:val="8"/>
  </w:num>
  <w:num w:numId="13" w16cid:durableId="1487237150">
    <w:abstractNumId w:val="3"/>
  </w:num>
  <w:num w:numId="14" w16cid:durableId="1016082585">
    <w:abstractNumId w:val="3"/>
  </w:num>
  <w:num w:numId="15" w16cid:durableId="1940285460">
    <w:abstractNumId w:val="2"/>
  </w:num>
  <w:num w:numId="16" w16cid:durableId="1033767905">
    <w:abstractNumId w:val="2"/>
  </w:num>
  <w:num w:numId="17" w16cid:durableId="1307976050">
    <w:abstractNumId w:val="1"/>
  </w:num>
  <w:num w:numId="18" w16cid:durableId="442772053">
    <w:abstractNumId w:val="1"/>
  </w:num>
  <w:num w:numId="19" w16cid:durableId="1049038073">
    <w:abstractNumId w:val="0"/>
  </w:num>
  <w:num w:numId="20" w16cid:durableId="1212613350">
    <w:abstractNumId w:val="0"/>
  </w:num>
  <w:num w:numId="21" w16cid:durableId="351610047">
    <w:abstractNumId w:val="9"/>
  </w:num>
  <w:num w:numId="22" w16cid:durableId="1220436385">
    <w:abstractNumId w:val="7"/>
  </w:num>
  <w:num w:numId="23" w16cid:durableId="49961579">
    <w:abstractNumId w:val="6"/>
  </w:num>
  <w:num w:numId="24" w16cid:durableId="237785402">
    <w:abstractNumId w:val="5"/>
  </w:num>
  <w:num w:numId="25" w16cid:durableId="527111074">
    <w:abstractNumId w:val="4"/>
  </w:num>
  <w:num w:numId="26" w16cid:durableId="1471433968">
    <w:abstractNumId w:val="8"/>
  </w:num>
  <w:num w:numId="27" w16cid:durableId="1099058399">
    <w:abstractNumId w:val="3"/>
  </w:num>
  <w:num w:numId="28" w16cid:durableId="1114978675">
    <w:abstractNumId w:val="2"/>
  </w:num>
  <w:num w:numId="29" w16cid:durableId="1184517553">
    <w:abstractNumId w:val="1"/>
  </w:num>
  <w:num w:numId="30" w16cid:durableId="387262200">
    <w:abstractNumId w:val="0"/>
  </w:num>
  <w:num w:numId="31" w16cid:durableId="553007214">
    <w:abstractNumId w:val="9"/>
  </w:num>
  <w:num w:numId="32" w16cid:durableId="928932627">
    <w:abstractNumId w:val="7"/>
  </w:num>
  <w:num w:numId="33" w16cid:durableId="1565215086">
    <w:abstractNumId w:val="6"/>
  </w:num>
  <w:num w:numId="34" w16cid:durableId="1792086305">
    <w:abstractNumId w:val="5"/>
  </w:num>
  <w:num w:numId="35" w16cid:durableId="389502831">
    <w:abstractNumId w:val="4"/>
  </w:num>
  <w:num w:numId="36" w16cid:durableId="35594051">
    <w:abstractNumId w:val="8"/>
  </w:num>
  <w:num w:numId="37" w16cid:durableId="1604655687">
    <w:abstractNumId w:val="3"/>
  </w:num>
  <w:num w:numId="38" w16cid:durableId="1699157843">
    <w:abstractNumId w:val="2"/>
  </w:num>
  <w:num w:numId="39" w16cid:durableId="1110588357">
    <w:abstractNumId w:val="1"/>
  </w:num>
  <w:num w:numId="40" w16cid:durableId="1942448230">
    <w:abstractNumId w:val="0"/>
  </w:num>
  <w:num w:numId="41" w16cid:durableId="1419785022">
    <w:abstractNumId w:val="10"/>
  </w:num>
  <w:num w:numId="42" w16cid:durableId="1350328334">
    <w:abstractNumId w:val="10"/>
  </w:num>
  <w:num w:numId="43" w16cid:durableId="705981668">
    <w:abstractNumId w:val="10"/>
  </w:num>
  <w:num w:numId="44" w16cid:durableId="128627710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419/2025"/>
    <w:docVar w:name="dvlangue" w:val="HR"/>
    <w:docVar w:name="dvnumam" w:val="0"/>
    <w:docVar w:name="dvpe" w:val="776.258"/>
    <w:docVar w:name="dvtitre" w:val="Rezolucija Europskog parlamenta od .... 2025. o ujedinjenom odgovoru na nedavne ruske povrede zračnog prostora i kritične infrastrukture država članica EU-a(2025/2901(RSP))"/>
  </w:docVars>
  <w:rsids>
    <w:rsidRoot w:val="00F73D4B"/>
    <w:rsid w:val="00002272"/>
    <w:rsid w:val="00064002"/>
    <w:rsid w:val="000677B9"/>
    <w:rsid w:val="000831BA"/>
    <w:rsid w:val="000A42CC"/>
    <w:rsid w:val="000E7DD9"/>
    <w:rsid w:val="0010095E"/>
    <w:rsid w:val="00125B37"/>
    <w:rsid w:val="001478E9"/>
    <w:rsid w:val="00183B7A"/>
    <w:rsid w:val="00187494"/>
    <w:rsid w:val="001F32AE"/>
    <w:rsid w:val="002274AC"/>
    <w:rsid w:val="002767FF"/>
    <w:rsid w:val="002B18FE"/>
    <w:rsid w:val="002B3FC2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47115"/>
    <w:rsid w:val="00560270"/>
    <w:rsid w:val="005C2568"/>
    <w:rsid w:val="005C77B2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37E9"/>
    <w:rsid w:val="00786EC0"/>
    <w:rsid w:val="007C6BEC"/>
    <w:rsid w:val="007D1690"/>
    <w:rsid w:val="007E22AD"/>
    <w:rsid w:val="00817416"/>
    <w:rsid w:val="0082079B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C6CE2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47917"/>
    <w:rsid w:val="00C61C0C"/>
    <w:rsid w:val="00C82825"/>
    <w:rsid w:val="00C941CB"/>
    <w:rsid w:val="00CC2357"/>
    <w:rsid w:val="00CF071A"/>
    <w:rsid w:val="00D058B8"/>
    <w:rsid w:val="00D530D1"/>
    <w:rsid w:val="00D56C11"/>
    <w:rsid w:val="00D834A0"/>
    <w:rsid w:val="00D872DF"/>
    <w:rsid w:val="00D91E21"/>
    <w:rsid w:val="00DA7FCD"/>
    <w:rsid w:val="00DB3272"/>
    <w:rsid w:val="00E365E1"/>
    <w:rsid w:val="00E820A4"/>
    <w:rsid w:val="00EA4C22"/>
    <w:rsid w:val="00EB006A"/>
    <w:rsid w:val="00EB4772"/>
    <w:rsid w:val="00ED169E"/>
    <w:rsid w:val="00ED4235"/>
    <w:rsid w:val="00F04346"/>
    <w:rsid w:val="00F075DC"/>
    <w:rsid w:val="00F149E9"/>
    <w:rsid w:val="00F5134D"/>
    <w:rsid w:val="00F73D4B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ACA2498"/>
  <w15:chartTrackingRefBased/>
  <w15:docId w15:val="{CD9A4C96-936B-432F-9134-1BCF8CBC4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EA4C22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EA4C22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EA4C22"/>
    <w:rPr>
      <w:sz w:val="24"/>
      <w:lang w:val="hr-HR"/>
    </w:rPr>
  </w:style>
  <w:style w:type="character" w:styleId="Hyperlink">
    <w:name w:val="Hyperlink"/>
    <w:basedOn w:val="DefaultParagraphFont"/>
    <w:rsid w:val="007837E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837E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7837E9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82079B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_del/2016/1675/oj" TargetMode="External"/><Relationship Id="rId2" Type="http://schemas.openxmlformats.org/officeDocument/2006/relationships/hyperlink" Target="http://data.europa.eu/eli/reg/2025/1106/oj" TargetMode="External"/><Relationship Id="rId1" Type="http://schemas.openxmlformats.org/officeDocument/2006/relationships/hyperlink" Target="http://data.europa.eu/eli/C/2025/3151/oj" TargetMode="External"/><Relationship Id="rId5" Type="http://schemas.openxmlformats.org/officeDocument/2006/relationships/hyperlink" Target="http://data.europa.eu/eli/reg/2014/833/oj" TargetMode="External"/><Relationship Id="rId4" Type="http://schemas.openxmlformats.org/officeDocument/2006/relationships/hyperlink" Target="http://data.europa.eu/eli/reg/2024/125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12</Pages>
  <Words>5359</Words>
  <Characters>33159</Characters>
  <Application>Microsoft Office Word</Application>
  <DocSecurity>0</DocSecurity>
  <Lines>276</Lines>
  <Paragraphs>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38442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DADIĆ Ivana</cp:lastModifiedBy>
  <cp:revision>2</cp:revision>
  <cp:lastPrinted>2004-11-19T15:42:00Z</cp:lastPrinted>
  <dcterms:created xsi:type="dcterms:W3CDTF">2025-11-04T13:51:00Z</dcterms:created>
  <dcterms:modified xsi:type="dcterms:W3CDTF">2025-11-04T13:51:00Z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P10_TA(2025)0230_</vt:lpwstr>
  </property>
  <property fmtid="{D5CDD505-2E9C-101B-9397-08002B2CF9AE}" pid="4" name="&lt;Type&gt;">
    <vt:lpwstr>RR</vt:lpwstr>
  </property>
</Properties>
</file>