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1258" w14:paraId="78D16D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E41C09" w14:textId="77777777" w:rsidR="00751A4A" w:rsidRPr="00EA1258" w:rsidRDefault="002970B8" w:rsidP="0010095E">
            <w:pPr>
              <w:pStyle w:val="EPName"/>
            </w:pPr>
            <w:r w:rsidRPr="00EA1258">
              <w:t>Parlament Europejski</w:t>
            </w:r>
          </w:p>
          <w:p w14:paraId="751449D3" w14:textId="77777777" w:rsidR="00751A4A" w:rsidRPr="00EA12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1258">
              <w:t>2024</w:t>
            </w:r>
            <w:r w:rsidR="00817416" w:rsidRPr="00EA1258">
              <w:t>-202</w:t>
            </w:r>
            <w:r w:rsidRPr="00EA1258">
              <w:t>9</w:t>
            </w:r>
          </w:p>
        </w:tc>
        <w:tc>
          <w:tcPr>
            <w:tcW w:w="2268" w:type="dxa"/>
            <w:shd w:val="clear" w:color="auto" w:fill="auto"/>
          </w:tcPr>
          <w:p w14:paraId="26612B93" w14:textId="77777777" w:rsidR="00751A4A" w:rsidRPr="00EA1258" w:rsidRDefault="00187494" w:rsidP="0010095E">
            <w:pPr>
              <w:pStyle w:val="EPLogo"/>
            </w:pPr>
            <w:r w:rsidRPr="00EA1258">
              <w:rPr>
                <w:noProof/>
                <w:lang w:eastAsia="ja-JP"/>
              </w:rPr>
              <w:drawing>
                <wp:inline distT="0" distB="0" distL="0" distR="0" wp14:anchorId="7C2AE897" wp14:editId="1529EA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51BD4E" w14:textId="77777777" w:rsidR="00D058B8" w:rsidRPr="00EA1258" w:rsidRDefault="00D058B8" w:rsidP="004C5D52">
      <w:pPr>
        <w:pStyle w:val="LineTop"/>
      </w:pPr>
    </w:p>
    <w:p w14:paraId="7BD81FB1" w14:textId="77777777" w:rsidR="00680577" w:rsidRPr="00EA1258" w:rsidRDefault="002970B8" w:rsidP="00680577">
      <w:pPr>
        <w:pStyle w:val="EPBodyTA1"/>
      </w:pPr>
      <w:r w:rsidRPr="00EA1258">
        <w:t>TEKSTY PRZYJĘTE</w:t>
      </w:r>
    </w:p>
    <w:p w14:paraId="2D44B8A5" w14:textId="77777777" w:rsidR="00D058B8" w:rsidRPr="00EA1258" w:rsidRDefault="00D058B8" w:rsidP="00D058B8">
      <w:pPr>
        <w:pStyle w:val="LineBottom"/>
      </w:pPr>
    </w:p>
    <w:p w14:paraId="406C68C9" w14:textId="38732C71" w:rsidR="002970B8" w:rsidRPr="00EA1258" w:rsidRDefault="002970B8" w:rsidP="002970B8">
      <w:pPr>
        <w:pStyle w:val="ATHeading1"/>
      </w:pPr>
      <w:bookmarkStart w:id="0" w:name="TANumber"/>
      <w:r w:rsidRPr="00EA1258">
        <w:t>P10_</w:t>
      </w:r>
      <w:proofErr w:type="gramStart"/>
      <w:r w:rsidRPr="00EA1258">
        <w:t>TA(</w:t>
      </w:r>
      <w:proofErr w:type="gramEnd"/>
      <w:r w:rsidRPr="00EA1258">
        <w:t>2025)0</w:t>
      </w:r>
      <w:r w:rsidR="009D37D8">
        <w:t>23</w:t>
      </w:r>
      <w:r w:rsidRPr="00EA1258">
        <w:t>0</w:t>
      </w:r>
      <w:bookmarkEnd w:id="0"/>
    </w:p>
    <w:p w14:paraId="19FCAE81" w14:textId="6D35B343" w:rsidR="002970B8" w:rsidRPr="00D43A33" w:rsidRDefault="00D43A33" w:rsidP="00D43A33">
      <w:pPr>
        <w:pStyle w:val="ATHeading2"/>
      </w:pPr>
      <w:r w:rsidRPr="00D43A33">
        <w:rPr>
          <w:bCs/>
        </w:rPr>
        <w:t>Wsp</w:t>
      </w:r>
      <w:r w:rsidRPr="00D43A33">
        <w:rPr>
          <w:rFonts w:hint="eastAsia"/>
          <w:bCs/>
        </w:rPr>
        <w:t>ó</w:t>
      </w:r>
      <w:r w:rsidRPr="00D43A33">
        <w:rPr>
          <w:bCs/>
        </w:rPr>
        <w:t>lna reakcja na niedawne przypadki naruszania przez Rosj</w:t>
      </w:r>
      <w:r w:rsidRPr="00D43A33">
        <w:rPr>
          <w:rFonts w:hint="eastAsia"/>
          <w:bCs/>
        </w:rPr>
        <w:t>ę</w:t>
      </w:r>
      <w:r w:rsidRPr="00D43A33">
        <w:rPr>
          <w:bCs/>
        </w:rPr>
        <w:t xml:space="preserve"> przestrzeni powietrznej pa</w:t>
      </w:r>
      <w:r w:rsidRPr="00D43A33">
        <w:rPr>
          <w:rFonts w:hint="eastAsia"/>
          <w:bCs/>
        </w:rPr>
        <w:t>ń</w:t>
      </w:r>
      <w:r w:rsidRPr="00D43A33">
        <w:rPr>
          <w:bCs/>
        </w:rPr>
        <w:t>stw</w:t>
      </w:r>
      <w:r>
        <w:rPr>
          <w:bCs/>
        </w:rPr>
        <w:t xml:space="preserve"> </w:t>
      </w:r>
      <w:r w:rsidRPr="00D43A33">
        <w:rPr>
          <w:bCs/>
        </w:rPr>
        <w:t>cz</w:t>
      </w:r>
      <w:r w:rsidRPr="00D43A33">
        <w:rPr>
          <w:rFonts w:hint="eastAsia"/>
          <w:bCs/>
        </w:rPr>
        <w:t>ł</w:t>
      </w:r>
      <w:r w:rsidRPr="00D43A33">
        <w:rPr>
          <w:bCs/>
        </w:rPr>
        <w:t>onkowskich UE i zagro</w:t>
      </w:r>
      <w:r w:rsidRPr="00D43A33">
        <w:rPr>
          <w:rFonts w:hint="eastAsia"/>
          <w:bCs/>
        </w:rPr>
        <w:t>ż</w:t>
      </w:r>
      <w:r w:rsidRPr="00D43A33">
        <w:rPr>
          <w:bCs/>
        </w:rPr>
        <w:t>enie dla infrastruktury krytycznej</w:t>
      </w:r>
    </w:p>
    <w:p w14:paraId="0DBF4948" w14:textId="18C68F51" w:rsidR="002970B8" w:rsidRPr="00EA1258" w:rsidRDefault="002970B8" w:rsidP="002970B8">
      <w:pPr>
        <w:rPr>
          <w:i/>
          <w:vanish/>
        </w:rPr>
      </w:pPr>
      <w:r w:rsidRPr="00EA1258">
        <w:rPr>
          <w:i/>
        </w:rPr>
        <w:fldChar w:fldCharType="begin"/>
      </w:r>
      <w:r w:rsidRPr="00EA1258">
        <w:rPr>
          <w:i/>
        </w:rPr>
        <w:instrText xml:space="preserve"> TC"(</w:instrText>
      </w:r>
      <w:bookmarkStart w:id="1" w:name="DocNumber"/>
      <w:r w:rsidRPr="00EA1258">
        <w:rPr>
          <w:i/>
        </w:rPr>
        <w:instrText>B10-0419</w:instrText>
      </w:r>
      <w:r w:rsidR="00D43A33">
        <w:rPr>
          <w:i/>
        </w:rPr>
        <w:instrText>, 0422, 0423, 0424 oraz 0437</w:instrText>
      </w:r>
      <w:r w:rsidRPr="00EA1258">
        <w:rPr>
          <w:i/>
        </w:rPr>
        <w:instrText>/2025</w:instrText>
      </w:r>
      <w:bookmarkEnd w:id="1"/>
      <w:r w:rsidRPr="00EA1258">
        <w:rPr>
          <w:i/>
        </w:rPr>
        <w:instrText xml:space="preserve">)"\l3 \n&gt; \* MERGEFORMAT </w:instrText>
      </w:r>
      <w:r w:rsidRPr="00EA1258">
        <w:rPr>
          <w:i/>
        </w:rPr>
        <w:fldChar w:fldCharType="end"/>
      </w:r>
    </w:p>
    <w:p w14:paraId="7E6B0E64" w14:textId="77777777" w:rsidR="002970B8" w:rsidRPr="00EA1258" w:rsidRDefault="002970B8" w:rsidP="002970B8">
      <w:pPr>
        <w:rPr>
          <w:vanish/>
        </w:rPr>
      </w:pPr>
      <w:bookmarkStart w:id="2" w:name="PE"/>
      <w:r w:rsidRPr="00EA1258">
        <w:rPr>
          <w:vanish/>
        </w:rPr>
        <w:t>PE776.258</w:t>
      </w:r>
      <w:bookmarkEnd w:id="2"/>
    </w:p>
    <w:p w14:paraId="6C141E38" w14:textId="3E95686A" w:rsidR="002970B8" w:rsidRPr="00EA1258" w:rsidRDefault="002970B8" w:rsidP="002970B8">
      <w:pPr>
        <w:pStyle w:val="ATHeading3"/>
      </w:pPr>
      <w:bookmarkStart w:id="3" w:name="Sujet"/>
      <w:r w:rsidRPr="00EA1258">
        <w:t xml:space="preserve">Rezolucja Parlamentu Europejskiego z dnia </w:t>
      </w:r>
      <w:r w:rsidR="00D43A33">
        <w:t>9 października</w:t>
      </w:r>
      <w:r w:rsidRPr="00EA1258">
        <w:t xml:space="preserve"> 2025 r. w sprawie wspólnej reakcji na niedawne przypadki naruszenia przez Rosję przestrzeni powietrznej państw członkowskich UE i na zagrożenia dla ich infrastruktury krytycznej</w:t>
      </w:r>
      <w:bookmarkEnd w:id="3"/>
      <w:r w:rsidRPr="00EA1258">
        <w:t xml:space="preserve"> </w:t>
      </w:r>
      <w:bookmarkStart w:id="4" w:name="References"/>
      <w:r w:rsidRPr="00EA1258">
        <w:t>(2025/2901(RSP))</w:t>
      </w:r>
      <w:bookmarkEnd w:id="4"/>
    </w:p>
    <w:p w14:paraId="5AD828FA" w14:textId="77777777" w:rsidR="002970B8" w:rsidRPr="00EA1258" w:rsidRDefault="002970B8" w:rsidP="002970B8"/>
    <w:p w14:paraId="2D4F479B" w14:textId="77777777" w:rsidR="00D65A9C" w:rsidRPr="00EA1258" w:rsidRDefault="00D65A9C" w:rsidP="00D65A9C">
      <w:pPr>
        <w:pStyle w:val="EPComma"/>
      </w:pPr>
      <w:bookmarkStart w:id="5" w:name="TextBodyBegin"/>
      <w:bookmarkEnd w:id="5"/>
      <w:r w:rsidRPr="00EA1258">
        <w:rPr>
          <w:i/>
        </w:rPr>
        <w:t>Parlament Europejski</w:t>
      </w:r>
      <w:r w:rsidRPr="00EA1258">
        <w:t>,</w:t>
      </w:r>
    </w:p>
    <w:p w14:paraId="557ACDFD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Kartę Narodów Zjednoczonych oraz podstawowe zasady prawa międzynarodowego,</w:t>
      </w:r>
    </w:p>
    <w:p w14:paraId="633D4417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art. 42 ust. 7 i art. 24 ust. 3 Traktatu o Unii Europejskiej (TUE),</w:t>
      </w:r>
    </w:p>
    <w:p w14:paraId="406A16C0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swoje poprzednie rezolucje w sprawie Ukrainy i Rosji,</w:t>
      </w:r>
    </w:p>
    <w:p w14:paraId="40F788E9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białą księgę w sprawie obronności europejskiej – Gotowość 2030 oraz swoją rezolucję z 12 marca 2025 r. w tej sprawie</w:t>
      </w:r>
      <w:r w:rsidRPr="00EA1258">
        <w:rPr>
          <w:rStyle w:val="FootnoteReference"/>
        </w:rPr>
        <w:footnoteReference w:id="1"/>
      </w:r>
      <w:r w:rsidRPr="00EA1258">
        <w:t>,</w:t>
      </w:r>
    </w:p>
    <w:p w14:paraId="734C1F38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rozporządzenie Rady (UE) 2025/1106 z dnia 27 maja 2025 r. ustanawiające Instrument na rzecz Zwiększenia Bezpieczeństwa Europy (SAFE) poprzez Wzmocnienie Europejskiego Przemysłu Obronnego</w:t>
      </w:r>
      <w:r w:rsidRPr="00EA1258">
        <w:rPr>
          <w:rStyle w:val="FootnoteReference"/>
        </w:rPr>
        <w:footnoteReference w:id="2"/>
      </w:r>
      <w:r w:rsidRPr="00EA1258">
        <w:t>,</w:t>
      </w:r>
    </w:p>
    <w:p w14:paraId="4A56999C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wniosek Komisji z 5 marca 2024 r. dotyczący rozporządzenia Parlamentu Europejskiego i Rady ustanawiającego Program na rzecz europejskiego przemysłu obronnego oraz ramy środków w celu zapewnienia terminowej dostępności i dostaw produktów związanych z obronnością (EDIP) (</w:t>
      </w:r>
      <w:proofErr w:type="gramStart"/>
      <w:r w:rsidRPr="00EA1258">
        <w:t>COM(</w:t>
      </w:r>
      <w:proofErr w:type="gramEnd"/>
      <w:r w:rsidRPr="00EA1258">
        <w:t>2024)0150),</w:t>
      </w:r>
    </w:p>
    <w:p w14:paraId="774FCFA8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 xml:space="preserve">uwzględniając swoje wcześniejsze rezolucje w sprawie Ukrainy i Rosji, w szczególności rezolucje przyjęte od czasu </w:t>
      </w:r>
      <w:proofErr w:type="spellStart"/>
      <w:r w:rsidRPr="00EA1258">
        <w:t>pełnoskalowej</w:t>
      </w:r>
      <w:proofErr w:type="spellEnd"/>
      <w:r w:rsidRPr="00EA1258">
        <w:t xml:space="preserve"> inwazji Rosji na Ukrainę w lutym 2022 r. i aneksji Półwyspu Krymskiego 19 lutego 2014 r.,</w:t>
      </w:r>
    </w:p>
    <w:p w14:paraId="4BDE6601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 xml:space="preserve">uwzględniając międzynarodowe przepisy o zapobieganiu terroryzmowi i zwalczaniu go, w tym rezolucję Rady Bezpieczeństwa ONZ nr 2341 o ochronie infrastruktury </w:t>
      </w:r>
      <w:r w:rsidRPr="00EA1258">
        <w:lastRenderedPageBreak/>
        <w:t>krytycznej przed aktami terrorystycznymi, przyjętą 13 lutego 2017 r.,</w:t>
      </w:r>
    </w:p>
    <w:p w14:paraId="2DFC0583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 xml:space="preserve">uwzględniając orędzie o stanie Unii wygłoszone przez przewodniczącą Komisji Ursulę von der </w:t>
      </w:r>
      <w:proofErr w:type="spellStart"/>
      <w:r w:rsidRPr="00EA1258">
        <w:t>Leyen</w:t>
      </w:r>
      <w:proofErr w:type="spellEnd"/>
      <w:r w:rsidRPr="00EA1258">
        <w:t xml:space="preserve"> 10 września 2025 r.,</w:t>
      </w:r>
    </w:p>
    <w:p w14:paraId="386C4191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 xml:space="preserve">uwzględniając oświadczenie sekretarza generalnego NATO Marka </w:t>
      </w:r>
      <w:proofErr w:type="spellStart"/>
      <w:r w:rsidRPr="00EA1258">
        <w:t>Ruttego</w:t>
      </w:r>
      <w:proofErr w:type="spellEnd"/>
      <w:r w:rsidRPr="00EA1258">
        <w:t xml:space="preserve"> z 10 września 2025 r. w sprawie naruszenia polskiej przestrzeni powietrznej przez rosyjskie drony,</w:t>
      </w:r>
    </w:p>
    <w:p w14:paraId="2C1C1C63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przemówienie polskiego wicepremiera Radosława Sikorskiego wygłoszone 22 września 2025 r. na sesji nadzwyczajnej Rady Bezpieczeństwa ONZ,</w:t>
      </w:r>
    </w:p>
    <w:p w14:paraId="4D79CB18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 xml:space="preserve">uwzględniając oświadczenie wysokiej przedstawiciel Unii do spraw zagranicznych i polityki bezpieczeństwa </w:t>
      </w:r>
      <w:proofErr w:type="spellStart"/>
      <w:r w:rsidRPr="00EA1258">
        <w:t>Kaji</w:t>
      </w:r>
      <w:proofErr w:type="spellEnd"/>
      <w:r w:rsidRPr="00EA1258">
        <w:t xml:space="preserve"> </w:t>
      </w:r>
      <w:proofErr w:type="spellStart"/>
      <w:r w:rsidRPr="00EA1258">
        <w:t>Kallas</w:t>
      </w:r>
      <w:proofErr w:type="spellEnd"/>
      <w:r w:rsidRPr="00EA1258">
        <w:t xml:space="preserve"> w sprawie naruszenia estońskiej przestrzeni powietrznej wygłoszone 22 września 2025 r. na sesji nadzwyczajnej Rady Bezpieczeństwa ONZ,</w:t>
      </w:r>
    </w:p>
    <w:p w14:paraId="54713C59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oświadczenie Rady Północnoatlantyckiej z 23 września 2025 r. w sprawie niedawnych naruszeń przestrzeni powietrznej przez Rosję,</w:t>
      </w:r>
    </w:p>
    <w:p w14:paraId="1724FA00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 xml:space="preserve">uwzględniając oświadczenie komisarza </w:t>
      </w:r>
      <w:proofErr w:type="spellStart"/>
      <w:r w:rsidRPr="00EA1258">
        <w:t>Andriusa</w:t>
      </w:r>
      <w:proofErr w:type="spellEnd"/>
      <w:r w:rsidRPr="00EA1258">
        <w:t xml:space="preserve"> </w:t>
      </w:r>
      <w:proofErr w:type="spellStart"/>
      <w:r w:rsidRPr="00EA1258">
        <w:t>Kubiliusa</w:t>
      </w:r>
      <w:proofErr w:type="spellEnd"/>
      <w:r w:rsidRPr="00EA1258">
        <w:t xml:space="preserve"> w sprawie współpracy w dziedzinie obrony wschodniej flanki, wydane 26 września 2025 r. po wideokonferencji wysokiego szczebla,</w:t>
      </w:r>
    </w:p>
    <w:p w14:paraId="00979969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 xml:space="preserve">uwzględniając uwagi przewodniczącego Rady </w:t>
      </w:r>
      <w:proofErr w:type="spellStart"/>
      <w:r w:rsidRPr="00EA1258">
        <w:t>Antónia</w:t>
      </w:r>
      <w:proofErr w:type="spellEnd"/>
      <w:r w:rsidRPr="00EA1258">
        <w:t xml:space="preserve"> </w:t>
      </w:r>
      <w:proofErr w:type="spellStart"/>
      <w:r w:rsidRPr="00EA1258">
        <w:t>Costy</w:t>
      </w:r>
      <w:proofErr w:type="spellEnd"/>
      <w:r w:rsidRPr="00EA1258">
        <w:t xml:space="preserve"> wygłoszone 1 października 2025 r. na konferencji prasowej po nieformalnym spotkaniu szefów państw lub rządów,</w:t>
      </w:r>
    </w:p>
    <w:p w14:paraId="52E50897" w14:textId="77777777" w:rsidR="00D65A9C" w:rsidRPr="00EA1258" w:rsidRDefault="00D65A9C" w:rsidP="00D65A9C">
      <w:pPr>
        <w:pStyle w:val="NormalHanging12a"/>
      </w:pPr>
      <w:r w:rsidRPr="00EA1258">
        <w:t>–</w:t>
      </w:r>
      <w:r w:rsidRPr="00EA1258">
        <w:tab/>
        <w:t>uwzględniając art. 136 ust. 2 i 4 Regulaminu,</w:t>
      </w:r>
    </w:p>
    <w:p w14:paraId="37877295" w14:textId="77777777" w:rsidR="00D65A9C" w:rsidRPr="00EA1258" w:rsidRDefault="00D65A9C" w:rsidP="00D65A9C">
      <w:pPr>
        <w:pStyle w:val="NormalHanging12a"/>
      </w:pPr>
      <w:r w:rsidRPr="00EA1258">
        <w:t>A.</w:t>
      </w:r>
      <w:r w:rsidRPr="00EA1258">
        <w:tab/>
        <w:t>mając na uwadze, że w ostatnich latach Rosja wielokrotnie dopuszczała się umyślnych aktów wojny hybrydowej na terytorium Unii, w tym przeprowadzała cyberataki, kampanie dezinformacyjne i ingerencje wyborcze, wykorzystywała energię jako broń, dokonywała podpaleń, sabotowała infrastrukturę krytyczną, zagłuszała i fałszowała sygnał globalnych systemów nawigacji satelitarnej (w tym GPS) oraz organizowała prowokacje wojskowe, co obejmowało również naruszanie przestrzeni powietrznej przez myśliwce i drony bojowe dalekiego zasięgu, i dążyła do szerzenia strachu wśród obywateli UE, destabilizacji sytuacji politycznej w państwach członkowskich i ograniczenia wsparcia UE dla Ukrainy;</w:t>
      </w:r>
    </w:p>
    <w:p w14:paraId="62438862" w14:textId="77777777" w:rsidR="00D65A9C" w:rsidRPr="00EA1258" w:rsidRDefault="00D65A9C" w:rsidP="00D65A9C">
      <w:pPr>
        <w:pStyle w:val="NormalHanging12a"/>
      </w:pPr>
      <w:r w:rsidRPr="00EA1258">
        <w:t>B.</w:t>
      </w:r>
      <w:r w:rsidRPr="00EA1258">
        <w:tab/>
        <w:t xml:space="preserve">mając na uwadze, że od początku </w:t>
      </w:r>
      <w:proofErr w:type="spellStart"/>
      <w:r w:rsidRPr="00EA1258">
        <w:t>pełnoskalowej</w:t>
      </w:r>
      <w:proofErr w:type="spellEnd"/>
      <w:r w:rsidRPr="00EA1258">
        <w:t xml:space="preserve"> inwazji Rosji na Ukrainę dochodzi do naruszania przestrzeni powietrznej NATO i UE, co jest rażącym naruszeniem suwerenności państw członkowskich i prawa międzynarodowego, oraz że w ostatnim czasie działania te osiągnęły bezprecedensową skalę, co rodzi pytanie, czy Rosja próbuje przetestować determinację NATO czy też próbuje przekierować uwagę i zasoby sojuszu, oddalając je od wojny w Ukrainie;</w:t>
      </w:r>
    </w:p>
    <w:p w14:paraId="53D3F1AA" w14:textId="77777777" w:rsidR="00D65A9C" w:rsidRPr="00EA1258" w:rsidRDefault="00D65A9C" w:rsidP="00D65A9C">
      <w:pPr>
        <w:pStyle w:val="NormalHanging12a"/>
      </w:pPr>
      <w:r w:rsidRPr="00EA1258">
        <w:t>C.</w:t>
      </w:r>
      <w:r w:rsidRPr="00EA1258">
        <w:tab/>
        <w:t xml:space="preserve">mając na uwadze, że 28 lipca 2025 r. rosyjski dron z materiałami wybuchowymi wtargnął od strony Białorusi w litewską przestrzeń powietrzną i rozbił się na litewskim poligonie wojskowym; mając na uwadze, że 4 października 2025 r. w litewską przestrzeń powietrzną wtargnęły od strony Białorusi balony meteorologiczne wykorzystywane do przemytu i poważnie zakłóciły działalność międzynarodowego </w:t>
      </w:r>
      <w:r w:rsidRPr="00EA1258">
        <w:lastRenderedPageBreak/>
        <w:t>lotniska w Wilnie;</w:t>
      </w:r>
    </w:p>
    <w:p w14:paraId="04EAED57" w14:textId="77777777" w:rsidR="00D65A9C" w:rsidRPr="00EA1258" w:rsidRDefault="00D65A9C" w:rsidP="00D65A9C">
      <w:pPr>
        <w:pStyle w:val="NormalHanging12a"/>
      </w:pPr>
      <w:r w:rsidRPr="00EA1258">
        <w:t>D.</w:t>
      </w:r>
      <w:r w:rsidRPr="00EA1258">
        <w:tab/>
        <w:t xml:space="preserve">mając na uwadze, że 10 września 2025 r. około 20 rosyjskich dronów wleciało w głąb terytorium Polski, zanim po siedmiu godzinach zostały zastrzelone przez myśliwce NATO lub rozbiły się, co stanowi pierwszą bezpośrednią konfrontację wojskową między NATO a Rosją od początku </w:t>
      </w:r>
      <w:proofErr w:type="spellStart"/>
      <w:r w:rsidRPr="00EA1258">
        <w:t>pełnoskalowej</w:t>
      </w:r>
      <w:proofErr w:type="spellEnd"/>
      <w:r w:rsidRPr="00EA1258">
        <w:t xml:space="preserve"> inwazji;</w:t>
      </w:r>
    </w:p>
    <w:p w14:paraId="439FC945" w14:textId="77777777" w:rsidR="00D65A9C" w:rsidRPr="00EA1258" w:rsidRDefault="00D65A9C" w:rsidP="00D65A9C">
      <w:pPr>
        <w:pStyle w:val="NormalHanging12a"/>
      </w:pPr>
      <w:r w:rsidRPr="00EA1258">
        <w:t>E.</w:t>
      </w:r>
      <w:r w:rsidRPr="00EA1258">
        <w:tab/>
        <w:t>mając na uwadze, że 19 września 2025 r. trzy rosyjskie samoloty myśliwskie MiG-31 przez dwanaście minut bezprawnie przebywały w estońskiej przestrzeni powietrznej, wtargnęły do strefy bezpieczeństwa nad polską platformą wiertniczą na Morzu Bałtyckim, zignorowały komunikaty pilotów samolotów F-35 i ostatecznie pod eskortą powróciły do międzynarodowej przestrzeni powietrznej;</w:t>
      </w:r>
    </w:p>
    <w:p w14:paraId="63F92B6A" w14:textId="77777777" w:rsidR="00D65A9C" w:rsidRPr="00EA1258" w:rsidRDefault="00D65A9C" w:rsidP="00D65A9C">
      <w:pPr>
        <w:pStyle w:val="NormalHanging12a"/>
      </w:pPr>
      <w:r w:rsidRPr="00EA1258">
        <w:t>F.</w:t>
      </w:r>
      <w:r w:rsidRPr="00EA1258">
        <w:tab/>
        <w:t>mając na uwadze, że 25 września 2025 r. na Litwie poderwano węgierskie myśliwce Gripen, aby przechwycić grupę pięciu rosyjskich myśliwców, które latały w pobliżu przestrzeni powietrznej NATO, nie stosując się do międzynarodowych przepisów dotyczących bezpieczeństwa lotów; mając na uwadze, że na zachód od łotewskiego wybrzeża zidentyfikowano wzrokowo statek powietrzny, który następnie odeskortowano poza przestrzeń powietrzną NATO;</w:t>
      </w:r>
    </w:p>
    <w:p w14:paraId="6903690E" w14:textId="77777777" w:rsidR="00D65A9C" w:rsidRPr="00EA1258" w:rsidRDefault="00D65A9C" w:rsidP="00D65A9C">
      <w:pPr>
        <w:pStyle w:val="NormalHanging12a"/>
      </w:pPr>
      <w:r w:rsidRPr="00EA1258">
        <w:t>G.</w:t>
      </w:r>
      <w:r w:rsidRPr="00EA1258">
        <w:tab/>
        <w:t xml:space="preserve">mając na uwadze, że od lutego 2022 r. rosyjskie drony 11 razy wtargnęły w rumuńską przestrzeń powietrzną, a ponadto 39 razy na terytorium Rumunii spadły fragmenty dronów; mając na uwadze, że ostatnio 13 września 2025 r. rosyjski dron </w:t>
      </w:r>
      <w:proofErr w:type="spellStart"/>
      <w:r w:rsidRPr="00EA1258">
        <w:t>Gerań</w:t>
      </w:r>
      <w:proofErr w:type="spellEnd"/>
      <w:r w:rsidRPr="00EA1258">
        <w:t xml:space="preserve"> ponownie naruszył rumuńską przestrzeń powietrzną i został przechwycony przez dwa myśliwce F-16; mając na uwadze, że podobne incydenty miały miejsce również w Republice Mołdawii;</w:t>
      </w:r>
    </w:p>
    <w:p w14:paraId="42E23F56" w14:textId="77777777" w:rsidR="00D65A9C" w:rsidRPr="00EA1258" w:rsidRDefault="00D65A9C" w:rsidP="00D65A9C">
      <w:pPr>
        <w:pStyle w:val="NormalHanging12a"/>
      </w:pPr>
      <w:r w:rsidRPr="00EA1258">
        <w:t>H.</w:t>
      </w:r>
      <w:r w:rsidRPr="00EA1258">
        <w:tab/>
        <w:t>mając na uwadze, że Dania, Szwecja, Norwegia, Litwa, Francja, Niemcy i Belgia odnotowały skoordynowane naruszenia przestrzeni powietrznej z użyciem dronów nad cywilnymi i wojskowymi portami lotniczymi lub obiektami wojskowymi bądź w ich pobliżu, co spowodowało tymczasowe zamknięcie portów lotniczych;</w:t>
      </w:r>
    </w:p>
    <w:p w14:paraId="7CA4ACBE" w14:textId="77777777" w:rsidR="00D65A9C" w:rsidRPr="00EA1258" w:rsidRDefault="00D65A9C" w:rsidP="00D65A9C">
      <w:pPr>
        <w:pStyle w:val="NormalHanging12a"/>
      </w:pPr>
      <w:r w:rsidRPr="00EA1258">
        <w:t>I.</w:t>
      </w:r>
      <w:r w:rsidRPr="00EA1258">
        <w:tab/>
        <w:t xml:space="preserve">mając na uwadze, że niedawne przypadki naruszenia przestrzeni powietrznej przez drony w regionie Morza Bałtyckiego pokazują, że istnieje poważne hybrydowe zagrożenie dla bezpiecznej i skutecznej realizacji inicjatywy jednolitej europejskiej przestrzeni powietrznej; mając na uwadze, że przeloty dronów uszkodziły infrastrukturę i spowodowały straty gospodarcze; </w:t>
      </w:r>
    </w:p>
    <w:p w14:paraId="5483E172" w14:textId="77777777" w:rsidR="00D65A9C" w:rsidRPr="00EA1258" w:rsidRDefault="00D65A9C" w:rsidP="00D65A9C">
      <w:pPr>
        <w:pStyle w:val="NormalHanging12a"/>
      </w:pPr>
      <w:r w:rsidRPr="00EA1258">
        <w:t>J.</w:t>
      </w:r>
      <w:r w:rsidRPr="00EA1258">
        <w:tab/>
        <w:t>mając na uwadze, że drony mogły wystartować ze statków, w tym statków należących do rosyjskiej floty cieni działającej na Morzu Bałtyckim w celu obchodzenia sankcji;</w:t>
      </w:r>
    </w:p>
    <w:p w14:paraId="626CA5F5" w14:textId="77777777" w:rsidR="00D65A9C" w:rsidRPr="00EA1258" w:rsidRDefault="00D65A9C" w:rsidP="00D65A9C">
      <w:pPr>
        <w:pStyle w:val="NormalHanging12a"/>
      </w:pPr>
      <w:r w:rsidRPr="00EA1258">
        <w:t>K.</w:t>
      </w:r>
      <w:r w:rsidRPr="00EA1258">
        <w:tab/>
        <w:t>mając na uwadze, że europejscy przywódcy uznali te incydenty za celową prowokację ze strony Rosji i postrzegają je jako niebezpieczne i nieodpowiedzialne działania Rosji, natomiast Rosja konsekwentnie wypiera się odpowiedzialności za takie incydenty, zaprzecza wszystkim dowodom, oskarża państwa członkowskie o fabrykowanie sprawozdań i rozpowszechnia dezinformację w celu zdyskredytowania UE i jej sojuszników, a także niesłusznie obwinia Ukrainę;</w:t>
      </w:r>
    </w:p>
    <w:p w14:paraId="7D279625" w14:textId="77777777" w:rsidR="00D65A9C" w:rsidRPr="00EA1258" w:rsidRDefault="00D65A9C" w:rsidP="00D65A9C">
      <w:pPr>
        <w:pStyle w:val="NormalHanging12a"/>
      </w:pPr>
      <w:r w:rsidRPr="00EA1258">
        <w:t>L.</w:t>
      </w:r>
      <w:r w:rsidRPr="00EA1258">
        <w:tab/>
        <w:t xml:space="preserve">mając na uwadze, że po tych wtargnięciach sojusznicy NATO, w tym Polska i Estonia, powołali się na art. 4 Traktatu Północnoatlantyckiego; mając na uwadze, że państwa członkowskie UE omawiały te wtargnięcia na posiedzeniach swoich stałych </w:t>
      </w:r>
      <w:r w:rsidRPr="00EA1258">
        <w:lastRenderedPageBreak/>
        <w:t>przedstawicieli;</w:t>
      </w:r>
    </w:p>
    <w:p w14:paraId="72B80A17" w14:textId="77777777" w:rsidR="00D65A9C" w:rsidRPr="00EA1258" w:rsidRDefault="00D65A9C" w:rsidP="00D65A9C">
      <w:pPr>
        <w:pStyle w:val="NormalHanging12a"/>
      </w:pPr>
      <w:r w:rsidRPr="00EA1258">
        <w:t>M.</w:t>
      </w:r>
      <w:r w:rsidRPr="00EA1258">
        <w:tab/>
        <w:t>mając na uwadze, że w następstwie wydarzeń w Polsce NATO rozpoczęło operację Wschodni Strażnik, która ma na celu ochronę krytycznej infrastruktury podmorskiej na Morzu Bałtyckim, poprawę świadomości sytuacyjnej na morzu w odpowiedzi na rosyjski sabotaż i zwiększenie gotowości obrony powietrznej wzdłuż całej wschodniej flanki, a Finlandia, Szwecja i Dania wzięły udział w manewrach „</w:t>
      </w:r>
      <w:proofErr w:type="spellStart"/>
      <w:r w:rsidRPr="00EA1258">
        <w:t>Protective</w:t>
      </w:r>
      <w:proofErr w:type="spellEnd"/>
      <w:r w:rsidRPr="00EA1258">
        <w:t xml:space="preserve"> </w:t>
      </w:r>
      <w:proofErr w:type="spellStart"/>
      <w:r w:rsidRPr="00EA1258">
        <w:t>Fence</w:t>
      </w:r>
      <w:proofErr w:type="spellEnd"/>
      <w:r w:rsidRPr="00EA1258">
        <w:t xml:space="preserve"> 25”, aby wzmocnić zdolności obronne, odstraszanie i gotowość w oparciu o współpracę rozproszonych formacji;</w:t>
      </w:r>
    </w:p>
    <w:p w14:paraId="19680FEA" w14:textId="77777777" w:rsidR="00D65A9C" w:rsidRPr="00EA1258" w:rsidRDefault="00D65A9C" w:rsidP="00D65A9C">
      <w:pPr>
        <w:pStyle w:val="NormalHanging12a"/>
      </w:pPr>
      <w:r w:rsidRPr="00EA1258">
        <w:t>N.</w:t>
      </w:r>
      <w:r w:rsidRPr="00EA1258">
        <w:tab/>
        <w:t xml:space="preserve">mając na uwadze, że od 24 lutego 2022 r. Rosja prowadzi bezprawną, niesprowokowaną i nieuzasadnioną </w:t>
      </w:r>
      <w:proofErr w:type="spellStart"/>
      <w:r w:rsidRPr="00EA1258">
        <w:t>pełnoskalową</w:t>
      </w:r>
      <w:proofErr w:type="spellEnd"/>
      <w:r w:rsidRPr="00EA1258">
        <w:t xml:space="preserve"> wojnę napastniczą przeciw Ukrainie, co jest rażącym naruszeniem Karty Narodów Zjednoczonych oraz podstawowych zasad prawa międzynarodowego i międzynarodowego prawa humanitarnego; mając na uwadze, że siły rosyjskie nadal systematycznie przeprowadzają ataki </w:t>
      </w:r>
      <w:proofErr w:type="spellStart"/>
      <w:r w:rsidRPr="00EA1258">
        <w:t>dronowe</w:t>
      </w:r>
      <w:proofErr w:type="spellEnd"/>
      <w:r w:rsidRPr="00EA1258">
        <w:t xml:space="preserve"> i rakietowe na ukraińskie miasta, atakując ludność cywilną, w tym karetki pogotowia i personel ratowniczy; mając na uwadze, że użycie dronów przeciwko łatwo identyfikowalnym celom cywilnym, rozpowszechnianie nagrań z tych zabójstw oraz publikowanie wyraźnych gróźb w mediach społecznościowych świadczy o skoordynowanej polityce państwa mającej zastraszyć ludność i zmusić ją do ucieczki; mając na uwadze, że podczas niedawnych ataków trafiono ukraińskie budynki rządowe, a także placówkę UE i ambasadę Polski, co dowodzi, że Kreml planuje te uderzenia z premedytacją; mając na uwadze, że Rosja produkuje tysiące dronów miesięcznie i dalej zwiększa swoje zdolności produkcyjne;</w:t>
      </w:r>
    </w:p>
    <w:p w14:paraId="48374BB7" w14:textId="77777777" w:rsidR="00D65A9C" w:rsidRPr="00EA1258" w:rsidRDefault="00D65A9C" w:rsidP="00D65A9C">
      <w:pPr>
        <w:pStyle w:val="NormalHanging12a"/>
      </w:pPr>
      <w:r w:rsidRPr="00EA1258">
        <w:t>O.</w:t>
      </w:r>
      <w:r w:rsidRPr="00EA1258">
        <w:tab/>
        <w:t>mając na uwadze, że bezpieczeństwo Ukrainy jest powiązane z bezpieczeństwem europejskim, transatlantyckim i globalnym, a Rosja zamierza skłonić NATO do przekierowania jego uwagi i zasobów ze wspierania Ukrainy na obronę własnego terytorium;</w:t>
      </w:r>
    </w:p>
    <w:p w14:paraId="0C607ECE" w14:textId="77777777" w:rsidR="00D65A9C" w:rsidRPr="00EA1258" w:rsidRDefault="00D65A9C" w:rsidP="00D65A9C">
      <w:pPr>
        <w:pStyle w:val="NormalHanging12a"/>
      </w:pPr>
      <w:r w:rsidRPr="00EA1258">
        <w:t>P.</w:t>
      </w:r>
      <w:r w:rsidRPr="00EA1258">
        <w:tab/>
        <w:t>mając na uwadze, że niektóre kraje NATO, w tym Polska, ostrzegły, że są gotowe zestrzeliwać rosyjskie statki powietrzne wlatujące na ich terytorium, a NATO podkreśla, że decyzje o podjęciu działania wobec samolotów naruszających przestrzeń opierają się na dostępnych danych wywiadowczych dotyczących zagrożenia, jakie stwarzają, z uwzględnieniem intencji i rodzaju uzbrojenia;</w:t>
      </w:r>
    </w:p>
    <w:p w14:paraId="6CED57B6" w14:textId="77777777" w:rsidR="00D65A9C" w:rsidRPr="00EA1258" w:rsidRDefault="00D65A9C" w:rsidP="00D65A9C">
      <w:pPr>
        <w:pStyle w:val="NormalHanging12a"/>
      </w:pPr>
      <w:r w:rsidRPr="00EA1258">
        <w:t>Q.</w:t>
      </w:r>
      <w:r w:rsidRPr="00EA1258">
        <w:tab/>
        <w:t>mając na uwadze, że stanowisko Stanów Zjednoczonych w sprawie rosyjskiej wojny napastniczej przeciwko Ukrainie jest nieprzewidywalne, co sprawia, że UE i jej państwa członkowskie stają się głównymi strategicznymi sojusznikami Ukrainy, a to wymaga silniejszej, jednolitej reakcji europejskiej w celu obrony obywateli UE, stabilności regionalnej i pokoju międzynarodowego; mając na uwadze, że współpraca UE i USA w dziedzinie bezpieczeństwa i obrony nadal ma kluczowe znaczenie i należy ją zacieśniać; mając na uwadze, że skuteczne odstraszanie przed rosyjską agresją wymaga solidnych gwarancji bezpieczeństwa, koordynowanych wspólnie przez UE i Stany Zjednoczone;</w:t>
      </w:r>
    </w:p>
    <w:p w14:paraId="684AC7C4" w14:textId="77777777" w:rsidR="00D65A9C" w:rsidRPr="00EA1258" w:rsidRDefault="00D65A9C" w:rsidP="00D65A9C">
      <w:pPr>
        <w:pStyle w:val="NormalHanging12a"/>
      </w:pPr>
      <w:r w:rsidRPr="00EA1258">
        <w:t>R.</w:t>
      </w:r>
      <w:r w:rsidRPr="00EA1258">
        <w:tab/>
        <w:t>mając na uwadze, że systemy obrony powietrznej chroniące przed bezzałogowymi statkami powietrznymi opierają się na działaniach kinetycznych lub środkach przeciwdziałania elektronicznego, w szczególności urządzeniach zakłócających, które uniemożliwiają kontrolę nad dronem lub powodują jego lądowanie;</w:t>
      </w:r>
    </w:p>
    <w:p w14:paraId="17DEA4B7" w14:textId="1C03A34E" w:rsidR="00D65A9C" w:rsidRPr="00EA1258" w:rsidRDefault="00D65A9C" w:rsidP="00D65A9C">
      <w:pPr>
        <w:pStyle w:val="NormalHanging12a"/>
      </w:pPr>
      <w:r w:rsidRPr="00EA1258">
        <w:t>S.</w:t>
      </w:r>
      <w:r w:rsidRPr="00EA1258">
        <w:tab/>
        <w:t xml:space="preserve">mając na uwadze, że w celu zapewnienia bezpieczeństwa nieformalnego spotkania </w:t>
      </w:r>
      <w:r w:rsidRPr="00EA1258">
        <w:lastRenderedPageBreak/>
        <w:t>szefów państw lub rządów UE, które odbyło się 1 i 2 października 2025 r. w Kopenhadze, władze duńskie całkowicie zakazały cywilnych lotów dronami w duńskiej przestrzeni powietrznej od 29 września do 3 października</w:t>
      </w:r>
      <w:r w:rsidR="00BE0785">
        <w:t xml:space="preserve"> 2025 r.</w:t>
      </w:r>
      <w:r w:rsidRPr="00EA1258">
        <w:t>; mając na uwadze, że kilka państw członkowskich wsparło Danię w zapewnieniu bezpieczeństwa w związku z tym nieformalnym spotkaniem;</w:t>
      </w:r>
    </w:p>
    <w:p w14:paraId="5361B348" w14:textId="77777777" w:rsidR="00D65A9C" w:rsidRPr="00EA1258" w:rsidRDefault="00D65A9C" w:rsidP="00D65A9C">
      <w:pPr>
        <w:pStyle w:val="NormalHanging12a"/>
      </w:pPr>
      <w:r w:rsidRPr="00EA1258">
        <w:t>T.</w:t>
      </w:r>
      <w:r w:rsidRPr="00EA1258">
        <w:tab/>
        <w:t xml:space="preserve">mając na uwadze, że z oświadczenia przewodniczącego Rady </w:t>
      </w:r>
      <w:proofErr w:type="spellStart"/>
      <w:r w:rsidRPr="00EA1258">
        <w:t>Antónia</w:t>
      </w:r>
      <w:proofErr w:type="spellEnd"/>
      <w:r w:rsidRPr="00EA1258">
        <w:t xml:space="preserve"> </w:t>
      </w:r>
      <w:proofErr w:type="spellStart"/>
      <w:r w:rsidRPr="00EA1258">
        <w:t>Costy</w:t>
      </w:r>
      <w:proofErr w:type="spellEnd"/>
      <w:r w:rsidRPr="00EA1258">
        <w:t xml:space="preserve"> z 1 października 2025 r., wydanego po nieformalnym posiedzeniu szefów państw lub rządów, jasno wynika gotowość do poprawy interoperacyjności w kwestii zdolności, poważne zobowiązanie do realizacji sztandarowej inicjatywy na rzecz ochrony wschodniej flanki, w tym w ramach koalicji na rzecz zdolności, koordynowanych przez odpowiednie kraje, oraz unijnej inicjatywy na rzecz unijnej zapory </w:t>
      </w:r>
      <w:proofErr w:type="spellStart"/>
      <w:r w:rsidRPr="00EA1258">
        <w:t>antydronowej</w:t>
      </w:r>
      <w:proofErr w:type="spellEnd"/>
      <w:r w:rsidRPr="00EA1258">
        <w:t>, co podkreśla zobowiązanie UE i NATO do obrony zbiorowej przed zagrożeniami konwencjonalnymi i hybrydowymi oraz do poprawy bezpieczeństwa i zagwarantowania stabilności w regionie;</w:t>
      </w:r>
    </w:p>
    <w:p w14:paraId="6627B0D6" w14:textId="77777777" w:rsidR="00D65A9C" w:rsidRPr="00EA1258" w:rsidRDefault="00D65A9C" w:rsidP="00D65A9C">
      <w:pPr>
        <w:pStyle w:val="NormalHanging12a"/>
      </w:pPr>
      <w:r w:rsidRPr="00EA1258">
        <w:t>U.</w:t>
      </w:r>
      <w:r w:rsidRPr="00EA1258">
        <w:tab/>
        <w:t xml:space="preserve">mając na uwadze, że niedawne naruszenia przestrzeni powietrznej wymagają odważnej reakcji i kompleksowego podejścia w przyszłym planie działania na rzecz gotowości obronnej do 2030 r.; </w:t>
      </w:r>
    </w:p>
    <w:p w14:paraId="1BB80039" w14:textId="77777777" w:rsidR="00D65A9C" w:rsidRPr="00EA1258" w:rsidRDefault="00D65A9C" w:rsidP="00D65A9C">
      <w:pPr>
        <w:pStyle w:val="NormalHanging12a"/>
      </w:pPr>
      <w:r w:rsidRPr="00EA1258">
        <w:t>V.</w:t>
      </w:r>
      <w:r w:rsidRPr="00EA1258">
        <w:tab/>
        <w:t>mając na uwadze, że proces budowy w pełni rozwiniętej wielowarstwowej obrony przestrzeni powietrznej powinien był się rozpocząć po bezprawnej aneksji Krymu; mając na uwadze, że podejmowanie decyzji, finansowanie, udzielanie zamówień i nabywanie, a także gotowość operacyjna wymagają czasu;</w:t>
      </w:r>
    </w:p>
    <w:p w14:paraId="7CED558F" w14:textId="77777777" w:rsidR="00D65A9C" w:rsidRPr="00EA1258" w:rsidRDefault="00D65A9C" w:rsidP="00D65A9C">
      <w:pPr>
        <w:pStyle w:val="NormalHanging12a"/>
      </w:pPr>
      <w:r w:rsidRPr="00EA1258">
        <w:t>W.</w:t>
      </w:r>
      <w:r w:rsidRPr="00EA1258">
        <w:tab/>
        <w:t>mając na uwadze, że dla Bułgarii, Danii, Estonii, Finlandii, Niemiec, Węgier, Łotwy, Litwy, Polski, Rumunii, Słowacji i Szwecji kluczowe znaczenie miałoby pełne rozwinięcie zdolności UE w zakresie bezzałogowych statków powietrznych wzdłuż wschodniej flanki NATO oraz w regionie Morza Bałtyckiego i Morza Czarnego; mając na uwadze, że taka zdolność wymagałaby znacznych europejskich inwestycji związanych z obronnością w obecnych i kolejnych wieloletnich ramach finansowych;</w:t>
      </w:r>
    </w:p>
    <w:p w14:paraId="37F83A66" w14:textId="77777777" w:rsidR="00D65A9C" w:rsidRPr="00EA1258" w:rsidRDefault="00D65A9C" w:rsidP="00D65A9C">
      <w:pPr>
        <w:pStyle w:val="NormalHanging12a"/>
      </w:pPr>
      <w:r w:rsidRPr="00EA1258">
        <w:t>X.</w:t>
      </w:r>
      <w:r w:rsidRPr="00EA1258">
        <w:tab/>
        <w:t>mając na uwadze, że istnieje pilna potrzeba podjęcia działań na rzecz wzmocnienia europejskiej bazy technologiczno-przemysłowej sektora obronnego w celu zwiększenia zdolności produkcyjnych przemysłu obronnego UE, wzmocnienia konkurencyjności europejskiego przemysłu obronnego i zabezpieczenia dostaw produktów związanych z obronnością;</w:t>
      </w:r>
    </w:p>
    <w:p w14:paraId="48E520D0" w14:textId="77777777" w:rsidR="00D65A9C" w:rsidRPr="00EA1258" w:rsidRDefault="00D65A9C" w:rsidP="00D65A9C">
      <w:pPr>
        <w:pStyle w:val="NormalHanging12a"/>
      </w:pPr>
      <w:r w:rsidRPr="00EA1258">
        <w:t>Y.</w:t>
      </w:r>
      <w:r w:rsidRPr="00EA1258">
        <w:tab/>
        <w:t>mając na uwadze, że potrzebne są stałe wysiłki i inwestycje, aby wspierać innowacje technologiczne i badania w dziedzinie obronności w celu wsparcia europejskiej bazy technologiczno-przemysłowej sektora obronnego oraz europejskiej autonomii strategicznej;</w:t>
      </w:r>
    </w:p>
    <w:p w14:paraId="1928A986" w14:textId="71EC6EE4" w:rsidR="00D65A9C" w:rsidRPr="00EA1258" w:rsidRDefault="00D65A9C" w:rsidP="00D65A9C">
      <w:pPr>
        <w:pStyle w:val="NormalHanging12a"/>
      </w:pPr>
      <w:r w:rsidRPr="00EA1258">
        <w:t>1.</w:t>
      </w:r>
      <w:r w:rsidRPr="00EA1258">
        <w:tab/>
        <w:t xml:space="preserve">wyraża pełną solidarność z Mołdawią, a także z Danią, Szwecją, Polską, </w:t>
      </w:r>
      <w:r w:rsidR="00693337">
        <w:t xml:space="preserve">Litwą, Łotwą, </w:t>
      </w:r>
      <w:r w:rsidRPr="00EA1258">
        <w:t xml:space="preserve">Finlandią, Rumunią i Estonią oraz ze wszystkimi innymi państwami członkowskimi narażonymi na bezpośrednie groźby, prowokacje wojskowe i akty wojny hybrydowej ze strony Rosji; uważa, że wykorzystywanie bezzałogowych statków powietrznych przez rosyjskich agentów do celowego zakłócania ruchu lotniczego w UE, do atakowania krytycznych usług i infrastruktury wojskowej w UE oraz do zakłócania funkcjonowania instytucji politycznych UE i jej państw członkowskich ma charakter eskalacyjny, kryje w sobie ryzyko błędnej oceny sytuacji, zagraża życiu, stanowi poważne naruszenie </w:t>
      </w:r>
      <w:r w:rsidRPr="00EA1258">
        <w:lastRenderedPageBreak/>
        <w:t>obowiązujących norm międzynarodowych i stwarza istotne zagrożenie dla obywateli UE oraz dla pokoju i bezpieczeństwa w Europie;</w:t>
      </w:r>
    </w:p>
    <w:p w14:paraId="47FC4AFA" w14:textId="77777777" w:rsidR="00D65A9C" w:rsidRPr="00EA1258" w:rsidRDefault="00D65A9C" w:rsidP="00D65A9C">
      <w:pPr>
        <w:pStyle w:val="NormalHanging12a"/>
      </w:pPr>
      <w:r w:rsidRPr="00EA1258">
        <w:t>2.</w:t>
      </w:r>
      <w:r w:rsidRPr="00EA1258">
        <w:tab/>
      </w:r>
      <w:bookmarkStart w:id="6" w:name="_Hlk210749729"/>
      <w:r w:rsidRPr="00EA1258">
        <w:t>popiera wszelkie inicjatywy, które umożliwiają UE i jej państwom członkowskim podejmowanie skoordynowanych, wspólnych i proporcjonalnych działań w każdym przypadku naruszenia ich przestrzeni powietrznej, w tym zestrzeliwanie obiektów stwarzających zagrożenie w powietrzu; zdecydowanie potępia lekkomyślne i prowokujące eskalację działania Rosji polegające na naruszaniu przestrzeni powietrznej państw członkowskich UE i sojuszników NATO: Polski, Estonii, Łotwy, Litwy i Rumunii, a także celowe wtargnięcia z użyciem dronów wymierzone w infrastrukturę krytyczną w Danii, Szwecji i Norwegii, będące częścią systematycznej wojny konwencjonalnej i hybrydowej oraz prowokacji przeciwko UE i jej państwom członkowskim; oświadcza, że Rosja ponosi pełną i jednoznaczną odpowiedzialność za działania, które miały miejsce w polskiej, estońskiej i rumuńskiej przestrzeni powietrznej;</w:t>
      </w:r>
      <w:bookmarkEnd w:id="6"/>
    </w:p>
    <w:p w14:paraId="34D535BB" w14:textId="77777777" w:rsidR="00D65A9C" w:rsidRPr="00EA1258" w:rsidRDefault="00D65A9C" w:rsidP="00D65A9C">
      <w:pPr>
        <w:pStyle w:val="NormalHanging12a"/>
      </w:pPr>
      <w:r w:rsidRPr="00EA1258">
        <w:t>3.</w:t>
      </w:r>
      <w:r w:rsidRPr="00EA1258">
        <w:tab/>
        <w:t>z zadowoleniem odnotowuje zdecydowaną i proporcjonalną reakcję sił NATO, w tym przechwycenie rosyjskich myśliwców i odeskortowanie ich poza estońską przestrzeń powietrzną oraz zestrzelenie rosyjskich dronów nad Polską; odnotowuje szybką i skoordynowaną reakcję sił zbrojnych niektórych państw członkowskich i partnerów z NATO w celu ochrony europejskiej przestrzeni powietrznej; w pełni popiera wysiłki NATO służące wzmocnieniu jego zdolności i udoskonaleniu odstraszania, obrony powietrznej i zbiorowej postawy obronnej wzdłuż wschodniej flanki, w tym poprzez rozpoczęcie operacji Wschodni Strażnik oraz zastosowanie pełnego spektrum środków w jej ramach;</w:t>
      </w:r>
    </w:p>
    <w:p w14:paraId="727B29C3" w14:textId="77777777" w:rsidR="00D65A9C" w:rsidRPr="00EA1258" w:rsidRDefault="00D65A9C" w:rsidP="00D65A9C">
      <w:pPr>
        <w:pStyle w:val="NormalHanging12a"/>
      </w:pPr>
      <w:r w:rsidRPr="00EA1258">
        <w:t>4.</w:t>
      </w:r>
      <w:r w:rsidRPr="00EA1258">
        <w:tab/>
        <w:t>wzywa Radę i Komisję do poprawy skuteczności i wpływu sankcji nałożonych na Rosję, aby ostatecznie osłabić jej zdolność do kontynuowania brutalnej wojny napastniczej przeciwko Ukrainie i do stwarzania zagrożenia dla bezpieczeństwa innych krajów sąsiadujących; apeluje o natychmiastowe przyjęcie zdecydowanego 19. pakietu sankcji, który będzie wymierzony w główne rosyjskie źródła dochodów; wzywa Radę, aby wraz ze swoimi amerykańskimi partnerami utrzymała i rozszerzyła politykę sankcji wobec Rosji oraz by stosowała podobną politykę sankcji wobec wszystkich państw umożliwiających Rosji te działania, w tym Białorusi, Iranu i Korei Północnej, a także by nałożyła sankcje chińskie podmioty dostarczające technologie i produkty podwójnego zastosowania oraz produkty wojskowe niezbędne do produkcji dronów i pocisków rakietowych; apeluje o ukierunkowane sankcje wobec rosyjskiej floty cieni i o dalsze działania przeciwko niej z wykorzystaniem pełnej skali prawnych możliwości wstrzymywania, utrudniania lub uniemożliwiania jej operacji, zważywszy na jej potencjalny udział w atakowaniu infrastruktury krytycznej przy użyciu dronów; wzywa Radę, aby systematycznie walczyła z problemem obchodzenia sankcji przez działające w złej wierze podmioty spoza UE mające siedzibę w UE poprzez dogłębne badanie spraw i ostrzejsze kary dla podmiotów, które naruszają sankcje lub nie dochowują należytej staranności w kontroli wywozu i w weryfikacji użytkowników końcowych; przypomina, że wszelkie formy wsparcia udzielanego agresorowi przez państwa takie jak Iran, Korea Północna czy Chiny muszą mieć bezpośredni wpływ na stosunki z tymi krajami we wszystkich innych dziedzinach, w tym w handlu;</w:t>
      </w:r>
    </w:p>
    <w:p w14:paraId="79FE0E14" w14:textId="77777777" w:rsidR="00D65A9C" w:rsidRPr="00EA1258" w:rsidRDefault="00D65A9C" w:rsidP="00D65A9C">
      <w:pPr>
        <w:pStyle w:val="NormalHanging12a"/>
      </w:pPr>
      <w:r w:rsidRPr="00EA1258">
        <w:t>5.</w:t>
      </w:r>
      <w:r w:rsidRPr="00EA1258">
        <w:tab/>
        <w:t xml:space="preserve">podkreśla, że UE i jej państwa członkowskie są nadal mocno zaangażowane na rzecz międzynarodowego porządku opartego na zasadach oraz we wszystkie wysiłki dyplomatyczne mające na celu osiągnięcie kompleksowego, sprawiedliwego i trwałego </w:t>
      </w:r>
      <w:r w:rsidRPr="00EA1258">
        <w:lastRenderedPageBreak/>
        <w:t>pokoju dla Ukrainy, przy pełnym poszanowaniu jej suwerenności, niezależności i integralności terytorialnej w granicach uznanych przez społeczność międzynarodową; w związku z tym wzywa państwa członkowskie i UE do ścisłej i skutecznej koordynacji jej inicjatyw dyplomatycznych w organizacjach wielostronnych, w tym w ONZ, aby przeciwdziałać systematycznym naruszeniom prawa międzynarodowego przez Rosję;</w:t>
      </w:r>
    </w:p>
    <w:p w14:paraId="226F195E" w14:textId="77777777" w:rsidR="00D65A9C" w:rsidRPr="00EA1258" w:rsidRDefault="00D65A9C" w:rsidP="00D65A9C">
      <w:pPr>
        <w:pStyle w:val="NormalHanging12a"/>
      </w:pPr>
      <w:r w:rsidRPr="00EA1258">
        <w:t>6.</w:t>
      </w:r>
      <w:r w:rsidRPr="00EA1258">
        <w:tab/>
        <w:t>wzywa Komisję i Radę, aby opracowały plan działania przewidujący środki zapobiegające i przeciwdziałające eskalacji rosyjskiej wojny hybrydowej prowadzonej przez Rosję przeciwko UE na lądzie, w powietrzu, na morzu i w przestrzeni cyfrowej; zwraca uwagę, że tego rodzaju ramy zapewnią możliwość wyboru działań odwetowych UE odpowiadających dotkliwości i intensywności wrogich działań podejmowanych przeciwko niej; wzywa państwa członkowskie do przeglądu, we współpracy z sojusznikami NATO, zasad zaangażowania w odniesieniu do wszystkich rodzajów zagrożeń, aby zagwarantować, że są one odpowiednie do reagowania na najbardziej innowacyjne zagrożenia; zaznacza, że UE musi wykazać determinację oraz zasygnalizować, że wszelkie próby naruszenia suwerenności państw członkowskich przez państwo spoza UE spotkają się natychmiast z działaniami odwetowymi;</w:t>
      </w:r>
    </w:p>
    <w:p w14:paraId="1B2CE79E" w14:textId="77777777" w:rsidR="00D65A9C" w:rsidRPr="00EA1258" w:rsidRDefault="00D65A9C" w:rsidP="00D65A9C">
      <w:pPr>
        <w:pStyle w:val="NormalHanging12a"/>
        <w:rPr>
          <w:rFonts w:eastAsiaTheme="minorEastAsia"/>
        </w:rPr>
      </w:pPr>
      <w:r w:rsidRPr="00EA1258">
        <w:t>7.</w:t>
      </w:r>
      <w:r w:rsidRPr="00EA1258">
        <w:tab/>
        <w:t>podkreśla, że szereg działań sabotażowych i hybrydowych prowadzonych przez Rosję przeciwko UE stanowi terroryzm sponsorowany przez państwo, nawet jeśli nie spełnia kryteriów agresji zbrojnej; podkreśla w związku z tym potrzebę stosowania dostępnych ram prawnych zwalczania terroryzmu do wrogich działań Rosji, które naruszają suwerenność terytorialną państw członkowskich UE, podważają integralność ich instytucji i bezpośrednio zagrażają bezpieczeństwu ludności cywilnej; wzywa Komisję, aby wszczęła procedurę mającą na celu sklasyfikowanie Rosji jako państwa trzeciego wysokiego ryzyka w związku z praniem pieniędzy i finansowaniem terroryzmu na podstawie rozporządzenia (UE) 2016/1675</w:t>
      </w:r>
      <w:r w:rsidRPr="00EA1258">
        <w:rPr>
          <w:rStyle w:val="FootnoteReference"/>
        </w:rPr>
        <w:footnoteReference w:id="3"/>
      </w:r>
      <w:r w:rsidRPr="00EA1258">
        <w:t>, jako jeden ze środków ograniczających zdolność Rosji do stosowania terroryzmu państwowego;</w:t>
      </w:r>
    </w:p>
    <w:p w14:paraId="24BE6248" w14:textId="77777777" w:rsidR="00D65A9C" w:rsidRPr="00EA1258" w:rsidRDefault="00D65A9C" w:rsidP="00D65A9C">
      <w:pPr>
        <w:pStyle w:val="NormalHanging12a"/>
      </w:pPr>
      <w:r w:rsidRPr="00EA1258">
        <w:t>8.</w:t>
      </w:r>
      <w:r w:rsidRPr="00EA1258">
        <w:tab/>
        <w:t xml:space="preserve">potępia prowadzone przez Rosję celowe zagłuszanie i </w:t>
      </w:r>
      <w:proofErr w:type="spellStart"/>
      <w:r w:rsidRPr="00EA1258">
        <w:t>spoofing</w:t>
      </w:r>
      <w:proofErr w:type="spellEnd"/>
      <w:r w:rsidRPr="00EA1258">
        <w:t xml:space="preserve"> sygnałów GNSS (w tym GPS) w regionie Morza Bałtyckiego i Morza Czarnego oraz na innych obszarach, ponieważ stanowi ono poważne zagrożenie dla bezpieczeństwa lotnictwa cywilnego i transportu morskiego; przypomina, że Rada Organizacji Międzynarodowego Lotnictwa Cywilnego zażądała, aby Rosja przestrzegała międzynarodowych zobowiązań wynikających z Konwencji o międzynarodowym lotnictwie cywilnym i natychmiast zaprzestała zakłóceń; wzywa Radę i Komisję do przyjęcia odpowiednich środków, aby wywrzeć wystarczającą presję na Rosję, by zaprzestała tych wrogich działań, oraz do wzmocnienia stabilności usług nawigacyjnych i ich odporności na zakłócenia;</w:t>
      </w:r>
    </w:p>
    <w:p w14:paraId="36CD1B61" w14:textId="77777777" w:rsidR="00D65A9C" w:rsidRPr="00EA1258" w:rsidRDefault="00D65A9C" w:rsidP="00D65A9C">
      <w:pPr>
        <w:pStyle w:val="NormalHanging12a"/>
      </w:pPr>
      <w:r w:rsidRPr="00EA1258">
        <w:t>9.</w:t>
      </w:r>
      <w:r w:rsidRPr="00EA1258">
        <w:tab/>
        <w:t xml:space="preserve">wzywa do przeglądu procesu planowania zdolności UE; jest przekonany, że realizacja głównego celu powinna obejmować nie tylko zarządzanie kryzysowe, ale również wspólną obronę, w tym pełne spektrum zdolności w ramach krajowych i międzynarodowych celów w zakresie zdolności; uważa, że UE powinna rozważyć wymogi dotyczące podziału zdolności poszczególnych państw członkowskich według modelu NATO; uważa, że taki proces mógłby być kontynuowany w ramach europejskiego semestru obronności; podkreśla pilną potrzebę dążenia do prawdziwej </w:t>
      </w:r>
      <w:r w:rsidRPr="00EA1258">
        <w:lastRenderedPageBreak/>
        <w:t>europejskiej unii obrony, uzupełniającej NATO i opierającej się na obecnych ramach, takich jak ramy przewidziane w białej księdze w sprawie europejskiej obronności – gotowość 2030 r., i wykraczającej poza te ramy; podkreśla, że tylko dzięki głębszej integracji, koordynacji i łączeniu zasobów UE może skutecznie reagować na nasilające się zagrożenia ze strony Rosji; przypomina, że ochrona suwerenności i integralności terytorialnej wszystkich państw członkowskich jest podstawową zasadą UE, i podkreśla potrzebę natychmiastowej, stanowczej, zjednoczonej i proporcjonalnej reakcji w celu ochrony obywateli i infrastruktury krytycznej;</w:t>
      </w:r>
    </w:p>
    <w:p w14:paraId="75A02D0E" w14:textId="77777777" w:rsidR="00D65A9C" w:rsidRPr="00EA1258" w:rsidRDefault="00D65A9C" w:rsidP="00D65A9C">
      <w:pPr>
        <w:pStyle w:val="NormalHanging12a"/>
      </w:pPr>
      <w:r w:rsidRPr="00EA1258">
        <w:t>10.</w:t>
      </w:r>
      <w:r w:rsidRPr="00EA1258">
        <w:tab/>
        <w:t>apeluje o postępy w tworzeniu europejskiej struktury dowodzenia i kontroli, która nie tylko zarządzałaby kryzysami zgodnie ze wspólną polityką bezpieczeństwa i obrony (</w:t>
      </w:r>
      <w:proofErr w:type="spellStart"/>
      <w:r w:rsidRPr="00EA1258">
        <w:t>WPBiO</w:t>
      </w:r>
      <w:proofErr w:type="spellEnd"/>
      <w:r w:rsidRPr="00EA1258">
        <w:t>), ale również stanowiła odpowiednik Naczelnego Dowództwa Połączonych Sił Zbrojnych NATO w Europie (SHAPE); zauważa, że aby uniknąć powielania działań, struktura ta powinna uzupełniać SHAPE i zapewniać odpowiednie zasoby Sztabowi Wojskowemu Unii Europejskiej (EUMS); podkreśla znaczenie ściślejszej koordynacji, w tym znaczenie ewentualnego utworzenia stałej międzyinstytucjonalnej komórki kryzysowej ds. Rosji, której zadaniem będzie monitorowanie w czasie rzeczywistym, szybka wymiana informacji i sprawne podejmowanie decyzji na poziomie operacyjnym; sądzi, że niedawne naruszenie przestrzeni powietrznej UE jest katalizatorem szybkich i gruntownych postępów w takich dziedzinach jak wymiana informacji wywiadowczych, wspólna logistyka oraz interoperacyjność w dziedzinie bezpieczeństwa i skoordynowane zamówienia; apeluje o coraz ściślejszą współpracę między NATO a UE w celu lepszej obrony Europy i poprawy jej zdolności odstraszania; podkreśla, że potrzebny jest silny, precyzyjnie określony europejski filar w NATO, zdolny do tego, by bronić swojej suwerenności, walczyć z rosyjskim zagrożeniem oraz działać autonomicznie względem NATO, a zarazem w sposób uzupełniający wobec niego;</w:t>
      </w:r>
    </w:p>
    <w:p w14:paraId="1CED639B" w14:textId="77777777" w:rsidR="00D65A9C" w:rsidRDefault="00D65A9C" w:rsidP="00D65A9C">
      <w:pPr>
        <w:pStyle w:val="NormalHanging12a"/>
      </w:pPr>
      <w:r w:rsidRPr="00EA1258">
        <w:t>11.</w:t>
      </w:r>
      <w:r w:rsidRPr="00EA1258">
        <w:tab/>
        <w:t xml:space="preserve">apeluje o lepszą koordynację, jedność i solidarność między państwami członkowskimi, instytucjami UE i strukturami NATO w celu monitorowania, przechwytywania i neutralizacji wrogich dronów, w tym dzięki wspólnym szkoleniom, treningom i ćwiczeniom oraz wymianie operacyjnych danych wywiadowczych; podkreśla, że należy utworzyć wspólne ośrodki dowodzenia i kontroli na potrzeby przyszłych inicjatyw dotyczących bezzałogowych statków powietrznych lub obrony przed tymi statkami; podkreśla, że należy w pełni zintegrować zdolności w zakresie bezzałogowych statków powietrznych z konwencjonalnymi siłami obrony powietrznej oraz zapewnić interoperacyjność danych systemów ze zintegrowaną architekturą obrony powietrznej i przeciwrakietowej NATO; zaleca stworzenie ustrukturyzowanych mechanizmów stałej wymiany wiedzy, również w kontekście UE–NATO, szczególnie w szybko zmieniających się dziedzinach obrony cyfrowej i zdolności w zakresie </w:t>
      </w:r>
      <w:proofErr w:type="spellStart"/>
      <w:r w:rsidRPr="00EA1258">
        <w:t>cyberbezpieczeństwa</w:t>
      </w:r>
      <w:proofErr w:type="spellEnd"/>
      <w:r w:rsidRPr="00EA1258">
        <w:t>, aby usprawnić wspólne ćwiczenia i interoperacyjność między państwami członkowskimi;</w:t>
      </w:r>
    </w:p>
    <w:p w14:paraId="35E2B0F5" w14:textId="552C34E9" w:rsidR="009D37D8" w:rsidRPr="009D37D8" w:rsidRDefault="009D37D8" w:rsidP="00D65A9C">
      <w:pPr>
        <w:pStyle w:val="NormalHanging12a"/>
        <w:rPr>
          <w:bCs/>
          <w:iCs/>
        </w:rPr>
      </w:pPr>
      <w:r w:rsidRPr="00693337">
        <w:rPr>
          <w:bCs/>
          <w:iCs/>
        </w:rPr>
        <w:t>1</w:t>
      </w:r>
      <w:r w:rsidR="00693337">
        <w:rPr>
          <w:bCs/>
          <w:iCs/>
        </w:rPr>
        <w:t>2</w:t>
      </w:r>
      <w:r w:rsidRPr="00693337">
        <w:rPr>
          <w:bCs/>
          <w:iCs/>
        </w:rPr>
        <w:t>.</w:t>
      </w:r>
      <w:r w:rsidRPr="00693337">
        <w:rPr>
          <w:bCs/>
          <w:iCs/>
        </w:rPr>
        <w:tab/>
        <w:t>wzywa UE i jej państwa członkowskie do wyposażenia władz w środki przeciwdziałania dronom w miejscach, w których znajduje się infrastruktura krytyczna, takich jak porty lotnicze i elektrownie; zauważa, że takie środki muszą być właściwe dla kontekstu cywilnego i być zgodne z modelem wielowarstwowej obrony z wieloma systemami, które mogą walczyć z dronami kinetycznie i elektronicznie;</w:t>
      </w:r>
    </w:p>
    <w:p w14:paraId="5A12EBFA" w14:textId="62DC9973" w:rsidR="00D65A9C" w:rsidRPr="00EA1258" w:rsidRDefault="00D65A9C" w:rsidP="00D65A9C">
      <w:pPr>
        <w:pStyle w:val="NormalHanging12a"/>
      </w:pPr>
      <w:r w:rsidRPr="00EA1258">
        <w:t>1</w:t>
      </w:r>
      <w:r w:rsidR="00693337">
        <w:t>3</w:t>
      </w:r>
      <w:r w:rsidRPr="00EA1258">
        <w:t>.</w:t>
      </w:r>
      <w:r w:rsidRPr="00EA1258">
        <w:tab/>
        <w:t xml:space="preserve">podkreśla potrzebę wspierania państw członkowskich wzdłuż wschodniej flanki NATO i w regionie Morza Czarnego w rozwijaniu zdolności do gromadzenia danych wywiadowczych oraz wykrywania i śledzenia zagrożeń pochodzących spoza granic </w:t>
      </w:r>
      <w:r w:rsidRPr="00EA1258">
        <w:lastRenderedPageBreak/>
        <w:t>zewnętrznych UE, takich jak operacje hybrydowe, ataki na infrastrukturę krytyczną, instrumentalna migracja lub wtargnięcia z użyciem dronów, aby UE miała lepsze rozpoznanie sytuacji i mogła skuteczniej przewidywać zagrożenia; zaznacza, że takie zdolności powinny obejmować systemy monitorowania z użyciem dronów i inne technologie umożliwiające nadzór z powietrza w regionach przygranicznych UE, a także przechwytywanie zbliżających się obiektów stwarzających zagrożenie w powietrzu; podkreśla, że skuteczny wielowarstwowy system rozpoznawczy i obronny ma zasadnicze znaczenie dla ochrony obywateli i infrastruktury krytycznej oraz dla skutecznego odstraszania;</w:t>
      </w:r>
    </w:p>
    <w:p w14:paraId="22F3B847" w14:textId="43F7C165" w:rsidR="00D65A9C" w:rsidRPr="00EA1258" w:rsidRDefault="00D65A9C" w:rsidP="00D65A9C">
      <w:pPr>
        <w:pStyle w:val="NormalHanging12a"/>
      </w:pPr>
      <w:r w:rsidRPr="00EA1258">
        <w:t>1</w:t>
      </w:r>
      <w:r w:rsidR="00693337">
        <w:t>4</w:t>
      </w:r>
      <w:r w:rsidRPr="00EA1258">
        <w:t>.</w:t>
      </w:r>
      <w:r w:rsidRPr="00EA1258">
        <w:tab/>
        <w:t>wzywa państwa członkowskie i Europejską Agencję Obrony (EDA) do pilnego skonsolidowania projektu stałej współpracy strukturalnej (PESCO) pod nazwą „Zintegrowany wielowarstwowy system obrony powietrznej i przeciwrakietowej” (IMLAMD), zwłaszcza w obliczu zagrożenia stwarzanego przez tanie bezzałogowe statki powietrzne i zgodnie ze zintegrowaną architekturą obrony powietrznej i przeciwrakietowej NATO, w celu wykrywania i przechwytywania wszystkich zbliżających się spoza UE obiektów stwarzających zagrożenie w powietrzu, zwłaszcza wzdłuż wschodniej flanki; podkreśla, że europejskie inwestycje w systemy broni precyzyjnej dalekiego zasięgu i wzmocnioną obronę powietrzną są kluczowe, by zapewnić odstraszanie, zmniejszyć ryzyko wykorzystywania przez Rosję podatności na zagrożenia oraz chronić obywateli i infrastrukturę krytyczną; podkreśla, że do projektów związanych z tymi zdolnościami powinny obowiązywać wyższe stawki finansowania EFO, tak jak ma to już miejsce w przypadku projektów PESCO;</w:t>
      </w:r>
    </w:p>
    <w:p w14:paraId="7AF14931" w14:textId="12C319C2" w:rsidR="00D65A9C" w:rsidRPr="00EA1258" w:rsidRDefault="00D65A9C" w:rsidP="00D65A9C">
      <w:pPr>
        <w:pStyle w:val="NormalHanging12a"/>
      </w:pPr>
      <w:r w:rsidRPr="00EA1258">
        <w:t>1</w:t>
      </w:r>
      <w:r w:rsidR="00693337">
        <w:t>5</w:t>
      </w:r>
      <w:r w:rsidRPr="00EA1258">
        <w:t>.</w:t>
      </w:r>
      <w:r w:rsidRPr="00EA1258">
        <w:tab/>
        <w:t xml:space="preserve">apeluje do Komisji, aby ściśle współpracowała z Grupą Europejskiego Banku Inwestycyjnego i EDA w celu zapewnienia kompleksowego podejścia łączącego rozwój zdolności z finansowaniem, a także dostosowała swoją obronność i instrumenty polityki przemysłu obronnego w celu zapewnienia ich adekwatności do potrzeb; wzywa państwa członkowskie do znacznego zwiększenia personelu i budżetu EDA, aby ułatwić odpowiedni i terminowy rozwój zdolności i wspólne zamówienia, a także wzywa EDA do ustanowienia specjalnego elastycznego budżetu z przeznaczeniem na bezzałogowe statki powietrzne, który będzie obejmował cały cykl życia tych zdolności; zwraca uwagę na pilną potrzebę znacznych inwestycji w drony i środki </w:t>
      </w:r>
      <w:proofErr w:type="spellStart"/>
      <w:r w:rsidRPr="00EA1258">
        <w:t>antydronowe</w:t>
      </w:r>
      <w:proofErr w:type="spellEnd"/>
      <w:r w:rsidRPr="00EA1258">
        <w:t>; z zadowoleniem odnotowuje wykorzystanie instrumentu SAFE i instrumentu kapitałowego w dziedzinie obronności do zwiększenia produkcji, do zabezpieczenia łańcuchów dostaw i do wspierania udziału małych i średnich przedsiębiorstw w sektorze pojazdów bezzałogowych;</w:t>
      </w:r>
    </w:p>
    <w:p w14:paraId="1591CEFF" w14:textId="61BFE7B0" w:rsidR="00D65A9C" w:rsidRPr="00EA1258" w:rsidRDefault="00D65A9C" w:rsidP="00D65A9C">
      <w:pPr>
        <w:pStyle w:val="NormalHanging12a"/>
      </w:pPr>
      <w:r w:rsidRPr="00EA1258">
        <w:t>1</w:t>
      </w:r>
      <w:r w:rsidR="00693337">
        <w:t>6</w:t>
      </w:r>
      <w:r w:rsidRPr="00EA1258">
        <w:t>.</w:t>
      </w:r>
      <w:r w:rsidRPr="00EA1258">
        <w:tab/>
        <w:t xml:space="preserve">z zadowoleniem odnotowuje inicjatywę UE dotyczącą unijnego muru </w:t>
      </w:r>
      <w:proofErr w:type="spellStart"/>
      <w:r w:rsidRPr="00EA1258">
        <w:t>antydronowego</w:t>
      </w:r>
      <w:proofErr w:type="spellEnd"/>
      <w:r w:rsidRPr="00EA1258">
        <w:t xml:space="preserve"> zapowiedzianą przez przewodniczącą Komisji Ursulę von der </w:t>
      </w:r>
      <w:proofErr w:type="spellStart"/>
      <w:r w:rsidRPr="00EA1258">
        <w:t>Leyen</w:t>
      </w:r>
      <w:proofErr w:type="spellEnd"/>
      <w:r w:rsidRPr="00EA1258">
        <w:t xml:space="preserve">, komisarza </w:t>
      </w:r>
      <w:proofErr w:type="spellStart"/>
      <w:r w:rsidRPr="00EA1258">
        <w:t>Andriusa</w:t>
      </w:r>
      <w:proofErr w:type="spellEnd"/>
      <w:r w:rsidRPr="00EA1258">
        <w:t xml:space="preserve"> </w:t>
      </w:r>
      <w:proofErr w:type="spellStart"/>
      <w:r w:rsidRPr="00EA1258">
        <w:t>Kubiliusa</w:t>
      </w:r>
      <w:proofErr w:type="spellEnd"/>
      <w:r w:rsidRPr="00EA1258">
        <w:t xml:space="preserve"> oraz wiceprzewodniczącą Komisji / wysoką przedstawicielkę Unii do spraw zagranicznych i bezpieczeństwa Kaję </w:t>
      </w:r>
      <w:proofErr w:type="spellStart"/>
      <w:r w:rsidRPr="00EA1258">
        <w:t>Kallas</w:t>
      </w:r>
      <w:proofErr w:type="spellEnd"/>
      <w:r w:rsidRPr="00EA1258">
        <w:t xml:space="preserve">, a także inicjatywę dotyczącą straży wschodniej flanki, i zauważa, że ambitny termin ukończenia prac nad nią wspomniany przez komisarza </w:t>
      </w:r>
      <w:proofErr w:type="spellStart"/>
      <w:r w:rsidRPr="00EA1258">
        <w:t>Kubiliusa</w:t>
      </w:r>
      <w:proofErr w:type="spellEnd"/>
      <w:r w:rsidRPr="00EA1258">
        <w:t xml:space="preserve"> wymaga szybkiego wdrożenia w ramach szerszej tarczy obronnej wzdłuż wschodniej flanki UE i NATO w odpowiedzi na powtarzające się naruszenia przestrzeni powietrznej przez Rosję</w:t>
      </w:r>
      <w:r w:rsidR="009D37D8" w:rsidRPr="00693337">
        <w:rPr>
          <w:bCs/>
          <w:iCs/>
        </w:rPr>
        <w:t>, a jednocześnie podkreśla, że działania te muszą objąć wszystkie państwa członkowskie mierzące się z bezpośrednimi zagrożeniami dla bezpieczeństwa na wschodniej flance</w:t>
      </w:r>
      <w:r w:rsidRPr="00EA1258">
        <w:t xml:space="preserve">; wzywa Komisję, wiceprzewodniczącą / wysoką przedstawicielkę i państwa członkowskie do przyspieszenia – w ścisłej współpracy z NATO – opracowywania konkretnego i operacyjnego planu jej szybkiego rozmieszczenia; wzywa Komisję do przedstawienia </w:t>
      </w:r>
      <w:r w:rsidRPr="00EA1258">
        <w:lastRenderedPageBreak/>
        <w:t>spójnego planu na posiedzeniu Rady Europejskiej, które odbędzie się 23–24 października 2025 r.; dostrzega wyzwanie, jakim są wysokie koszty przechwytywania dronów, i wzywa do opracowania wspólnych programów wspierających rozwój opłacalnych systemów zwalczania bezzałogowych statków powietrznych;</w:t>
      </w:r>
    </w:p>
    <w:p w14:paraId="15BEB939" w14:textId="1A283E54" w:rsidR="00D65A9C" w:rsidRPr="00EA1258" w:rsidRDefault="00D65A9C" w:rsidP="00D65A9C">
      <w:pPr>
        <w:pStyle w:val="NormalHanging12a"/>
      </w:pPr>
      <w:r w:rsidRPr="00EA1258">
        <w:t>1</w:t>
      </w:r>
      <w:r w:rsidR="00693337">
        <w:t>7</w:t>
      </w:r>
      <w:r w:rsidRPr="00EA1258">
        <w:t>.</w:t>
      </w:r>
      <w:r w:rsidRPr="00EA1258">
        <w:tab/>
        <w:t>apeluje do Komisji, by sprawnie rozpatrywała wnioski państw członkowskich dotyczące dobrowolnego dostosowania krajowych planów odbudowy i zwiększania odporności w celu spełnienia wymogów w zakresie finansowania rozwoju zdolności bezzałogowych statków powietrznych;</w:t>
      </w:r>
    </w:p>
    <w:p w14:paraId="50D4761B" w14:textId="14EBEBDE" w:rsidR="00D65A9C" w:rsidRPr="00EA1258" w:rsidRDefault="00D65A9C" w:rsidP="00D65A9C">
      <w:pPr>
        <w:pStyle w:val="NormalHanging12a"/>
      </w:pPr>
      <w:r w:rsidRPr="00EA1258">
        <w:t>1</w:t>
      </w:r>
      <w:r w:rsidR="00693337">
        <w:t>8</w:t>
      </w:r>
      <w:r w:rsidRPr="00EA1258">
        <w:t>.</w:t>
      </w:r>
      <w:r w:rsidRPr="00EA1258">
        <w:tab/>
        <w:t>podkreśla, że trzeba pilnie wzmocnić nadzór morski, i uważa, że nowy operacyjny wymiar wojny hybrydowej wymaga integracji strategii bezpieczeństwa morskiego i zwalczania bezzałogowych statków powietrznych, również dzięki zwiększonym zdolnościom nadzoru podwodnego; z zadowoleniem przyjmuje rozpoczęcie pod przywództwem NATO takich operacji jak operacja Bałtycki Strażnik, mająca chronić krytyczną infrastrukturę podmorską i zwiększać orientację sytuacyjną na morzu; podkreśla znaczenie strategii UE dla Morza Czarnego oraz doniosłość centrum bezpieczeństwa morskiego, które ma zwiększać bezpieczeństwo i ochronę na morzu;</w:t>
      </w:r>
    </w:p>
    <w:p w14:paraId="01C3BEB5" w14:textId="39C464D6" w:rsidR="00D65A9C" w:rsidRPr="00EA1258" w:rsidRDefault="00D65A9C" w:rsidP="00D65A9C">
      <w:pPr>
        <w:pStyle w:val="NormalHanging12a"/>
      </w:pPr>
      <w:r w:rsidRPr="00EA1258">
        <w:t>1</w:t>
      </w:r>
      <w:r w:rsidR="00693337">
        <w:t>9</w:t>
      </w:r>
      <w:r w:rsidRPr="00EA1258">
        <w:t>.</w:t>
      </w:r>
      <w:r w:rsidRPr="00EA1258">
        <w:tab/>
        <w:t>wzywa Komisję do pełnej współpracy z przedstawicielami producentów bezzałogowych statków powietrznych w państwach członkowskich, w tym z producentami bezzałogowych statków powietrznych i satelitów podwójnego zastosowania;</w:t>
      </w:r>
    </w:p>
    <w:p w14:paraId="4D77D183" w14:textId="3E5D40A1" w:rsidR="00D65A9C" w:rsidRPr="00EA1258" w:rsidRDefault="00693337" w:rsidP="00D65A9C">
      <w:pPr>
        <w:pStyle w:val="NormalHanging12a"/>
      </w:pPr>
      <w:r>
        <w:t>20</w:t>
      </w:r>
      <w:r w:rsidR="00D65A9C" w:rsidRPr="00EA1258">
        <w:t>.</w:t>
      </w:r>
      <w:r w:rsidR="00D65A9C" w:rsidRPr="00EA1258">
        <w:tab/>
        <w:t>apeluje o dalszą poprawę i dywersyfikację dostaw surowców z myślą o rozwoju produkcji bezzałogowych statków powietrznych i podkreśla w tym kontekście znaczenie unijnego aktu w sprawie surowców krytycznych</w:t>
      </w:r>
      <w:r w:rsidR="00D65A9C" w:rsidRPr="00EA1258">
        <w:rPr>
          <w:rStyle w:val="FootnoteReference"/>
        </w:rPr>
        <w:footnoteReference w:id="4"/>
      </w:r>
      <w:r w:rsidR="00D65A9C" w:rsidRPr="00EA1258">
        <w:t>, będącego punktem wyjścia dla całościowych i spójnych działań strategicznych; podkreśla strategiczne znaczenie partnerstw UE z Ukrainą, Kanadą i Ameryką Łacińską;</w:t>
      </w:r>
    </w:p>
    <w:p w14:paraId="08AD6B6F" w14:textId="1A8546FE" w:rsidR="00D65A9C" w:rsidRPr="00EA1258" w:rsidRDefault="00D65A9C" w:rsidP="00D65A9C">
      <w:pPr>
        <w:pStyle w:val="NormalHanging12a"/>
      </w:pPr>
      <w:r w:rsidRPr="00EA1258">
        <w:t>2</w:t>
      </w:r>
      <w:r w:rsidR="00693337">
        <w:t>1</w:t>
      </w:r>
      <w:r w:rsidRPr="00EA1258">
        <w:t>.</w:t>
      </w:r>
      <w:r w:rsidRPr="00EA1258">
        <w:tab/>
        <w:t>podkreśla, że rozwój technologiczny bezzałogowych statków powietrznych wymaga elastyczności i szybkiej modernizacji, dlatego przyszłe inicjatywy UE powinny ułatwiać działania w tym zakresie; zauważa, że UE będzie prawdopodobnie preferować zaawansowane, kosztowne i najnowocześniejsze rozwiązania, których wprowadzenie często wiąże się z dużymi opóźnieniami; apeluje o ciągłe inwestowanie w innowacje i technologie obronne, by wesprzeć EDTIB oraz zlikwidować niedostatki w inwestycjach i badaniach w dziedzinie technologii obronnych, oraz zauważa, że planowanie, badania, rozwój, zamówienia i zarządzanie zdolnościami należy prowadzić wspólnie i z perspektywy europejskiej; podkreśla strategiczne znaczenie produkcji związanej z obronnością oraz potrzebę zapewnienia szybkiego zwiększenia produkcji w czasach kryzysu; wzywa państwa członkowskie, by dążyły do stworzenia otoczenia regulacyjnego i procedur udzielania zamówień koordynujących i integrujących istniejący ekosystem europejski z działaniami partnerów strategicznych;</w:t>
      </w:r>
    </w:p>
    <w:p w14:paraId="7FFF2776" w14:textId="06014456" w:rsidR="00D65A9C" w:rsidRPr="00EA1258" w:rsidRDefault="00D65A9C" w:rsidP="00D65A9C">
      <w:pPr>
        <w:pStyle w:val="NormalHanging12a"/>
      </w:pPr>
      <w:r w:rsidRPr="00EA1258">
        <w:t>2</w:t>
      </w:r>
      <w:r w:rsidR="00693337">
        <w:t>2</w:t>
      </w:r>
      <w:r w:rsidRPr="00EA1258">
        <w:t>.</w:t>
      </w:r>
      <w:r w:rsidRPr="00EA1258">
        <w:tab/>
        <w:t xml:space="preserve">zauważa, że zdolności w zakresie bezzałogowych statków powietrznych wymagają </w:t>
      </w:r>
      <w:r w:rsidRPr="00EA1258">
        <w:lastRenderedPageBreak/>
        <w:t xml:space="preserve">znacznego przyspieszenia zdolności w zakresie mobilności wojskowej, a także szybkiego transgranicznego przemieszczania sprzętu i personelu, ze szczególnym uwzględnieniem kontroli granicznych, procedur celnych i procesów odprawy; podkreśla, że wiarygodne odstraszanie wymaga zwiększonej rzeczywistej i skutecznej mobilności wojskowej we wszystkich korytarzach UE oraz ochrony granic; wzywa instytucje UE, by zatwierdziły zaproponowane dziesięciokrotne zwiększenie funduszy na mobilność wojskową w kolejnych WRF oraz by inwestowały znaczne środki w infrastrukturę podwójnego zastosowania, zwłaszcza w regionach przyfrontowych; zauważa w związku z tym, że wciąż jeszcze trzeba utworzyć wojskową strefę </w:t>
      </w:r>
      <w:proofErr w:type="spellStart"/>
      <w:r w:rsidRPr="00EA1258">
        <w:t>Schengen</w:t>
      </w:r>
      <w:proofErr w:type="spellEnd"/>
      <w:r w:rsidRPr="00EA1258">
        <w:t>, by ułatwić efektywne przepływy zasobów obronnych w całej UE; odnotowuje wniosek Komisji dotyczący zbiorczego aktu prawnego w sprawie mobilności wojskowej jako krok ku spełnieniu tych wymogów;</w:t>
      </w:r>
    </w:p>
    <w:p w14:paraId="7A99C529" w14:textId="79A74459" w:rsidR="00D65A9C" w:rsidRPr="00EA1258" w:rsidRDefault="00D65A9C" w:rsidP="00D65A9C">
      <w:pPr>
        <w:pStyle w:val="NormalHanging12a"/>
      </w:pPr>
      <w:r w:rsidRPr="00EA1258">
        <w:t>2</w:t>
      </w:r>
      <w:r w:rsidR="00693337">
        <w:t>3</w:t>
      </w:r>
      <w:r w:rsidRPr="00EA1258">
        <w:t>.</w:t>
      </w:r>
      <w:r w:rsidRPr="00EA1258">
        <w:tab/>
        <w:t>podkreśla, że trzeba określić cele zarówno w zakresie rozwoju bezzałogowych statków powietrznych, jak i w zakresie obrony przed tymi statkami, aby zapewnić kompleksowe zdolności dotyczące tych urządzeń; zwraca się do Komisji, aby zaproponowała odstępstwa od przepisów UE o ochronie środowiska dla zakładów produkujących bezzałogowe statki powietrzne;</w:t>
      </w:r>
    </w:p>
    <w:p w14:paraId="782DBA4A" w14:textId="20F5F183" w:rsidR="00D65A9C" w:rsidRPr="00EA1258" w:rsidRDefault="00D65A9C" w:rsidP="00D65A9C">
      <w:pPr>
        <w:pStyle w:val="NormalHanging12a"/>
      </w:pPr>
      <w:r w:rsidRPr="00EA1258">
        <w:t>2</w:t>
      </w:r>
      <w:r w:rsidR="00693337">
        <w:t>4</w:t>
      </w:r>
      <w:r w:rsidRPr="00EA1258">
        <w:t>.</w:t>
      </w:r>
      <w:r w:rsidRPr="00EA1258">
        <w:tab/>
        <w:t xml:space="preserve">wzywa państwa członkowskie i Komisję do pełnego zaangażowania się w zmianę odpowiednich przepisów unijnych i krajowych, by umożliwić przyszłe zdolności dotyczące bezzałogowych statków powietrznych i ich zwalczania, zwłaszcza w perspektywie udziału sił zbrojnych; z zadowoleniem przyjmuje wszystkie konkretne projekty mające uzupełnić zdolności w dziedzinie walki </w:t>
      </w:r>
      <w:proofErr w:type="spellStart"/>
      <w:r w:rsidRPr="00EA1258">
        <w:t>dronowej</w:t>
      </w:r>
      <w:proofErr w:type="spellEnd"/>
      <w:r w:rsidRPr="00EA1258">
        <w:t xml:space="preserve"> i zwalczania dronów oraz stworzyć wielowarstwową, głęboką strefę zaawansowanych technologicznie systemów; zachęca państwa członkowskie, by rozważyły wykorzystanie europejskich projektów będących przedmiotem wspólnego zainteresowania do opracowywania takich projektów;</w:t>
      </w:r>
    </w:p>
    <w:p w14:paraId="0D50A797" w14:textId="163EE6B7" w:rsidR="00D65A9C" w:rsidRDefault="00D65A9C" w:rsidP="00D65A9C">
      <w:pPr>
        <w:pStyle w:val="NormalHanging12a"/>
      </w:pPr>
      <w:r w:rsidRPr="00EA1258">
        <w:t>2</w:t>
      </w:r>
      <w:r w:rsidR="00693337">
        <w:t>5</w:t>
      </w:r>
      <w:r w:rsidRPr="00EA1258">
        <w:t>.</w:t>
      </w:r>
      <w:r w:rsidRPr="00EA1258">
        <w:tab/>
      </w:r>
      <w:r w:rsidR="009D37D8" w:rsidRPr="00693337">
        <w:rPr>
          <w:bCs/>
          <w:iCs/>
        </w:rPr>
        <w:t xml:space="preserve">zwraca uwagę, że jawne prowokacje ze strony Rosji stanowią aktywną strategię wojny hybrydowej ukierunkowaną na to, by siać strach i nieufność, a ich celem jest wystawienie na próbę i destabilizacja społeczeństw państw członkowskich UE i sojuszników NATO; podkreśla w związku z tym znaczenie odporności i gotowości społecznej, jak podkreślono w zaleceniach zawartych w sprawozdaniu </w:t>
      </w:r>
      <w:proofErr w:type="spellStart"/>
      <w:r w:rsidR="009D37D8" w:rsidRPr="00693337">
        <w:rPr>
          <w:bCs/>
          <w:iCs/>
        </w:rPr>
        <w:t>Niinistö</w:t>
      </w:r>
      <w:proofErr w:type="spellEnd"/>
      <w:r w:rsidR="009D37D8" w:rsidRPr="00693337">
        <w:rPr>
          <w:bCs/>
          <w:iCs/>
        </w:rPr>
        <w:t xml:space="preserve"> w sprawie gotowości cywilnej i wojskowej oraz przygotowania w Europie;</w:t>
      </w:r>
      <w:r w:rsidR="009D37D8" w:rsidRPr="00CF7803">
        <w:t xml:space="preserve"> </w:t>
      </w:r>
      <w:r w:rsidRPr="00EA1258">
        <w:t>wzywa Komisję i państwa członkowskie do zapewnienia szybkiego wdrożenia europejskiej strategii bezpieczeństwa wewnętrznego (ochrona UE) i strategii gotowości w celu zapewnienia kompleksowej gotowości i ochrony przed zagrożeniami wynikającymi z naruszania przez Rosję europejskiej przestrzeni powietrznej i innych zagrożeń; podkreśla potrzebę zapewnienia wystarczającego finansowania UE w tym zakresie w obecnych i następnych WRF; zaleca opracowanie całościowych krajowych strategii obrony cywilnej przed zagrożeniem z powietrza i atakami rakietowymi, w tym z użyciem bezzałogowych statków powietrznych, gwarantujących gotowość na szczeblu krajowym, regionalnym i gminnym oraz w poszczególnych społecznościach i gospodarstwach domowych, a także zauważa, że w strategiach tych należy położyć nacisk na systemy wczesnego ostrzegania mieszkańców, jasne instrukcje dotyczące zachowania się w sytuacji zagrożenia oraz schrony;</w:t>
      </w:r>
    </w:p>
    <w:p w14:paraId="52D6D2D7" w14:textId="5B9B437A" w:rsidR="009D37D8" w:rsidRPr="009D37D8" w:rsidRDefault="009D37D8" w:rsidP="00D65A9C">
      <w:pPr>
        <w:pStyle w:val="NormalHanging12a"/>
        <w:rPr>
          <w:bCs/>
          <w:iCs/>
        </w:rPr>
      </w:pPr>
      <w:r w:rsidRPr="00693337">
        <w:rPr>
          <w:bCs/>
          <w:iCs/>
        </w:rPr>
        <w:lastRenderedPageBreak/>
        <w:t>2</w:t>
      </w:r>
      <w:r w:rsidR="00693337">
        <w:rPr>
          <w:bCs/>
          <w:iCs/>
        </w:rPr>
        <w:t>6</w:t>
      </w:r>
      <w:r w:rsidRPr="00693337">
        <w:rPr>
          <w:bCs/>
          <w:iCs/>
        </w:rPr>
        <w:t>.</w:t>
      </w:r>
      <w:r w:rsidRPr="00693337">
        <w:rPr>
          <w:bCs/>
          <w:iCs/>
        </w:rPr>
        <w:tab/>
        <w:t>przypomina, że zgodnie z rozporządzeniem (UE) nr 833/2014</w:t>
      </w:r>
      <w:r>
        <w:rPr>
          <w:rStyle w:val="FootnoteReference"/>
          <w:bCs/>
          <w:iCs/>
        </w:rPr>
        <w:footnoteReference w:id="5"/>
      </w:r>
      <w:r w:rsidRPr="00693337">
        <w:rPr>
          <w:bCs/>
          <w:iCs/>
        </w:rPr>
        <w:t xml:space="preserve"> statki powietrzne zarejestrowane w Rosji lub eksploatowane przez rosyjskich operatorów nie mogą latać do Unii Europejskiej, z nielicznymi wyjątkami; przypomina, że chociaż od czasu zestrzelenia samolotu malezyjskich linii lotniczych (lot nr 17) żadne unijne linie lotnicze nie latają obecnie do Federacji Rosyjskiej ani z Federacji Rosyjskiej, nie przelatują też nad jej terytorium, jednak wielu przewoźników z państw spoza UE nadal to robi mimo zagrożeń związanych z wojną i mimo opłat za przeloty nad Rosją; podkreśla, że z takich opłat za loty obsługiwane przez Chiny i rozpoczynające się z samego tylko lotniska </w:t>
      </w:r>
      <w:proofErr w:type="spellStart"/>
      <w:r w:rsidRPr="00693337">
        <w:rPr>
          <w:bCs/>
          <w:iCs/>
        </w:rPr>
        <w:t>Schiphol</w:t>
      </w:r>
      <w:proofErr w:type="spellEnd"/>
      <w:r w:rsidRPr="00693337">
        <w:rPr>
          <w:bCs/>
          <w:iCs/>
        </w:rPr>
        <w:t xml:space="preserve"> Rosja uzyskuje szacunkowo 18 mln EUR rocznie; przypomina, że transport lotniczy między UE a Chinami regulują obecnie umowy dwustronne między państwami członkowskimi a Chinami; wzywa Komisję i państwa członkowskie, aby w związku z </w:t>
      </w:r>
      <w:proofErr w:type="spellStart"/>
      <w:r w:rsidRPr="00693337">
        <w:rPr>
          <w:bCs/>
          <w:iCs/>
        </w:rPr>
        <w:t>pełnoskalową</w:t>
      </w:r>
      <w:proofErr w:type="spellEnd"/>
      <w:r w:rsidRPr="00693337">
        <w:rPr>
          <w:bCs/>
          <w:iCs/>
        </w:rPr>
        <w:t xml:space="preserve"> wojną napastniczą w Ukrainie ponownie przeanalizowały umowy dwustronne i zaproponowały środki uniemożliwiające Rosji korzystanie z opłat za przeloty;</w:t>
      </w:r>
    </w:p>
    <w:p w14:paraId="6A3A0553" w14:textId="0625AFD5" w:rsidR="00D65A9C" w:rsidRPr="00EA1258" w:rsidRDefault="00D65A9C" w:rsidP="00D65A9C">
      <w:pPr>
        <w:pStyle w:val="NormalHanging12a"/>
      </w:pPr>
      <w:r w:rsidRPr="00EA1258">
        <w:t>2</w:t>
      </w:r>
      <w:r w:rsidR="00693337">
        <w:t>7</w:t>
      </w:r>
      <w:r w:rsidRPr="00EA1258">
        <w:t>.</w:t>
      </w:r>
      <w:r w:rsidRPr="00EA1258">
        <w:tab/>
        <w:t>podkreśla potrzebę ściślejszej koordynacji cywilno-wojskowej w odniesieniu do przestrzeni powietrznej; podkreśla w związku z tym, że potrzebne jest podejście całościowe, zakładające również lepsze wyposażenie sił policyjnych i władz cywilnych w środki wykrywania dronów i obrony przed nimi; popiera rozszerzenie wspólnych ćwiczeń w zakresie symulacji i przechwytywania z udziałem organizacji cywilnych, organów ścigania i podmiotów wojskowych w celu podniesienia stopnia gotowości na wypadek zagrożeń wielodomenowych; podkreśla, że takie ćwiczenia powinny być prowadzone regularnie, by zapewnić ciągłą gotowość i interoperacyjność;</w:t>
      </w:r>
    </w:p>
    <w:p w14:paraId="4EEB2734" w14:textId="6ED73E71" w:rsidR="00D65A9C" w:rsidRPr="00EA1258" w:rsidRDefault="00D65A9C" w:rsidP="00D65A9C">
      <w:pPr>
        <w:pStyle w:val="NormalHanging12a"/>
      </w:pPr>
      <w:r w:rsidRPr="00EA1258">
        <w:t>2</w:t>
      </w:r>
      <w:r w:rsidR="00693337">
        <w:t>8</w:t>
      </w:r>
      <w:r w:rsidRPr="00EA1258">
        <w:t>.</w:t>
      </w:r>
      <w:r w:rsidRPr="00EA1258">
        <w:tab/>
        <w:t xml:space="preserve">wzywa Komisję i państwa członkowskie do wspólnego opracowania bezpiecznych, niezawodnych i odpornych systemów komunikacji i wymiany informacji, wykorzystywanych przez organy ścigania, agencje bezpieczeństwa i instytucje cywilne w sprawach bezpieczeństwa, zwłaszcza w czasach kryzysu; ponownie podkreśla, że aby zwiększyć zbiorową odporność, trzeba poprawić </w:t>
      </w:r>
      <w:proofErr w:type="spellStart"/>
      <w:r w:rsidRPr="00EA1258">
        <w:t>cyberbezpieczeństwo</w:t>
      </w:r>
      <w:proofErr w:type="spellEnd"/>
      <w:r w:rsidRPr="00EA1258">
        <w:t xml:space="preserve"> i komunikację strategiczną dotyczącą zagrożeń i środków ochrony;</w:t>
      </w:r>
    </w:p>
    <w:p w14:paraId="2E4BDEDE" w14:textId="1A0D4944" w:rsidR="00D65A9C" w:rsidRPr="00EA1258" w:rsidRDefault="00D65A9C" w:rsidP="00D65A9C">
      <w:pPr>
        <w:pStyle w:val="NormalHanging12a"/>
      </w:pPr>
      <w:r w:rsidRPr="00EA1258">
        <w:t>2</w:t>
      </w:r>
      <w:r w:rsidR="00693337">
        <w:t>9</w:t>
      </w:r>
      <w:r w:rsidRPr="00EA1258">
        <w:t>.</w:t>
      </w:r>
      <w:r w:rsidRPr="00EA1258">
        <w:tab/>
        <w:t xml:space="preserve">apeluje do państw członkowskich o zastosowanie art. 42 ust. 7 TUE, jeżeli takie rażące agresywne działania stanowią atak zbrojny lub oznaczają przygotowania do zbliżającego się ataku; wzywa UE i jej państwa członkowskie do określenia procedur i mechanizmów operacyjnych na wypadek, gdyby jedno z państw członkowskich uruchomiło art. 42 ust. 7 TUE; </w:t>
      </w:r>
    </w:p>
    <w:p w14:paraId="2FB1B07C" w14:textId="0AC07971" w:rsidR="00D65A9C" w:rsidRPr="00EA1258" w:rsidRDefault="00693337" w:rsidP="00D65A9C">
      <w:pPr>
        <w:pStyle w:val="NormalHanging12a"/>
      </w:pPr>
      <w:r>
        <w:t>30</w:t>
      </w:r>
      <w:r w:rsidR="00D65A9C" w:rsidRPr="00EA1258">
        <w:t>.</w:t>
      </w:r>
      <w:r w:rsidR="00D65A9C" w:rsidRPr="00EA1258">
        <w:tab/>
        <w:t>apeluje, by w związku z ciągłą presją na granice zewnętrzne UE w postaci migracji instrumentalnie wykorzystywanej przez Rosję i Białoruś umocnić wschodnią granicę UE, by zapewnić państwom członkowskim szybkie i elastyczne wsparcie dzięki wyeliminowaniu niedostatków technologicznych i operacyjnych w powietrzu, na lądzie i na wodzie;</w:t>
      </w:r>
    </w:p>
    <w:p w14:paraId="4ECC439D" w14:textId="14FF9F52" w:rsidR="00D65A9C" w:rsidRPr="00EA1258" w:rsidRDefault="00693337" w:rsidP="00D65A9C">
      <w:pPr>
        <w:pStyle w:val="NormalHanging12a"/>
      </w:pPr>
      <w:r>
        <w:t>31</w:t>
      </w:r>
      <w:r w:rsidR="00D65A9C" w:rsidRPr="00EA1258">
        <w:t>.</w:t>
      </w:r>
      <w:r w:rsidR="00D65A9C" w:rsidRPr="00EA1258">
        <w:tab/>
        <w:t xml:space="preserve">apeluje o znaczne zacieśnienie współpracy obronnej z Ukrainą, zwłaszcza w dziedzinie technologii dronów i ich zwalczania, w tym o ściślejszą współpracę przemysłową między państwami członkowskimi a Ukrainą; wzywa Komisję oraz państwa członkowskie i ich przemysł obronny, by rozważyły wsparcie dla ukraińskiego </w:t>
      </w:r>
      <w:r w:rsidR="00D65A9C" w:rsidRPr="00EA1258">
        <w:lastRenderedPageBreak/>
        <w:t xml:space="preserve">przemysłu obronnego, inwestowanie weń i partnerską współpracę z nim, by na wzór duński wykorzystywać cały potencjał zdolności produkcyjnych w Ukrainie; apeluje do państw członkowskich i ich przemysłu obronnego o nawiązywanie wspólnych przedsięwzięć i rozwijanie partnerstwa z Ukrainą, by wspólnie rozwijać produkty związane z obronnością w UE, zwłaszcza w dziedzinie dronów, technologii </w:t>
      </w:r>
      <w:proofErr w:type="spellStart"/>
      <w:r w:rsidR="00D65A9C" w:rsidRPr="00EA1258">
        <w:t>antydronowych</w:t>
      </w:r>
      <w:proofErr w:type="spellEnd"/>
      <w:r w:rsidR="00D65A9C" w:rsidRPr="00EA1258">
        <w:t xml:space="preserve"> i systemów uderzeniowych dalekiego zasięgu;</w:t>
      </w:r>
    </w:p>
    <w:p w14:paraId="0D4AAB37" w14:textId="2D8FDA44" w:rsidR="00D65A9C" w:rsidRPr="00EA1258" w:rsidRDefault="00D65A9C" w:rsidP="00D65A9C">
      <w:pPr>
        <w:pStyle w:val="NormalHanging12a"/>
      </w:pPr>
      <w:r w:rsidRPr="00EA1258">
        <w:t>3</w:t>
      </w:r>
      <w:r w:rsidR="00693337">
        <w:t>2</w:t>
      </w:r>
      <w:r w:rsidRPr="00EA1258">
        <w:t>.</w:t>
      </w:r>
      <w:r w:rsidRPr="00EA1258">
        <w:tab/>
        <w:t xml:space="preserve">z zadowoleniem przyjmuje zapowiedź prezydenta Ukrainy </w:t>
      </w:r>
      <w:proofErr w:type="spellStart"/>
      <w:r w:rsidRPr="00EA1258">
        <w:t>Wołodymyra</w:t>
      </w:r>
      <w:proofErr w:type="spellEnd"/>
      <w:r w:rsidRPr="00EA1258">
        <w:t xml:space="preserve"> </w:t>
      </w:r>
      <w:proofErr w:type="spellStart"/>
      <w:r w:rsidRPr="00EA1258">
        <w:t>Zełenskiego</w:t>
      </w:r>
      <w:proofErr w:type="spellEnd"/>
      <w:r w:rsidRPr="00EA1258">
        <w:t>, że Ukraina rozpocznie zagraniczną produkcję i eksport własnych technologii obronnych do wybranych partnerów europejskich i NATO; uznaje istotną wiedzę i doświadczenie, jakie Ukraina zdobyła w produkcji dronów i technologiach ich zwalczania, oraz oczekuje, że UE i jej państwa członkowskie skorzystają z tej wiedzy fachowej, a przy tym odnotowuje potencjalny wkład ukraińskiego wojskowego i przemysłowego know-how nabytego podczas rosyjskiej inwazji; wzywa Komisję, by wraz z EDA koordynowała zakup licencji na bezzałogowe statki powietrzne z Ukrainy, by umożliwić zainteresowanym państwom członkowskim ich produkcję; ponadto wzywa państwa członkowskie do sformalizowania współpracy i stworzenia struktur ułatwiających wymianę zdobytych doświadczeń, wiedzy technicznej i najlepszych praktyk, w tym w strukturach UE i NATO; wzywa UE i NATO do współpracy w instytucjonalizacji wniosków z doświadczeń Ukrainy na polu walki przez włączenie innowacji doktrynalnych i technologicznych do przygotowania na współczesne warunki bojowe;</w:t>
      </w:r>
    </w:p>
    <w:p w14:paraId="049713E8" w14:textId="02B53581" w:rsidR="00D65A9C" w:rsidRPr="00EA1258" w:rsidRDefault="00D65A9C" w:rsidP="00D65A9C">
      <w:pPr>
        <w:pStyle w:val="NormalHanging12a"/>
      </w:pPr>
      <w:r w:rsidRPr="00EA1258">
        <w:t>3</w:t>
      </w:r>
      <w:r w:rsidR="00693337">
        <w:t>3</w:t>
      </w:r>
      <w:r w:rsidRPr="00EA1258">
        <w:t>.</w:t>
      </w:r>
      <w:r w:rsidRPr="00EA1258">
        <w:tab/>
        <w:t xml:space="preserve">apeluje o szybkie sfinalizowanie przepisów o EDIP oraz o wykorzystanie środków finansowych z tego programu – wraz z instrumentem SAFE – na uczenie się od Ukrainy i wsparcie jej w walce z wykorzystaniem bezzałogowych statków powietrznych; dostrzega bieżącą rolę koalicji </w:t>
      </w:r>
      <w:proofErr w:type="spellStart"/>
      <w:r w:rsidRPr="00EA1258">
        <w:t>dronowej</w:t>
      </w:r>
      <w:proofErr w:type="spellEnd"/>
      <w:r w:rsidRPr="00EA1258">
        <w:t xml:space="preserve"> w standaryzacji systemów bezzałogowych statków powietrznych, jej nieodzowną pomoc dla Ukrainy oraz jej rolę w dbaniu o to, aby państwa członkowskie nadążały za szybko zmieniającymi się wymogami pola walki;</w:t>
      </w:r>
    </w:p>
    <w:p w14:paraId="32E3643A" w14:textId="7CD23E52" w:rsidR="00D65A9C" w:rsidRPr="00EA1258" w:rsidRDefault="00D65A9C" w:rsidP="00D65A9C">
      <w:pPr>
        <w:pStyle w:val="NormalHanging12a"/>
      </w:pPr>
      <w:r w:rsidRPr="00EA1258">
        <w:t>3</w:t>
      </w:r>
      <w:r w:rsidR="00693337">
        <w:t>4</w:t>
      </w:r>
      <w:r w:rsidRPr="00EA1258">
        <w:t>.</w:t>
      </w:r>
      <w:r w:rsidRPr="00EA1258">
        <w:tab/>
        <w:t>przypomina, że niedawne agresywne działania Rosji nie mogą powstrzymać – i nie powstrzymają – UE i jej państw członkowskich przed trwałym zaangażowaniem we wspieranie Ukrainy w korzystaniu z jej niezbywalnego prawa do samoobrony, oraz przypomina, że bezpieczeństwo Ukrainy służy bezpieczeństwu całej Europy; podkreśla, że pomoc Ukrainie we wzmacnianiu jej zdolności obrony powietrznej ma kluczowe znaczenie, ponieważ zaangażowanie na rzecz ochrony ukraińskiej przestrzeni powietrznej zmniejsza ryzyko przedostania się dronów na terytorium UE; uważa, że wynik wojny i postawa wspólnoty międzynarodowej będą miały kluczowe znaczenie dla przyszłych napastniczych działań Rosji w Europie i poza nią; wzywa wszystkie państwa członkowskie, by niezwłocznie zapewniły dodatkowe wsparcie wojskowe oraz zaangażowały się we wspólne zamówienia na dodatkowe zdolności dla Ukrainy, a zwłaszcza na amunicję do systemów obrony powietrznej; apeluje o zniesienie ograniczeń dotyczących wykorzystania dostarczonych Ukrainie zachodnich systemów uzbrojenia przeciwko celom wojskowym na terytorium Rosji, ponieważ obiekty te są wykorzystywane do ataków na ludność Ukrainy i krytyczną infrastrukturę cywilną;</w:t>
      </w:r>
    </w:p>
    <w:p w14:paraId="5888E0B5" w14:textId="28ADD34B" w:rsidR="00D65A9C" w:rsidRPr="00EA1258" w:rsidRDefault="00D65A9C" w:rsidP="00D65A9C">
      <w:pPr>
        <w:pStyle w:val="NormalHanging12a"/>
        <w:rPr>
          <w:rFonts w:eastAsia="Aptos"/>
          <w:kern w:val="2"/>
          <w14:ligatures w14:val="standardContextual"/>
        </w:rPr>
      </w:pPr>
      <w:r w:rsidRPr="00EA1258">
        <w:t>3</w:t>
      </w:r>
      <w:r w:rsidR="00693337">
        <w:t>5</w:t>
      </w:r>
      <w:r w:rsidRPr="00EA1258">
        <w:t>.</w:t>
      </w:r>
      <w:r w:rsidRPr="00EA1258">
        <w:tab/>
        <w:t xml:space="preserve">ponawia apel do państw członkowskich, by wraz z partnerami z grupy G-7 natychmiast poparły propozycję Komisji, by wykorzystać wszystkie zamrożone rosyjskie aktywa jako podstawę znacznej dotacji i pożyczki dla Ukrainy, których spłata zależałaby od tego, czy Rosja wypłaci w przyszłości reparacje wojenne, ponieważ jest to prawnie </w:t>
      </w:r>
      <w:r w:rsidRPr="00EA1258">
        <w:lastRenderedPageBreak/>
        <w:t>pewny i finansowo znaczący sposób na utrzymanie i zwiększenie unijnego wsparcia wojskowych potrzeb Ukrainy, w tym obrony przed dronami;</w:t>
      </w:r>
    </w:p>
    <w:p w14:paraId="16215F37" w14:textId="2F8FA642" w:rsidR="00EA1258" w:rsidRPr="00EA1258" w:rsidRDefault="00D65A9C" w:rsidP="00EA1258">
      <w:pPr>
        <w:pStyle w:val="NormalHanging12a"/>
      </w:pPr>
      <w:r w:rsidRPr="00EA1258">
        <w:t>3</w:t>
      </w:r>
      <w:r w:rsidR="00693337">
        <w:t>6</w:t>
      </w:r>
      <w:r w:rsidRPr="00EA1258">
        <w:t>.</w:t>
      </w:r>
      <w:r w:rsidRPr="00EA1258">
        <w:tab/>
        <w:t>zobowiązuje swoją przewodniczącą do przekazania niniejszej rezolucji Radzie, Komisji, wiceprzewodniczącej Komisji / wysokiej przedstawicielce Unii do spraw zagranicznych i polityki bezpieczeństwa, rządom i parlamentom państw członkowskich, sekretarzowi generalnemu NATO oraz prezydentowi i parlamentowi Ukrainy.</w:t>
      </w:r>
    </w:p>
    <w:p w14:paraId="37EE01A6" w14:textId="639FC718" w:rsidR="00E365E1" w:rsidRPr="00EA1258" w:rsidRDefault="00E365E1" w:rsidP="002970B8"/>
    <w:sectPr w:rsidR="00E365E1" w:rsidRPr="00EA1258" w:rsidSect="00EA12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ABFC7" w14:textId="77777777" w:rsidR="002970B8" w:rsidRPr="00EA1258" w:rsidRDefault="002970B8">
      <w:r w:rsidRPr="00EA1258">
        <w:separator/>
      </w:r>
    </w:p>
  </w:endnote>
  <w:endnote w:type="continuationSeparator" w:id="0">
    <w:p w14:paraId="11663CF4" w14:textId="77777777" w:rsidR="002970B8" w:rsidRPr="00EA1258" w:rsidRDefault="002970B8">
      <w:r w:rsidRPr="00EA12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6E1F" w14:textId="77777777" w:rsidR="00064002" w:rsidRPr="00EA12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FE2D" w14:textId="77777777" w:rsidR="00064002" w:rsidRPr="00EA12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8C29" w14:textId="77777777" w:rsidR="00064002" w:rsidRPr="00EA12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A46FE" w14:textId="77777777" w:rsidR="002970B8" w:rsidRPr="00EA1258" w:rsidRDefault="002970B8">
      <w:r w:rsidRPr="00EA1258">
        <w:separator/>
      </w:r>
    </w:p>
  </w:footnote>
  <w:footnote w:type="continuationSeparator" w:id="0">
    <w:p w14:paraId="35C8B450" w14:textId="77777777" w:rsidR="002970B8" w:rsidRPr="00EA1258" w:rsidRDefault="002970B8">
      <w:r w:rsidRPr="00EA1258">
        <w:continuationSeparator/>
      </w:r>
    </w:p>
  </w:footnote>
  <w:footnote w:id="1">
    <w:p w14:paraId="42763AC7" w14:textId="45AE0EC8" w:rsidR="00D65A9C" w:rsidRPr="009D37D8" w:rsidRDefault="00D65A9C" w:rsidP="00EA1258">
      <w:pPr>
        <w:pStyle w:val="FootnoteText"/>
        <w:ind w:left="567" w:hanging="567"/>
        <w:rPr>
          <w:sz w:val="24"/>
          <w:lang w:val="fi-FI"/>
        </w:rPr>
      </w:pPr>
      <w:r w:rsidRPr="00EA1258">
        <w:rPr>
          <w:rStyle w:val="FootnoteReference"/>
          <w:sz w:val="24"/>
          <w:lang w:val="pl-PL"/>
        </w:rPr>
        <w:footnoteRef/>
      </w:r>
      <w:r w:rsidR="00EA1258" w:rsidRPr="009D37D8">
        <w:rPr>
          <w:sz w:val="24"/>
          <w:lang w:val="fi-FI"/>
        </w:rPr>
        <w:t xml:space="preserve"> </w:t>
      </w:r>
      <w:r w:rsidR="00EA1258" w:rsidRPr="009D37D8">
        <w:rPr>
          <w:sz w:val="24"/>
          <w:lang w:val="fi-FI"/>
        </w:rPr>
        <w:tab/>
      </w:r>
      <w:proofErr w:type="spellStart"/>
      <w:r w:rsidRPr="009D37D8">
        <w:rPr>
          <w:sz w:val="24"/>
          <w:lang w:val="fi-FI"/>
        </w:rPr>
        <w:t>Dz.U</w:t>
      </w:r>
      <w:proofErr w:type="spellEnd"/>
      <w:r w:rsidRPr="009D37D8">
        <w:rPr>
          <w:sz w:val="24"/>
          <w:lang w:val="fi-FI"/>
        </w:rPr>
        <w:t xml:space="preserve">. C, C/2025/3151, 20.6.2025, ELI: </w:t>
      </w:r>
      <w:hyperlink r:id="rId1" w:history="1">
        <w:r w:rsidR="00D43A33" w:rsidRPr="009D37D8">
          <w:rPr>
            <w:rStyle w:val="Hyperlink"/>
            <w:sz w:val="24"/>
            <w:lang w:val="fi-FI"/>
          </w:rPr>
          <w:t>http://data.europa.eu/eli/C/2025/3151/oj</w:t>
        </w:r>
      </w:hyperlink>
      <w:r w:rsidR="00D43A33" w:rsidRPr="009D37D8">
        <w:rPr>
          <w:rStyle w:val="Hyperlink"/>
          <w:sz w:val="24"/>
          <w:lang w:val="fi-FI"/>
        </w:rPr>
        <w:t>.</w:t>
      </w:r>
    </w:p>
  </w:footnote>
  <w:footnote w:id="2">
    <w:p w14:paraId="4CB9B48A" w14:textId="49D7272A" w:rsidR="00D65A9C" w:rsidRPr="00EA1258" w:rsidRDefault="00D65A9C" w:rsidP="00EA1258">
      <w:pPr>
        <w:pStyle w:val="FootnoteText"/>
        <w:ind w:left="567" w:hanging="567"/>
        <w:rPr>
          <w:sz w:val="24"/>
          <w:lang w:val="pl-PL"/>
        </w:rPr>
      </w:pPr>
      <w:r w:rsidRPr="00EA1258">
        <w:rPr>
          <w:rStyle w:val="FootnoteReference"/>
          <w:sz w:val="24"/>
          <w:lang w:val="pl-PL"/>
        </w:rPr>
        <w:footnoteRef/>
      </w:r>
      <w:r w:rsidR="00EA1258" w:rsidRPr="00EA1258">
        <w:rPr>
          <w:sz w:val="24"/>
          <w:lang w:val="pl-PL"/>
        </w:rPr>
        <w:t xml:space="preserve"> </w:t>
      </w:r>
      <w:r w:rsidR="00EA1258" w:rsidRPr="00EA1258">
        <w:rPr>
          <w:sz w:val="24"/>
          <w:lang w:val="pl-PL"/>
        </w:rPr>
        <w:tab/>
      </w:r>
      <w:r w:rsidR="00BE0785" w:rsidRPr="00BE0785">
        <w:rPr>
          <w:sz w:val="24"/>
          <w:lang w:val="pl-PL"/>
        </w:rPr>
        <w:t>Dz.U. L, 2025/1106</w:t>
      </w:r>
      <w:r w:rsidR="00BE0785" w:rsidRPr="00BE0785">
        <w:rPr>
          <w:i/>
          <w:iCs/>
          <w:sz w:val="24"/>
          <w:lang w:val="pl-PL"/>
        </w:rPr>
        <w:t>,</w:t>
      </w:r>
      <w:r w:rsidR="00BE0785">
        <w:rPr>
          <w:i/>
          <w:iCs/>
          <w:sz w:val="24"/>
          <w:lang w:val="pl-PL"/>
        </w:rPr>
        <w:t xml:space="preserve"> </w:t>
      </w:r>
      <w:proofErr w:type="gramStart"/>
      <w:r w:rsidRPr="00EA1258">
        <w:rPr>
          <w:sz w:val="24"/>
          <w:lang w:val="pl-PL"/>
        </w:rPr>
        <w:t>28.5.2025</w:t>
      </w:r>
      <w:proofErr w:type="gramEnd"/>
      <w:r w:rsidRPr="00EA1258">
        <w:rPr>
          <w:sz w:val="24"/>
          <w:lang w:val="pl-PL"/>
        </w:rPr>
        <w:t xml:space="preserve">, ELI: </w:t>
      </w:r>
      <w:hyperlink r:id="rId2" w:history="1">
        <w:r w:rsidR="00D43A33" w:rsidRPr="009D37D8">
          <w:rPr>
            <w:rStyle w:val="Hyperlink"/>
            <w:sz w:val="24"/>
            <w:lang w:val="pl-PL"/>
          </w:rPr>
          <w:t>http://data.europa.eu/e</w:t>
        </w:r>
        <w:r w:rsidR="00D43A33" w:rsidRPr="009D37D8">
          <w:rPr>
            <w:rStyle w:val="Hyperlink"/>
            <w:sz w:val="24"/>
            <w:lang w:val="pl-PL"/>
          </w:rPr>
          <w:t>li/reg/2025/1106/oj</w:t>
        </w:r>
      </w:hyperlink>
      <w:r w:rsidRPr="00EA1258">
        <w:rPr>
          <w:sz w:val="24"/>
          <w:lang w:val="pl-PL"/>
        </w:rPr>
        <w:t>.</w:t>
      </w:r>
    </w:p>
  </w:footnote>
  <w:footnote w:id="3">
    <w:p w14:paraId="0B500095" w14:textId="409C828C" w:rsidR="00D65A9C" w:rsidRPr="00EA1258" w:rsidRDefault="00D65A9C" w:rsidP="00EA1258">
      <w:pPr>
        <w:pStyle w:val="FootnoteText"/>
        <w:ind w:left="567" w:hanging="567"/>
        <w:rPr>
          <w:sz w:val="24"/>
          <w:lang w:val="pl-PL"/>
        </w:rPr>
      </w:pPr>
      <w:r w:rsidRPr="00EA1258">
        <w:rPr>
          <w:rStyle w:val="FootnoteReference"/>
          <w:sz w:val="24"/>
          <w:lang w:val="pl-PL"/>
        </w:rPr>
        <w:footnoteRef/>
      </w:r>
      <w:r w:rsidR="00EA1258" w:rsidRPr="00EA1258">
        <w:rPr>
          <w:sz w:val="24"/>
          <w:lang w:val="pl-PL"/>
        </w:rPr>
        <w:t xml:space="preserve"> </w:t>
      </w:r>
      <w:r w:rsidR="00EA1258" w:rsidRPr="00EA1258">
        <w:rPr>
          <w:sz w:val="24"/>
          <w:lang w:val="pl-PL"/>
        </w:rPr>
        <w:tab/>
      </w:r>
      <w:r w:rsidRPr="00EA1258">
        <w:rPr>
          <w:sz w:val="24"/>
          <w:lang w:val="pl-PL"/>
        </w:rPr>
        <w:t xml:space="preserve">Rozporządzenie delegowane Komisji (UE) 2016/1675 z dnia 14 lipca 2016 r. uzupełniające dyrektywę Parlamentu Europejskiego i Rady (UE) 2015/849 przez wskazanie państw trzecich wysokiego ryzyka mających strategiczne braki (Dz.U. L 254 z </w:t>
      </w:r>
      <w:proofErr w:type="gramStart"/>
      <w:r w:rsidRPr="00EA1258">
        <w:rPr>
          <w:sz w:val="24"/>
          <w:lang w:val="pl-PL"/>
        </w:rPr>
        <w:t>20.9.2016</w:t>
      </w:r>
      <w:proofErr w:type="gramEnd"/>
      <w:r w:rsidRPr="00EA1258">
        <w:rPr>
          <w:sz w:val="24"/>
          <w:lang w:val="pl-PL"/>
        </w:rPr>
        <w:t xml:space="preserve">, s. 1, ELI: </w:t>
      </w:r>
      <w:hyperlink r:id="rId3" w:history="1">
        <w:r w:rsidR="00D43A33" w:rsidRPr="009D37D8">
          <w:rPr>
            <w:rStyle w:val="Hyperlink"/>
            <w:sz w:val="24"/>
            <w:lang w:val="pl-PL"/>
          </w:rPr>
          <w:t>http://data.europa.eu/eli/reg_del/2016/1675/oj</w:t>
        </w:r>
      </w:hyperlink>
      <w:r w:rsidRPr="00EA1258">
        <w:rPr>
          <w:sz w:val="24"/>
          <w:lang w:val="pl-PL"/>
        </w:rPr>
        <w:t>).</w:t>
      </w:r>
    </w:p>
  </w:footnote>
  <w:footnote w:id="4">
    <w:p w14:paraId="1732FD91" w14:textId="4C831B8E" w:rsidR="00D65A9C" w:rsidRPr="00EA1258" w:rsidRDefault="00D65A9C" w:rsidP="00EA1258">
      <w:pPr>
        <w:pStyle w:val="FootnoteText"/>
        <w:ind w:left="567" w:hanging="567"/>
        <w:rPr>
          <w:sz w:val="24"/>
          <w:lang w:val="pl-PL"/>
        </w:rPr>
      </w:pPr>
      <w:r w:rsidRPr="00EA1258">
        <w:rPr>
          <w:rStyle w:val="FootnoteReference"/>
          <w:sz w:val="24"/>
          <w:lang w:val="pl-PL"/>
        </w:rPr>
        <w:footnoteRef/>
      </w:r>
      <w:r w:rsidR="00EA1258" w:rsidRPr="00EA1258">
        <w:rPr>
          <w:sz w:val="24"/>
          <w:lang w:val="pl-PL"/>
        </w:rPr>
        <w:t xml:space="preserve"> </w:t>
      </w:r>
      <w:r w:rsidR="00EA1258" w:rsidRPr="00EA1258">
        <w:rPr>
          <w:sz w:val="24"/>
          <w:lang w:val="pl-PL"/>
        </w:rPr>
        <w:tab/>
      </w:r>
      <w:r w:rsidRPr="00EA1258">
        <w:rPr>
          <w:sz w:val="24"/>
          <w:lang w:val="pl-PL"/>
        </w:rPr>
        <w:t xml:space="preserve">Rozporządzenie Parlamentu Europejskiego i Rady (UE) 2024/1252 z dnia 11 kwietnia 2024 r. w sprawie ustanowienia ram na potrzeby zapewnienia bezpiecznych i zrównoważonych dostaw surowców krytycznych oraz zmiany rozporządzeń (UE) nr 168/2013, (UE) 2018/858, (UE) 2018/1724 i (UE) 2019/1020 (Dz.U. L, 2024/1252, </w:t>
      </w:r>
      <w:proofErr w:type="gramStart"/>
      <w:r w:rsidRPr="00EA1258">
        <w:rPr>
          <w:sz w:val="24"/>
          <w:lang w:val="pl-PL"/>
        </w:rPr>
        <w:t>3.5.2024</w:t>
      </w:r>
      <w:proofErr w:type="gramEnd"/>
      <w:r w:rsidRPr="00EA1258">
        <w:rPr>
          <w:sz w:val="24"/>
          <w:lang w:val="pl-PL"/>
        </w:rPr>
        <w:t xml:space="preserve">, ELI: </w:t>
      </w:r>
      <w:hyperlink r:id="rId4" w:history="1">
        <w:r w:rsidR="00D43A33" w:rsidRPr="009D37D8">
          <w:rPr>
            <w:rStyle w:val="Hyperlink"/>
            <w:sz w:val="24"/>
            <w:lang w:val="pl-PL"/>
          </w:rPr>
          <w:t>http://data.europa.eu/eli/reg/2024/1252/oj</w:t>
        </w:r>
      </w:hyperlink>
      <w:r w:rsidRPr="00EA1258">
        <w:rPr>
          <w:sz w:val="24"/>
          <w:lang w:val="pl-PL"/>
        </w:rPr>
        <w:t>).</w:t>
      </w:r>
    </w:p>
  </w:footnote>
  <w:footnote w:id="5">
    <w:p w14:paraId="58576271" w14:textId="4276D470" w:rsidR="009D37D8" w:rsidRPr="00693337" w:rsidRDefault="009D37D8" w:rsidP="00693337">
      <w:pPr>
        <w:pStyle w:val="FootnoteText"/>
        <w:ind w:left="567" w:hanging="567"/>
        <w:rPr>
          <w:sz w:val="24"/>
          <w:szCs w:val="24"/>
          <w:lang w:val="pl-PL"/>
        </w:rPr>
      </w:pPr>
      <w:r w:rsidRPr="00693337">
        <w:rPr>
          <w:rStyle w:val="FootnoteReference"/>
          <w:sz w:val="24"/>
          <w:szCs w:val="24"/>
        </w:rPr>
        <w:footnoteRef/>
      </w:r>
      <w:r w:rsidRPr="00693337">
        <w:rPr>
          <w:sz w:val="24"/>
          <w:szCs w:val="24"/>
          <w:lang w:val="pl-PL"/>
        </w:rPr>
        <w:t xml:space="preserve"> </w:t>
      </w:r>
      <w:r w:rsidRPr="00693337">
        <w:rPr>
          <w:sz w:val="24"/>
          <w:szCs w:val="24"/>
          <w:lang w:val="pl-PL"/>
        </w:rPr>
        <w:tab/>
        <w:t>Rozporządzenie Rady (UE) nr 833/2014 z dnia 31 lipca 2014 r. dotyczące środków ograniczających w związku z działaniami Rosji destabilizującymi sytuację na Ukrainie (Dz.U. L 229 z </w:t>
      </w:r>
      <w:proofErr w:type="gramStart"/>
      <w:r w:rsidRPr="00693337">
        <w:rPr>
          <w:sz w:val="24"/>
          <w:szCs w:val="24"/>
          <w:lang w:val="pl-PL"/>
        </w:rPr>
        <w:t>31.7.2014</w:t>
      </w:r>
      <w:proofErr w:type="gramEnd"/>
      <w:r w:rsidRPr="00693337">
        <w:rPr>
          <w:sz w:val="24"/>
          <w:szCs w:val="24"/>
          <w:lang w:val="pl-PL"/>
        </w:rPr>
        <w:t xml:space="preserve">, s. 1, ELI: </w:t>
      </w:r>
      <w:hyperlink r:id="rId5" w:history="1">
        <w:r w:rsidRPr="00693337">
          <w:rPr>
            <w:rStyle w:val="Hyperlink"/>
            <w:sz w:val="24"/>
            <w:szCs w:val="24"/>
            <w:lang w:val="pl-PL"/>
          </w:rPr>
          <w:t>http://data.europa.eu/eli/reg/2014/833/oj</w:t>
        </w:r>
      </w:hyperlink>
      <w:r w:rsidRPr="00693337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C98D" w14:textId="77777777" w:rsidR="00064002" w:rsidRPr="00EA12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FC048" w14:textId="77777777" w:rsidR="00064002" w:rsidRPr="00EA12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2FF3" w14:textId="77777777" w:rsidR="00064002" w:rsidRPr="00EA12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0397560">
    <w:abstractNumId w:val="9"/>
  </w:num>
  <w:num w:numId="2" w16cid:durableId="1397321396">
    <w:abstractNumId w:val="9"/>
  </w:num>
  <w:num w:numId="3" w16cid:durableId="879710601">
    <w:abstractNumId w:val="7"/>
  </w:num>
  <w:num w:numId="4" w16cid:durableId="1019353873">
    <w:abstractNumId w:val="7"/>
  </w:num>
  <w:num w:numId="5" w16cid:durableId="2063096675">
    <w:abstractNumId w:val="6"/>
  </w:num>
  <w:num w:numId="6" w16cid:durableId="826938624">
    <w:abstractNumId w:val="6"/>
  </w:num>
  <w:num w:numId="7" w16cid:durableId="1112016797">
    <w:abstractNumId w:val="5"/>
  </w:num>
  <w:num w:numId="8" w16cid:durableId="1913544309">
    <w:abstractNumId w:val="5"/>
  </w:num>
  <w:num w:numId="9" w16cid:durableId="1862818006">
    <w:abstractNumId w:val="4"/>
  </w:num>
  <w:num w:numId="10" w16cid:durableId="1693995029">
    <w:abstractNumId w:val="4"/>
  </w:num>
  <w:num w:numId="11" w16cid:durableId="861750535">
    <w:abstractNumId w:val="8"/>
  </w:num>
  <w:num w:numId="12" w16cid:durableId="997656526">
    <w:abstractNumId w:val="8"/>
  </w:num>
  <w:num w:numId="13" w16cid:durableId="886453603">
    <w:abstractNumId w:val="3"/>
  </w:num>
  <w:num w:numId="14" w16cid:durableId="637339194">
    <w:abstractNumId w:val="3"/>
  </w:num>
  <w:num w:numId="15" w16cid:durableId="1014649188">
    <w:abstractNumId w:val="2"/>
  </w:num>
  <w:num w:numId="16" w16cid:durableId="474183146">
    <w:abstractNumId w:val="2"/>
  </w:num>
  <w:num w:numId="17" w16cid:durableId="883717523">
    <w:abstractNumId w:val="1"/>
  </w:num>
  <w:num w:numId="18" w16cid:durableId="2074572776">
    <w:abstractNumId w:val="1"/>
  </w:num>
  <w:num w:numId="19" w16cid:durableId="771315558">
    <w:abstractNumId w:val="0"/>
  </w:num>
  <w:num w:numId="20" w16cid:durableId="260336162">
    <w:abstractNumId w:val="0"/>
  </w:num>
  <w:num w:numId="21" w16cid:durableId="2067872908">
    <w:abstractNumId w:val="9"/>
  </w:num>
  <w:num w:numId="22" w16cid:durableId="832837835">
    <w:abstractNumId w:val="7"/>
  </w:num>
  <w:num w:numId="23" w16cid:durableId="1675647622">
    <w:abstractNumId w:val="6"/>
  </w:num>
  <w:num w:numId="24" w16cid:durableId="1091700429">
    <w:abstractNumId w:val="5"/>
  </w:num>
  <w:num w:numId="25" w16cid:durableId="1431857367">
    <w:abstractNumId w:val="4"/>
  </w:num>
  <w:num w:numId="26" w16cid:durableId="761947997">
    <w:abstractNumId w:val="8"/>
  </w:num>
  <w:num w:numId="27" w16cid:durableId="2103448045">
    <w:abstractNumId w:val="3"/>
  </w:num>
  <w:num w:numId="28" w16cid:durableId="1107189000">
    <w:abstractNumId w:val="2"/>
  </w:num>
  <w:num w:numId="29" w16cid:durableId="741370230">
    <w:abstractNumId w:val="1"/>
  </w:num>
  <w:num w:numId="30" w16cid:durableId="1687977358">
    <w:abstractNumId w:val="0"/>
  </w:num>
  <w:num w:numId="31" w16cid:durableId="1703364802">
    <w:abstractNumId w:val="9"/>
  </w:num>
  <w:num w:numId="32" w16cid:durableId="912591198">
    <w:abstractNumId w:val="7"/>
  </w:num>
  <w:num w:numId="33" w16cid:durableId="1734497707">
    <w:abstractNumId w:val="6"/>
  </w:num>
  <w:num w:numId="34" w16cid:durableId="788161485">
    <w:abstractNumId w:val="5"/>
  </w:num>
  <w:num w:numId="35" w16cid:durableId="168258537">
    <w:abstractNumId w:val="4"/>
  </w:num>
  <w:num w:numId="36" w16cid:durableId="1056004592">
    <w:abstractNumId w:val="8"/>
  </w:num>
  <w:num w:numId="37" w16cid:durableId="1072118615">
    <w:abstractNumId w:val="3"/>
  </w:num>
  <w:num w:numId="38" w16cid:durableId="1634555412">
    <w:abstractNumId w:val="2"/>
  </w:num>
  <w:num w:numId="39" w16cid:durableId="52579341">
    <w:abstractNumId w:val="1"/>
  </w:num>
  <w:num w:numId="40" w16cid:durableId="1383139203">
    <w:abstractNumId w:val="0"/>
  </w:num>
  <w:num w:numId="41" w16cid:durableId="566956743">
    <w:abstractNumId w:val="10"/>
  </w:num>
  <w:num w:numId="42" w16cid:durableId="1666326311">
    <w:abstractNumId w:val="10"/>
  </w:num>
  <w:num w:numId="43" w16cid:durableId="1519124632">
    <w:abstractNumId w:val="10"/>
  </w:num>
  <w:num w:numId="44" w16cid:durableId="16532868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9/2025"/>
    <w:docVar w:name="dvlangue" w:val="PL"/>
    <w:docVar w:name="dvnumam" w:val="0"/>
    <w:docVar w:name="dvpe" w:val="776.258"/>
    <w:docVar w:name="dvtitre" w:val="Rezolucja Parlamentu Europejskiego z dnia  2025 r. w sprawie wspólnej reakcji na niedawne przypadki naruszenia przez Rosję przestrzeni powietrznej państw członkowskich UE i na zagrożenia dla ich infrastruktury krytycznej(2025/2901(RSP))"/>
  </w:docVars>
  <w:rsids>
    <w:rsidRoot w:val="002970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0B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3337"/>
    <w:rsid w:val="006F74FA"/>
    <w:rsid w:val="00731ADD"/>
    <w:rsid w:val="00734777"/>
    <w:rsid w:val="00747932"/>
    <w:rsid w:val="00751A4A"/>
    <w:rsid w:val="00756632"/>
    <w:rsid w:val="00762C74"/>
    <w:rsid w:val="0078402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7D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785"/>
    <w:rsid w:val="00BE6ADC"/>
    <w:rsid w:val="00C05BFE"/>
    <w:rsid w:val="00C23CD4"/>
    <w:rsid w:val="00C61C0C"/>
    <w:rsid w:val="00C941CB"/>
    <w:rsid w:val="00CC2357"/>
    <w:rsid w:val="00CF071A"/>
    <w:rsid w:val="00D058B8"/>
    <w:rsid w:val="00D1709F"/>
    <w:rsid w:val="00D43A33"/>
    <w:rsid w:val="00D56C11"/>
    <w:rsid w:val="00D65A9C"/>
    <w:rsid w:val="00D834A0"/>
    <w:rsid w:val="00D872DF"/>
    <w:rsid w:val="00D91E21"/>
    <w:rsid w:val="00D92620"/>
    <w:rsid w:val="00DA7FCD"/>
    <w:rsid w:val="00E365E1"/>
    <w:rsid w:val="00E820A4"/>
    <w:rsid w:val="00EA125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3C341"/>
  <w15:chartTrackingRefBased/>
  <w15:docId w15:val="{C57C5D68-8B72-4BBD-B494-43251FB6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65A9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65A9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65A9C"/>
    <w:rPr>
      <w:sz w:val="24"/>
      <w:lang w:val="pl-PL"/>
    </w:rPr>
  </w:style>
  <w:style w:type="character" w:styleId="Hyperlink">
    <w:name w:val="Hyperlink"/>
    <w:basedOn w:val="DefaultParagraphFont"/>
    <w:rsid w:val="00D43A3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D37D8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9D37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E07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_del/2016/1675/oj" TargetMode="External"/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://data.europa.eu/eli/C/2025/3151/oj" TargetMode="External"/><Relationship Id="rId5" Type="http://schemas.openxmlformats.org/officeDocument/2006/relationships/hyperlink" Target="http://data.europa.eu/eli/reg/2014/833/oj" TargetMode="External"/><Relationship Id="rId4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5381</Words>
  <Characters>36468</Characters>
  <Application>Microsoft Office Word</Application>
  <DocSecurity>0</DocSecurity>
  <Lines>303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2025-11-04T15:50:00Z</dcterms:created>
  <dcterms:modified xsi:type="dcterms:W3CDTF">2025-11-04T15:50:00Z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B10-0419/2025</vt:lpwstr>
  </property>
  <property fmtid="{D5CDD505-2E9C-101B-9397-08002B2CF9AE}" pid="4" name="&lt;Type&gt;">
    <vt:lpwstr>RR</vt:lpwstr>
  </property>
</Properties>
</file>