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5806" w14:paraId="228BB317" w14:textId="77777777" w:rsidTr="0010095E">
        <w:trPr>
          <w:trHeight w:hRule="exact" w:val="1418"/>
        </w:trPr>
        <w:tc>
          <w:tcPr>
            <w:tcW w:w="6804" w:type="dxa"/>
            <w:shd w:val="clear" w:color="auto" w:fill="auto"/>
            <w:vAlign w:val="center"/>
          </w:tcPr>
          <w:p w14:paraId="45D1D664" w14:textId="2ADB92FA" w:rsidR="00751A4A" w:rsidRPr="00735806" w:rsidRDefault="0024577B" w:rsidP="0010095E">
            <w:pPr>
              <w:pStyle w:val="EPName"/>
            </w:pPr>
            <w:r w:rsidRPr="00735806">
              <w:t>Европейски</w:t>
            </w:r>
            <w:r w:rsidR="00D83CA2" w:rsidRPr="00735806">
              <w:t xml:space="preserve"> парламент</w:t>
            </w:r>
          </w:p>
          <w:p w14:paraId="1E1A948B" w14:textId="4EC08C21" w:rsidR="00751A4A" w:rsidRPr="00735806" w:rsidRDefault="005F1B17" w:rsidP="005F1B17">
            <w:pPr>
              <w:pStyle w:val="EPTerm"/>
              <w:rPr>
                <w:rStyle w:val="HideTWBExt"/>
                <w:noProof w:val="0"/>
                <w:vanish w:val="0"/>
                <w:color w:val="auto"/>
              </w:rPr>
            </w:pPr>
            <w:r w:rsidRPr="00735806">
              <w:t>2024</w:t>
            </w:r>
            <w:r w:rsidR="0024577B">
              <w:rPr>
                <w:lang w:val="en-GB"/>
              </w:rPr>
              <w:t> – </w:t>
            </w:r>
            <w:r w:rsidR="00817416" w:rsidRPr="00735806">
              <w:t>202</w:t>
            </w:r>
            <w:r w:rsidRPr="00735806">
              <w:t>9</w:t>
            </w:r>
          </w:p>
        </w:tc>
        <w:tc>
          <w:tcPr>
            <w:tcW w:w="2268" w:type="dxa"/>
            <w:shd w:val="clear" w:color="auto" w:fill="auto"/>
          </w:tcPr>
          <w:p w14:paraId="7CC166A5" w14:textId="77777777" w:rsidR="00751A4A" w:rsidRPr="00735806" w:rsidRDefault="00187494" w:rsidP="0010095E">
            <w:pPr>
              <w:pStyle w:val="EPLogo"/>
            </w:pPr>
            <w:r w:rsidRPr="00735806">
              <w:rPr>
                <w:noProof/>
                <w:lang w:eastAsia="ja-JP"/>
              </w:rPr>
              <w:drawing>
                <wp:inline distT="0" distB="0" distL="0" distR="0" wp14:anchorId="790CEEB6" wp14:editId="002EA3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62499A" w14:textId="77777777" w:rsidR="00D058B8" w:rsidRPr="00735806" w:rsidRDefault="00D058B8" w:rsidP="004C5D52">
      <w:pPr>
        <w:pStyle w:val="LineTop"/>
      </w:pPr>
    </w:p>
    <w:p w14:paraId="29AE8764" w14:textId="77777777" w:rsidR="00680577" w:rsidRPr="00735806" w:rsidRDefault="00D83CA2" w:rsidP="00680577">
      <w:pPr>
        <w:pStyle w:val="EPBodyTA1"/>
      </w:pPr>
      <w:r w:rsidRPr="00735806">
        <w:t>ПРИЕТИ ТЕКСТОВЕ</w:t>
      </w:r>
    </w:p>
    <w:p w14:paraId="278CD721" w14:textId="77777777" w:rsidR="00D058B8" w:rsidRPr="00735806" w:rsidRDefault="00D058B8" w:rsidP="00D058B8">
      <w:pPr>
        <w:pStyle w:val="LineBottom"/>
      </w:pPr>
    </w:p>
    <w:p w14:paraId="6125D19F" w14:textId="435E3EDF" w:rsidR="00D83CA2" w:rsidRPr="00735806" w:rsidRDefault="00D83CA2" w:rsidP="00D83CA2">
      <w:pPr>
        <w:pStyle w:val="ATHeading1"/>
      </w:pPr>
      <w:bookmarkStart w:id="0" w:name="TANumber"/>
      <w:r w:rsidRPr="00735806">
        <w:t>P10_TA(2025)0</w:t>
      </w:r>
      <w:r w:rsidR="007E1758">
        <w:t>231</w:t>
      </w:r>
      <w:bookmarkEnd w:id="0"/>
    </w:p>
    <w:p w14:paraId="02E7A94A" w14:textId="77777777" w:rsidR="00D83CA2" w:rsidRPr="00735806" w:rsidRDefault="00D83CA2" w:rsidP="00D83CA2">
      <w:pPr>
        <w:pStyle w:val="ATHeading2"/>
      </w:pPr>
      <w:bookmarkStart w:id="1" w:name="title"/>
      <w:r w:rsidRPr="00735806">
        <w:t>Втора Световна среща на върха за социално развитие</w:t>
      </w:r>
      <w:bookmarkEnd w:id="1"/>
    </w:p>
    <w:p w14:paraId="0C563E46" w14:textId="77777777" w:rsidR="00D83CA2" w:rsidRPr="00735806" w:rsidRDefault="00D83CA2" w:rsidP="00D83CA2">
      <w:pPr>
        <w:rPr>
          <w:i/>
          <w:vanish/>
        </w:rPr>
      </w:pPr>
      <w:r w:rsidRPr="00735806">
        <w:rPr>
          <w:i/>
        </w:rPr>
        <w:fldChar w:fldCharType="begin"/>
      </w:r>
      <w:r w:rsidRPr="00735806">
        <w:rPr>
          <w:i/>
        </w:rPr>
        <w:instrText xml:space="preserve"> TC"(</w:instrText>
      </w:r>
      <w:bookmarkStart w:id="2" w:name="DocNumber"/>
      <w:r w:rsidRPr="00735806">
        <w:rPr>
          <w:i/>
        </w:rPr>
        <w:instrText>B10-0408/2025</w:instrText>
      </w:r>
      <w:bookmarkEnd w:id="2"/>
      <w:r w:rsidRPr="00735806">
        <w:rPr>
          <w:i/>
        </w:rPr>
        <w:instrText xml:space="preserve">)"\l3 \n&gt; \* MERGEFORMAT </w:instrText>
      </w:r>
      <w:r w:rsidRPr="00735806">
        <w:rPr>
          <w:i/>
        </w:rPr>
        <w:fldChar w:fldCharType="end"/>
      </w:r>
    </w:p>
    <w:p w14:paraId="639FB45C" w14:textId="77777777" w:rsidR="00D83CA2" w:rsidRPr="00735806" w:rsidRDefault="00D83CA2" w:rsidP="00D83CA2">
      <w:pPr>
        <w:rPr>
          <w:vanish/>
        </w:rPr>
      </w:pPr>
      <w:bookmarkStart w:id="3" w:name="PE"/>
      <w:r w:rsidRPr="00735806">
        <w:rPr>
          <w:vanish/>
        </w:rPr>
        <w:t>PE772.196</w:t>
      </w:r>
      <w:bookmarkEnd w:id="3"/>
    </w:p>
    <w:p w14:paraId="55747D08" w14:textId="287B623F" w:rsidR="00D83CA2" w:rsidRPr="0024577B" w:rsidRDefault="00D83CA2" w:rsidP="0024577B">
      <w:pPr>
        <w:pStyle w:val="ATHeading3"/>
        <w:rPr>
          <w:lang w:val="en-GB"/>
        </w:rPr>
      </w:pPr>
      <w:bookmarkStart w:id="4" w:name="Sujet"/>
      <w:r w:rsidRPr="00735806">
        <w:t xml:space="preserve">Резолюция на Европейския парламент от </w:t>
      </w:r>
      <w:r w:rsidR="0024577B">
        <w:rPr>
          <w:lang w:val="en-GB"/>
        </w:rPr>
        <w:t xml:space="preserve">9 </w:t>
      </w:r>
      <w:r w:rsidR="0024577B">
        <w:t>октомври</w:t>
      </w:r>
      <w:r w:rsidRPr="00735806">
        <w:t xml:space="preserve"> 2025 г. относно Втората световна среща на върха за социално развитие</w:t>
      </w:r>
      <w:bookmarkEnd w:id="4"/>
      <w:r w:rsidRPr="00735806">
        <w:t xml:space="preserve"> </w:t>
      </w:r>
      <w:bookmarkStart w:id="5" w:name="References"/>
      <w:r w:rsidRPr="00735806">
        <w:t>(2025/2654(RSP))</w:t>
      </w:r>
      <w:bookmarkEnd w:id="5"/>
    </w:p>
    <w:p w14:paraId="3C0187F9" w14:textId="77777777" w:rsidR="000D3268" w:rsidRPr="00735806" w:rsidRDefault="000D3268" w:rsidP="000D3268">
      <w:pPr>
        <w:pStyle w:val="EPComma"/>
      </w:pPr>
      <w:bookmarkStart w:id="6" w:name="TextBodyBegin"/>
      <w:bookmarkEnd w:id="6"/>
      <w:r w:rsidRPr="00735806">
        <w:rPr>
          <w:i/>
        </w:rPr>
        <w:t>Европейският парламент</w:t>
      </w:r>
      <w:r w:rsidRPr="00735806">
        <w:t>,</w:t>
      </w:r>
    </w:p>
    <w:p w14:paraId="21CA2078" w14:textId="77777777" w:rsidR="000D3268" w:rsidRPr="00735806" w:rsidRDefault="000D3268" w:rsidP="000D3268">
      <w:pPr>
        <w:pStyle w:val="NormalHanging12a"/>
      </w:pPr>
      <w:r w:rsidRPr="00735806">
        <w:t>–</w:t>
      </w:r>
      <w:r w:rsidRPr="00735806">
        <w:tab/>
        <w:t>като взе предвид Договора за Европейския съюз (ДЕС), и по-специално член 3 от него,</w:t>
      </w:r>
    </w:p>
    <w:p w14:paraId="624C5A3B" w14:textId="77777777" w:rsidR="000D3268" w:rsidRPr="00735806" w:rsidRDefault="000D3268" w:rsidP="000D3268">
      <w:pPr>
        <w:pStyle w:val="NormalHanging12a"/>
      </w:pPr>
      <w:r w:rsidRPr="00735806">
        <w:t>–</w:t>
      </w:r>
      <w:r w:rsidRPr="00735806">
        <w:tab/>
        <w:t>като взе предвид Договора за функционирането на Европейския съюз, и по-специално членове 9, 10, 19, 45 – 48 и членове 145 – 161 от него,</w:t>
      </w:r>
    </w:p>
    <w:p w14:paraId="262E83F1" w14:textId="77777777" w:rsidR="000D3268" w:rsidRPr="00735806" w:rsidRDefault="000D3268" w:rsidP="000D3268">
      <w:pPr>
        <w:pStyle w:val="NormalHanging12a"/>
      </w:pPr>
      <w:r w:rsidRPr="00735806">
        <w:t>–</w:t>
      </w:r>
      <w:r w:rsidRPr="00735806">
        <w:tab/>
        <w:t>като взе предвид Хартата на основните права на Европейския съюз,</w:t>
      </w:r>
    </w:p>
    <w:p w14:paraId="61888DB7" w14:textId="77777777" w:rsidR="000D3268" w:rsidRPr="00735806" w:rsidRDefault="000D3268" w:rsidP="000D3268">
      <w:pPr>
        <w:pStyle w:val="NormalHanging12a"/>
      </w:pPr>
      <w:r w:rsidRPr="00735806">
        <w:t>–</w:t>
      </w:r>
      <w:r w:rsidRPr="00735806">
        <w:tab/>
        <w:t>като взе предвид Европейската социална харта,</w:t>
      </w:r>
    </w:p>
    <w:p w14:paraId="4EB1852A" w14:textId="77777777" w:rsidR="000D3268" w:rsidRPr="00735806" w:rsidRDefault="000D3268" w:rsidP="000D3268">
      <w:pPr>
        <w:pStyle w:val="NormalHanging12a"/>
        <w:rPr>
          <w:szCs w:val="24"/>
        </w:rPr>
      </w:pPr>
      <w:r w:rsidRPr="00735806">
        <w:t>–</w:t>
      </w:r>
      <w:r w:rsidRPr="00735806">
        <w:tab/>
        <w:t>като взе предвид Международния пакт за икономически, социални и културни права,</w:t>
      </w:r>
    </w:p>
    <w:p w14:paraId="0B4E7461" w14:textId="77777777" w:rsidR="000D3268" w:rsidRPr="00735806" w:rsidRDefault="000D3268" w:rsidP="000D3268">
      <w:pPr>
        <w:pStyle w:val="NormalHanging12a"/>
      </w:pPr>
      <w:r w:rsidRPr="00735806">
        <w:t>–</w:t>
      </w:r>
      <w:r w:rsidRPr="00735806">
        <w:tab/>
        <w:t>като взе предвид Европейския стълб на социалните права (ЕССП), представен и подписан от Съвета, Парламента и Комисията на 17 ноември 2017 г.,</w:t>
      </w:r>
    </w:p>
    <w:p w14:paraId="5BD351BA" w14:textId="77777777" w:rsidR="000D3268" w:rsidRPr="00735806" w:rsidRDefault="000D3268" w:rsidP="000D3268">
      <w:pPr>
        <w:pStyle w:val="NormalHanging12a"/>
        <w:rPr>
          <w:szCs w:val="24"/>
        </w:rPr>
      </w:pPr>
      <w:r w:rsidRPr="00735806">
        <w:t>–</w:t>
      </w:r>
      <w:r w:rsidRPr="00735806">
        <w:tab/>
        <w:t>като взе предвид Плана за действие на Европейския стълб на социалните права и неговите водещи цели до 2030 г.,</w:t>
      </w:r>
    </w:p>
    <w:p w14:paraId="54F33804" w14:textId="77777777" w:rsidR="000D3268" w:rsidRPr="00735806" w:rsidRDefault="000D3268" w:rsidP="000D3268">
      <w:pPr>
        <w:pStyle w:val="NormalHanging12a"/>
      </w:pPr>
      <w:r w:rsidRPr="00735806">
        <w:t>–</w:t>
      </w:r>
      <w:r w:rsidRPr="00735806">
        <w:tab/>
        <w:t xml:space="preserve">като взе предвид Декларацията от Ла </w:t>
      </w:r>
      <w:proofErr w:type="spellStart"/>
      <w:r w:rsidRPr="00735806">
        <w:t>Юлп</w:t>
      </w:r>
      <w:proofErr w:type="spellEnd"/>
      <w:r w:rsidRPr="00735806">
        <w:t xml:space="preserve"> относно бъдещето на Европейския стълб на социалните права, подписана от Парламента, Комисията, Европейския икономически и социален комитет и Съвета на 16 април 2024 г.,</w:t>
      </w:r>
    </w:p>
    <w:p w14:paraId="11B8DD6E" w14:textId="77777777" w:rsidR="000D3268" w:rsidRPr="00735806" w:rsidRDefault="000D3268" w:rsidP="000D3268">
      <w:pPr>
        <w:pStyle w:val="NormalHanging12a"/>
      </w:pPr>
      <w:r w:rsidRPr="00735806">
        <w:t>–</w:t>
      </w:r>
      <w:r w:rsidRPr="00735806">
        <w:tab/>
        <w:t>като взе предвид Европейската гаранция за децата,</w:t>
      </w:r>
    </w:p>
    <w:p w14:paraId="7C136E9E" w14:textId="77777777" w:rsidR="000D3268" w:rsidRPr="00735806" w:rsidRDefault="000D3268" w:rsidP="000D3268">
      <w:pPr>
        <w:pStyle w:val="NormalHanging12a"/>
        <w:rPr>
          <w:szCs w:val="24"/>
        </w:rPr>
      </w:pPr>
      <w:r w:rsidRPr="00735806">
        <w:t>–</w:t>
      </w:r>
      <w:r w:rsidRPr="00735806">
        <w:tab/>
        <w:t>като взе предвид Европейската стратегия за равенство между половете и Пътната карта за правата на жените,</w:t>
      </w:r>
    </w:p>
    <w:p w14:paraId="1087A34E" w14:textId="77777777" w:rsidR="000D3268" w:rsidRPr="00735806" w:rsidRDefault="000D3268" w:rsidP="000D3268">
      <w:pPr>
        <w:pStyle w:val="NormalHanging12a"/>
        <w:rPr>
          <w:szCs w:val="24"/>
        </w:rPr>
      </w:pPr>
      <w:r w:rsidRPr="00735806">
        <w:t>–</w:t>
      </w:r>
      <w:r w:rsidRPr="00735806">
        <w:tab/>
        <w:t>като взе предвид Стратегията на ЕС за правата на хората с увреждания,</w:t>
      </w:r>
    </w:p>
    <w:p w14:paraId="3E909D36" w14:textId="77777777" w:rsidR="000D3268" w:rsidRPr="00735806" w:rsidRDefault="000D3268" w:rsidP="000D3268">
      <w:pPr>
        <w:pStyle w:val="NormalHanging12a"/>
        <w:rPr>
          <w:szCs w:val="24"/>
        </w:rPr>
      </w:pPr>
      <w:r w:rsidRPr="00735806">
        <w:t>–</w:t>
      </w:r>
      <w:r w:rsidRPr="00735806">
        <w:tab/>
        <w:t xml:space="preserve">като взе предвид целите на ООН за устойчиво развитие (ЦУР), по-специално </w:t>
      </w:r>
      <w:r w:rsidRPr="00735806">
        <w:lastRenderedPageBreak/>
        <w:t>цели 1, 2, 8 и 10,</w:t>
      </w:r>
    </w:p>
    <w:p w14:paraId="4CEBEB18" w14:textId="77777777" w:rsidR="000D3268" w:rsidRPr="00735806" w:rsidRDefault="000D3268" w:rsidP="000D3268">
      <w:pPr>
        <w:pStyle w:val="NormalHanging12a"/>
      </w:pPr>
      <w:r w:rsidRPr="00735806">
        <w:t>–</w:t>
      </w:r>
      <w:r w:rsidRPr="00735806">
        <w:tab/>
        <w:t>като взе предвид Декларацията от Копенхаген за социално развитие от 14 март 1995 г,</w:t>
      </w:r>
    </w:p>
    <w:p w14:paraId="11A6E6B1" w14:textId="77777777" w:rsidR="000D3268" w:rsidRPr="00735806" w:rsidRDefault="000D3268" w:rsidP="000D3268">
      <w:pPr>
        <w:pStyle w:val="NormalHanging12a"/>
        <w:rPr>
          <w:szCs w:val="24"/>
        </w:rPr>
      </w:pPr>
      <w:r w:rsidRPr="00735806">
        <w:t>–</w:t>
      </w:r>
      <w:r w:rsidRPr="00735806">
        <w:tab/>
        <w:t>като взе предвид основните конвенции на Международната организация на труда (МОТ),</w:t>
      </w:r>
    </w:p>
    <w:p w14:paraId="4AECC827" w14:textId="77777777" w:rsidR="000D3268" w:rsidRPr="00735806" w:rsidRDefault="000D3268" w:rsidP="000D3268">
      <w:pPr>
        <w:pStyle w:val="NormalHanging12a"/>
      </w:pPr>
      <w:r w:rsidRPr="00735806">
        <w:t>–</w:t>
      </w:r>
      <w:r w:rsidRPr="00735806">
        <w:tab/>
        <w:t>като взе предвид Резолюция 78/318 на Общото събрание на ООН от 16 юли 2024 г. относно условията на провеждане на „Световна среща на върха“, озаглавена „Втора световна среща на върха за социално развитие“,</w:t>
      </w:r>
    </w:p>
    <w:p w14:paraId="78C74E51" w14:textId="77777777" w:rsidR="000D3268" w:rsidRPr="00735806" w:rsidRDefault="000D3268" w:rsidP="000D3268">
      <w:pPr>
        <w:pStyle w:val="NormalHanging12a"/>
      </w:pPr>
      <w:r w:rsidRPr="00735806">
        <w:t>–</w:t>
      </w:r>
      <w:r w:rsidRPr="00735806">
        <w:tab/>
        <w:t xml:space="preserve">като взе предвид Пакта за бъдещето, приет на срещата на върха на ООН през септември 2024 г., </w:t>
      </w:r>
    </w:p>
    <w:p w14:paraId="11146494" w14:textId="77777777" w:rsidR="000D3268" w:rsidRPr="00735806" w:rsidRDefault="000D3268" w:rsidP="000D3268">
      <w:pPr>
        <w:pStyle w:val="NormalHanging12a"/>
      </w:pPr>
      <w:r w:rsidRPr="00735806">
        <w:t>–</w:t>
      </w:r>
      <w:r w:rsidRPr="00735806">
        <w:tab/>
        <w:t>като взе предвид политическата декларация, приета на Политическия форум на високо равнище за устойчивото развитие, проведен под егидата на Общото събрание на ООН през септември 2023 г.,</w:t>
      </w:r>
    </w:p>
    <w:p w14:paraId="56632BA6" w14:textId="77777777" w:rsidR="000D3268" w:rsidRPr="00735806" w:rsidRDefault="000D3268" w:rsidP="000D3268">
      <w:pPr>
        <w:pStyle w:val="NormalHanging12a"/>
      </w:pPr>
      <w:r w:rsidRPr="00735806">
        <w:t>–</w:t>
      </w:r>
      <w:r w:rsidRPr="00735806">
        <w:tab/>
        <w:t>като взе предвид член 136, параграф 2 от своя Правилник за дейността,</w:t>
      </w:r>
    </w:p>
    <w:p w14:paraId="358E6DC0" w14:textId="77777777" w:rsidR="000D3268" w:rsidRPr="00735806" w:rsidRDefault="000D3268" w:rsidP="000D3268">
      <w:pPr>
        <w:pStyle w:val="NormalHanging12a"/>
      </w:pPr>
      <w:r w:rsidRPr="00735806">
        <w:t>–</w:t>
      </w:r>
      <w:r w:rsidRPr="00735806">
        <w:tab/>
        <w:t>като взе предвид предложението за резолюция на комисията по заетост и социални въпроси,</w:t>
      </w:r>
    </w:p>
    <w:p w14:paraId="34152E8D" w14:textId="77777777" w:rsidR="000D3268" w:rsidRPr="00735806" w:rsidRDefault="000D3268" w:rsidP="000D3268">
      <w:pPr>
        <w:pStyle w:val="NormalHanging12a"/>
        <w:rPr>
          <w:szCs w:val="24"/>
        </w:rPr>
      </w:pPr>
      <w:r w:rsidRPr="00735806">
        <w:t>А.</w:t>
      </w:r>
      <w:r w:rsidRPr="00735806">
        <w:tab/>
        <w:t>като има предвид, че устойчивото развитие е основен принцип на ДЕС; като има предвид, че 17-те ЦУР са в основата на Програмата до 2030 г. за устойчиво развитие, приета от всички държави – членки на ООН, през 2015 г.; като има предвид, че ангажиментът на ЕС към Програмата до 2030 г. беше превърнат в набор от трансформиращи политики на ЕС;</w:t>
      </w:r>
    </w:p>
    <w:p w14:paraId="2BA79BDC" w14:textId="77777777" w:rsidR="000D3268" w:rsidRPr="00735806" w:rsidRDefault="000D3268" w:rsidP="000D3268">
      <w:pPr>
        <w:pStyle w:val="NormalHanging12a"/>
        <w:rPr>
          <w:szCs w:val="24"/>
        </w:rPr>
      </w:pPr>
      <w:r w:rsidRPr="00735806">
        <w:t>Б.</w:t>
      </w:r>
      <w:r w:rsidRPr="00735806">
        <w:tab/>
        <w:t>като има предвид, че в ЕС продължават да съществуват значителни неравенства между хората и регионите, особено неравенство по отношение на доходите и неравенство между половете, като същевременно инфлацията и нарастващите разходи за живот засягат непропорционално домакинствата с ниски доходи и уязвимите домакинства; като има предвид, че жилищната криза продължава да бъде значително предизвикателство в целия ЕС, което води до изключване от жилищно настаняване, до жилищна несигурност, повишени разходи за жилище и непригодност на жилищата; като има предвид, че тези въпроси се отразяват неблагоприятно на социалното сближаване, възходящата социална конвергенция и социалното благополучие на хората, живеещи в ЕС; като има предвид, че според някои проучвания 10% от най-заможните лица притежават зашеметяващите 67% от богатството на Европа, докато долната половина от възрастните притежава едва 1,2% от него</w:t>
      </w:r>
      <w:r w:rsidRPr="00735806">
        <w:rPr>
          <w:vertAlign w:val="superscript"/>
        </w:rPr>
        <w:footnoteReference w:id="1"/>
      </w:r>
      <w:r w:rsidRPr="00735806">
        <w:t xml:space="preserve">; като има предвид, че през 2023 г. коефициентът на </w:t>
      </w:r>
      <w:proofErr w:type="spellStart"/>
      <w:r w:rsidRPr="00735806">
        <w:t>Джини</w:t>
      </w:r>
      <w:proofErr w:type="spellEnd"/>
      <w:r w:rsidRPr="00735806">
        <w:t xml:space="preserve"> за ЕС-27 е бил 29,6%, като от 2014 г. насам тенденцията е леко низходяща, а 13 държави членки са над тази средна стойност</w:t>
      </w:r>
      <w:r w:rsidRPr="00735806">
        <w:rPr>
          <w:vertAlign w:val="superscript"/>
        </w:rPr>
        <w:footnoteReference w:id="2"/>
      </w:r>
      <w:r w:rsidRPr="00735806">
        <w:t>;</w:t>
      </w:r>
    </w:p>
    <w:p w14:paraId="58130915" w14:textId="77777777" w:rsidR="000D3268" w:rsidRPr="00735806" w:rsidRDefault="000D3268" w:rsidP="000D3268">
      <w:pPr>
        <w:pStyle w:val="NormalHanging12a"/>
        <w:rPr>
          <w:szCs w:val="24"/>
        </w:rPr>
      </w:pPr>
      <w:r w:rsidRPr="00735806">
        <w:lastRenderedPageBreak/>
        <w:t>В.</w:t>
      </w:r>
      <w:r w:rsidRPr="00735806">
        <w:tab/>
        <w:t>като има предвид, че в Плана за действие на ЕССП ЕС пое ангажимент за намаляване на броя на хората, изложени на риск от бедност и социално изключване, с най-малко 15 милиона до 2030 г., като в тази цел се включват най-малко 5 милиона деца; като има предвид, че за съжаление в почти половината от държавите членки данните показват обръщане на напредъка по отношение на намаляването на бедността; като има предвид, че всяко пето дете в ЕС все още е изложено на риск от бедност и социално изключване; като има предвид, че ако настоящата тенденция продължи, ЕС няма да постигне целта си за 2030 г.; като има предвид освен това, че енергийната бедност засяга повече от един на всеки десет европейци, което изостря неравенството; като има предвид, че положението в световен мащаб е още по-лошо, като почти 700 милиона души живеят в крайна бедност, а още 2,8 милиарда живеят между прага на крайна бедност и стандарта от 6,85 щатски долара на ден</w:t>
      </w:r>
      <w:r w:rsidRPr="00735806">
        <w:rPr>
          <w:vertAlign w:val="superscript"/>
        </w:rPr>
        <w:footnoteReference w:id="3"/>
      </w:r>
      <w:r w:rsidRPr="00735806">
        <w:t>, а до 35% от хората, които са се измъкнали от бедността през последните три десетилетия, отново са обеднели;</w:t>
      </w:r>
    </w:p>
    <w:p w14:paraId="6D505360" w14:textId="77777777" w:rsidR="000D3268" w:rsidRPr="00735806" w:rsidRDefault="000D3268" w:rsidP="000D3268">
      <w:pPr>
        <w:pStyle w:val="NormalHanging12a"/>
        <w:rPr>
          <w:szCs w:val="24"/>
        </w:rPr>
      </w:pPr>
      <w:r w:rsidRPr="00735806">
        <w:t>Г.</w:t>
      </w:r>
      <w:r w:rsidRPr="00735806">
        <w:tab/>
        <w:t>като има предвид, че е отбелязан напредък в постигането на целта на ЕС в областта на заетостта, а именно, че най-малко 78% от хората на възраст между 20 и 64 години следва да бъдат трудово заети до 2030 г.; като има предвид, че според икономическата прогноза на Комисията от есента на 2024 г. заетостта в ЕС е достигнала 75,8%; като има предвид, че в две трети от държавите членки ръстът на заетостта през 2023 г. беше на път да постигне националната цел за 2030 г.; като има предвид, че въпреки това продължават да съществуват значителни предизвикателства, например разликата в заетостта между жените и мъжете и високите равнища на безработица в някои държави членки, запазваща се сегментация на пазара на труда, недостатъци в социалната закрила, висока честота на несигурни и нестандартни работни места</w:t>
      </w:r>
      <w:r w:rsidRPr="00735806">
        <w:rPr>
          <w:vertAlign w:val="superscript"/>
        </w:rPr>
        <w:footnoteReference w:id="4"/>
      </w:r>
      <w:r w:rsidRPr="00735806">
        <w:t xml:space="preserve"> и продължаващи различия в достъпа до качествена заетост между секторите и регионите; като има предвид, че през 2024 г. 66,6% от безработните и 10,9% от заетите лица са били изложени на риск от бедност</w:t>
      </w:r>
      <w:r w:rsidRPr="00735806">
        <w:rPr>
          <w:rStyle w:val="FootnoteReference"/>
        </w:rPr>
        <w:footnoteReference w:id="5"/>
      </w:r>
      <w:r w:rsidRPr="00735806">
        <w:t>;</w:t>
      </w:r>
    </w:p>
    <w:p w14:paraId="3D9B8788" w14:textId="77777777" w:rsidR="000D3268" w:rsidRPr="00735806" w:rsidRDefault="000D3268" w:rsidP="000D3268">
      <w:pPr>
        <w:pStyle w:val="NormalHanging12a"/>
        <w:rPr>
          <w:szCs w:val="24"/>
        </w:rPr>
      </w:pPr>
      <w:r w:rsidRPr="00735806">
        <w:t>Д.</w:t>
      </w:r>
      <w:r w:rsidRPr="00735806">
        <w:tab/>
        <w:t>като има предвид, че в ЕС слабите резултати по основни умения като четене, математика и точни науки се увеличават, особено сред учещите в неравностойно положение; като има предвид, че това неравенство в образованието подкопава равния достъп до допълнително образование, възможности за обучение и качествена заетост и допринася за продължаващото социално изключване и изключване от пазара на труда;</w:t>
      </w:r>
    </w:p>
    <w:p w14:paraId="12AB376A" w14:textId="77777777" w:rsidR="000D3268" w:rsidRPr="00735806" w:rsidRDefault="000D3268" w:rsidP="000D3268">
      <w:pPr>
        <w:pStyle w:val="NormalHanging12a"/>
      </w:pPr>
      <w:r w:rsidRPr="00735806">
        <w:t>Е.</w:t>
      </w:r>
      <w:r w:rsidRPr="00735806">
        <w:tab/>
        <w:t>като има предвид, че ЕС е приел целта до 2030 г. най-малко 60% от възрастното население ежегодно да участва в обучение; като има предвид, че държавите членки са се ангажирали с национални цели, за да постигнат тази водеща цел, и като има предвид, че настоящото равнище на участие в държавите членки е едва 39,5%;</w:t>
      </w:r>
    </w:p>
    <w:p w14:paraId="4D798A2A" w14:textId="77777777" w:rsidR="000D3268" w:rsidRPr="00735806" w:rsidRDefault="000D3268" w:rsidP="000D3268">
      <w:pPr>
        <w:pStyle w:val="NormalHanging12a"/>
        <w:rPr>
          <w:szCs w:val="24"/>
        </w:rPr>
      </w:pPr>
      <w:r w:rsidRPr="00735806">
        <w:t>Ж.</w:t>
      </w:r>
      <w:r w:rsidRPr="00735806">
        <w:tab/>
        <w:t xml:space="preserve">като има предвид, че демографските предизвикателства, включително застаряването на населението, ниската раждаемост и обезлюдяването на селските </w:t>
      </w:r>
      <w:r w:rsidRPr="00735806">
        <w:lastRenderedPageBreak/>
        <w:t>райони, като по-специално младите хора се преместват в градските райони, биха могли да влошат икономическите неравенства и да навредят на социалния напредък и на привлекателността на европейските региони, пазарите на труда, публичната инфраструктура и следователно устойчивостта на социалните системи и допълнително да задълбочат регионалните различия в ЕС; като има предвид, че следователно тези предизвикателства представляват структурно предизвикателство за икономиката на ЕС; като има предвид, че интеграцията на мигрантите на пазара на труда може да облекчи недостига на работна ръка; като има предвид, че липсата на всеобщ обществен достъп до грижи за деца (на възраст от 0 до 3 години) и до висше образование, липсата на жилища на достъпни цени, несъществуващите или недостатъчните детски надбавки и недостатъчният платен родителски отпуск са сред факторите, които допринасят значително за ниската раждаемост;</w:t>
      </w:r>
    </w:p>
    <w:p w14:paraId="4AB650FD" w14:textId="77777777" w:rsidR="000D3268" w:rsidRPr="00735806" w:rsidRDefault="000D3268" w:rsidP="000D3268">
      <w:pPr>
        <w:pStyle w:val="NormalHanging12a"/>
      </w:pPr>
      <w:r w:rsidRPr="00735806">
        <w:t>З.</w:t>
      </w:r>
      <w:r w:rsidRPr="00735806">
        <w:tab/>
        <w:t>като има предвид, че недостигът на работна ръка и умения се увеличава в целия ЕС поради демографските промени, екологичния и цифровия преход и на търсенето на нови умения; като има предвид, че лошите условия на труд и несъответствията между търсените и предлаганите умения в определени сектори пряко ограничават капацитета на ЕС да привлича и задържа таланти както от трети държави, така и в рамките на ЕС; като има предвид, че качествената заетост с по-високи заплати и стабилност на работните места, както и интеграцията на граждани на трети държави на пазарите на труда могат да спомогнат за справяне с тези предизвикателства;</w:t>
      </w:r>
    </w:p>
    <w:p w14:paraId="4F4DCAAF" w14:textId="77777777" w:rsidR="000D3268" w:rsidRPr="00735806" w:rsidRDefault="000D3268" w:rsidP="000D3268">
      <w:pPr>
        <w:pStyle w:val="NormalHanging12a"/>
      </w:pPr>
      <w:r w:rsidRPr="00735806">
        <w:t>И.</w:t>
      </w:r>
      <w:r w:rsidRPr="00735806">
        <w:tab/>
        <w:t xml:space="preserve">като има предвид, че докладът на </w:t>
      </w:r>
      <w:proofErr w:type="spellStart"/>
      <w:r w:rsidRPr="00735806">
        <w:t>Eurofound</w:t>
      </w:r>
      <w:proofErr w:type="spellEnd"/>
      <w:r w:rsidRPr="00735806">
        <w:t xml:space="preserve"> за 2024 г. показва, че от 2021 г. процентът на самоубийствата, след десетилетия на спад, непрекъснато се увеличава; като има предвид, че трябва да се направи повече за преодоляване на причините за психичните разстройства при условията на живот и труд</w:t>
      </w:r>
      <w:r w:rsidRPr="00735806">
        <w:rPr>
          <w:vertAlign w:val="superscript"/>
        </w:rPr>
        <w:footnoteReference w:id="6"/>
      </w:r>
      <w:r w:rsidRPr="00735806">
        <w:t>;</w:t>
      </w:r>
    </w:p>
    <w:p w14:paraId="76656E11" w14:textId="77777777" w:rsidR="000D3268" w:rsidRPr="00735806" w:rsidRDefault="000D3268" w:rsidP="000D3268">
      <w:pPr>
        <w:pStyle w:val="NormalHanging12a"/>
      </w:pPr>
      <w:r w:rsidRPr="00735806">
        <w:t>Й.</w:t>
      </w:r>
      <w:r w:rsidRPr="00735806">
        <w:tab/>
        <w:t>като има предвид, че социалната икономика, включително социалните предприятия, обхваща различни видове частни субекти, независими от публичните органи, например кооперации, взаимоспомагателни дружества, сдружения (включително благотворителни организации), фондации (включително трудова интеграция), социални предприятия и други правни форми в зависимост от всяка държава – членка на ЕС; отбелязва, че това многообразие от предприятия и организации, които извършват дейност във всички области, споделят силна идентичност, основана на споделени ценности и характеристики като равенство между половете, местна и регионална отговорност, чувствителност към предизвикателствата, свързани с климата и околната среда, приобщаване и демократично управление и поставяне на хората и социалната цел над капитала, така че по-голямата част от печалбите да се реинвестират, като се ограничава разпределението между членовете или акционерите, за да се постигнат целите на организацията за устойчиво развитие или да се обслужва колективният и общественият интерес;</w:t>
      </w:r>
    </w:p>
    <w:p w14:paraId="2C3C81DB" w14:textId="77777777" w:rsidR="000D3268" w:rsidRPr="00735806" w:rsidRDefault="000D3268" w:rsidP="000D3268">
      <w:pPr>
        <w:pStyle w:val="NormalHanging12a"/>
      </w:pPr>
      <w:r w:rsidRPr="00735806">
        <w:t>К.</w:t>
      </w:r>
      <w:r w:rsidRPr="00735806">
        <w:tab/>
        <w:t xml:space="preserve">като има предвид, че на фона на упорито бавното намаляване на разликата в заплащането на жените и мъжете, проучванията на </w:t>
      </w:r>
      <w:proofErr w:type="spellStart"/>
      <w:r w:rsidRPr="00735806">
        <w:t>Eurofound</w:t>
      </w:r>
      <w:proofErr w:type="spellEnd"/>
      <w:r w:rsidRPr="00735806">
        <w:t xml:space="preserve"> показват, че много </w:t>
      </w:r>
      <w:r w:rsidRPr="00735806">
        <w:lastRenderedPageBreak/>
        <w:t>държави членки до момента не са приложили никакви мерки за прозрачност на заплащането, а повечето действащи национални инструменти все още не изискват еднакво оценяване на работата в своята цялост</w:t>
      </w:r>
      <w:r w:rsidRPr="00735806">
        <w:rPr>
          <w:vertAlign w:val="superscript"/>
        </w:rPr>
        <w:footnoteReference w:id="7"/>
      </w:r>
      <w:r w:rsidRPr="00735806">
        <w:t>;</w:t>
      </w:r>
    </w:p>
    <w:p w14:paraId="284E75D1" w14:textId="77777777" w:rsidR="000D3268" w:rsidRPr="00735806" w:rsidRDefault="000D3268" w:rsidP="000D3268">
      <w:pPr>
        <w:pStyle w:val="NormalHanging12a"/>
        <w:rPr>
          <w:szCs w:val="24"/>
        </w:rPr>
      </w:pPr>
      <w:r w:rsidRPr="00735806">
        <w:t>Л.</w:t>
      </w:r>
      <w:r w:rsidRPr="00735806">
        <w:tab/>
        <w:t>като има предвид, че справедливата трудова мобилност е залегнала в Договорите и предлага възможности за дружествата и за работниците и следва да се насърчава сред работниците в рамките на ЕС и сред работниците от трети държави, като същевременно се гарантира пълното зачитане и прилагане на трудовите и социалните права, включително за гражданите на трети държави чрез законна миграция, както и равното третиране, недискриминацията и борбата с недекларирания труд;</w:t>
      </w:r>
    </w:p>
    <w:p w14:paraId="650AA2CC" w14:textId="77777777" w:rsidR="000D3268" w:rsidRPr="00735806" w:rsidRDefault="000D3268" w:rsidP="000D3268">
      <w:pPr>
        <w:pStyle w:val="NormalHanging12a"/>
      </w:pPr>
      <w:r w:rsidRPr="00735806">
        <w:t>М.</w:t>
      </w:r>
      <w:r w:rsidRPr="00735806">
        <w:tab/>
        <w:t>като има предвид, че тристранната структура и широкото членство в МОТ я определят като лидер в световните трудови стандарти; като има предвид, че в контекста на мисията на МОТ за насърчаване на социалната справедливост нейните основни принципи и правата на работното място са насочени към гарантирането на справедлива и достойна работна среда за всички, включително свобода на сдружаване и правото на колективно договаряне, премахването на всички форми на принудителен или задължителен труд, ефективното премахване на детския труд, премахването на дискриминацията по отношение на заетостта и професиите и правото на безопасна и здравословна работна среда; като има предвид, че в контекста на ЕС тези права са защитени от Договорите на ЕС, Хартата на основните права и достиженията на правото на ЕС в областта на трудовото право; като има предвид, че някои държави членки са изправени пред предизвикателства при изпълнението и прилагането на тези задължения;</w:t>
      </w:r>
    </w:p>
    <w:p w14:paraId="64145E13" w14:textId="77777777" w:rsidR="000D3268" w:rsidRPr="00735806" w:rsidRDefault="000D3268" w:rsidP="000D3268">
      <w:pPr>
        <w:pStyle w:val="NormalHanging12a"/>
        <w:rPr>
          <w:szCs w:val="24"/>
        </w:rPr>
      </w:pPr>
      <w:r w:rsidRPr="00735806">
        <w:t>Н.</w:t>
      </w:r>
      <w:r w:rsidRPr="00735806">
        <w:tab/>
        <w:t>като има предвид, че социалните партньори и организациите на гражданското общество имат основна роля за осигуряването на достойни условия на труд и насърчаването на социална справедливост и равенство; като има предвид, че според научните изследвания индустриалната демокрация е тясно свързана с качеството на труда и заетостта и конкурентоспособността на промишлеността</w:t>
      </w:r>
      <w:r w:rsidRPr="00735806">
        <w:rPr>
          <w:vertAlign w:val="superscript"/>
        </w:rPr>
        <w:footnoteReference w:id="8"/>
      </w:r>
      <w:r w:rsidRPr="00735806">
        <w:t>;</w:t>
      </w:r>
    </w:p>
    <w:p w14:paraId="7C69E34E" w14:textId="77777777" w:rsidR="000D3268" w:rsidRPr="00735806" w:rsidRDefault="000D3268" w:rsidP="000D3268">
      <w:pPr>
        <w:pStyle w:val="NormalHanging12a"/>
      </w:pPr>
      <w:r w:rsidRPr="00735806">
        <w:t>1.</w:t>
      </w:r>
      <w:r w:rsidRPr="00735806">
        <w:tab/>
        <w:t xml:space="preserve">счита, че за да постигнат водещите цели за 2030 г., Комисията и държавите членки следва да активизират усилията си за прилагане на ЕССП в съответствие с Декларацията от Ла </w:t>
      </w:r>
      <w:proofErr w:type="spellStart"/>
      <w:r w:rsidRPr="00735806">
        <w:t>Юлп</w:t>
      </w:r>
      <w:proofErr w:type="spellEnd"/>
      <w:r w:rsidRPr="00735806">
        <w:t xml:space="preserve"> и чрез амбициозна актуализация на плана за действие; призовава Комисията, като част от актуализирания план за действие, да допълни настоящите водещи цели по целесъобразност, както и да предложи законодателни инициативи за пълното прилагане на ЕССП;</w:t>
      </w:r>
    </w:p>
    <w:p w14:paraId="05421077" w14:textId="77777777" w:rsidR="000D3268" w:rsidRPr="00735806" w:rsidRDefault="000D3268" w:rsidP="000D3268">
      <w:pPr>
        <w:pStyle w:val="NormalHanging12a"/>
      </w:pPr>
      <w:r w:rsidRPr="00735806">
        <w:t>2.</w:t>
      </w:r>
      <w:r w:rsidRPr="00735806">
        <w:tab/>
        <w:t>призовава Комисията и държавите членки да си сътрудничат с Парламента при разработването на нов Европейски социален пакт за бъдещето с ясни ангажименти и инвестиции в следните две области: намаляване на риска от бедност и социално изключване в ЕС и постигане на нулеви нетни емисии в ЕС до 2050 г.;</w:t>
      </w:r>
    </w:p>
    <w:p w14:paraId="527E52B6" w14:textId="77777777" w:rsidR="000D3268" w:rsidRPr="00735806" w:rsidRDefault="000D3268" w:rsidP="000D3268">
      <w:pPr>
        <w:pStyle w:val="NormalHanging12a"/>
        <w:rPr>
          <w:szCs w:val="24"/>
        </w:rPr>
      </w:pPr>
      <w:r w:rsidRPr="00735806">
        <w:lastRenderedPageBreak/>
        <w:t>3.</w:t>
      </w:r>
      <w:r w:rsidRPr="00735806">
        <w:tab/>
        <w:t>признава продължаващата важност и значение, както и взаимосвързания и взаимно подсилващ се характер на трите основни теми на Световната среща на върха през 1995 г. в Копенхаген, считани за трите стълба на социалното развитие, а именно изкореняване на бедността, пълна и продуктивна заетост и достоен труд за всички, както и социално приобщаване;</w:t>
      </w:r>
    </w:p>
    <w:p w14:paraId="5337F3C5" w14:textId="77777777" w:rsidR="000D3268" w:rsidRPr="00735806" w:rsidRDefault="000D3268" w:rsidP="000D3268">
      <w:pPr>
        <w:pStyle w:val="NormalHanging12a"/>
        <w:rPr>
          <w:szCs w:val="24"/>
        </w:rPr>
      </w:pPr>
      <w:r w:rsidRPr="00735806">
        <w:t>4.</w:t>
      </w:r>
      <w:r w:rsidRPr="00735806">
        <w:tab/>
        <w:t>подчертава значението на използването на набора от социални показатели и Рамката за социална конвергенция, за да се идентифицират рисковете и да се проследява напредъкът към постигането на възходяща социална конвергенция, намаляването на неравенствата, укрепването на системите за социална закрила и насърчаването на достойни условия на труд и подкрепящи мерки, за да се гарантира справедливост при прехода; във връзка с това подчертава, че е необходимо да се гарантира устойчива, социално справедлива и приобщаваща Европа, където социалните права са напълно защитени и гарантирани; припомня, че един от приоритетите на гражданите на ЕС е социална Европа; поради това подчертава необходимостта Комисията спешно да представи пакет за качествени работни места, включващ необходимите законодателни инициативи и инвестиции за гарантиране на качествени работни места;</w:t>
      </w:r>
    </w:p>
    <w:p w14:paraId="248FBCBC" w14:textId="77777777" w:rsidR="000D3268" w:rsidRPr="00735806" w:rsidRDefault="000D3268" w:rsidP="000D3268">
      <w:pPr>
        <w:pStyle w:val="NormalHanging12a"/>
        <w:rPr>
          <w:szCs w:val="24"/>
        </w:rPr>
      </w:pPr>
      <w:r w:rsidRPr="00735806">
        <w:t>5.</w:t>
      </w:r>
      <w:r w:rsidRPr="00735806">
        <w:tab/>
        <w:t>настоятелно призовава Комисията и държавите членки да насърчават демокрацията на работното място, социалния диалог и колективното договаряне и защитата на правата на работниците, особено в контекста на екологичния и цифровия преход; подчертава необходимостта от продължаване на разпределянето на достатъчно ресурси в следващата многогодишна финансова рамка (МФР) в подкрепа на социалния диалог и колективното договаряне и за укрепване на изграждането на капацитет за социалните партньори; призовава за допълнителни усилия, за да се гарантира равно заплащане за равен труд, извършван от мъжете и жените, да се повиши прозрачността в заплащането и да се преодолее неравенството, основано на пола, за да се премахнат разликите в заплащането, пенсиите и заетостта между мъжете и жените в ЕС; призовава Комисията и държавите членки да прилагат интегриран подход за равенство между половете във всички области на политиката и законодателни актове;</w:t>
      </w:r>
    </w:p>
    <w:p w14:paraId="39484EEA" w14:textId="77777777" w:rsidR="000D3268" w:rsidRPr="00735806" w:rsidRDefault="000D3268" w:rsidP="000D3268">
      <w:pPr>
        <w:pStyle w:val="NormalHanging12a"/>
        <w:rPr>
          <w:szCs w:val="24"/>
        </w:rPr>
      </w:pPr>
      <w:r w:rsidRPr="00735806">
        <w:t>6.</w:t>
      </w:r>
      <w:r w:rsidRPr="00735806">
        <w:tab/>
        <w:t>призовава за увеличаване на усилията за борба с насилието, дискриминацията и тормоза в сферата на труда; подчертава значението на превантивните и защитните мерки на работното място за защита на благосъстоянието и физическото и психичното здраве на работниците; отбелязва нарастването на психологическия стрес на работното място в резултат на новите форми на организация на труда, постоянната свързаност и цифровото наблюдение</w:t>
      </w:r>
      <w:r w:rsidRPr="00735806">
        <w:rPr>
          <w:vertAlign w:val="superscript"/>
        </w:rPr>
        <w:footnoteReference w:id="9"/>
      </w:r>
      <w:r w:rsidRPr="00735806">
        <w:t>;</w:t>
      </w:r>
    </w:p>
    <w:p w14:paraId="26083FF3" w14:textId="77777777" w:rsidR="000D3268" w:rsidRPr="00735806" w:rsidRDefault="000D3268" w:rsidP="000D3268">
      <w:pPr>
        <w:pStyle w:val="NormalHanging12a"/>
      </w:pPr>
      <w:r w:rsidRPr="00735806">
        <w:t>7.</w:t>
      </w:r>
      <w:r w:rsidRPr="00735806">
        <w:tab/>
        <w:t xml:space="preserve">припомня, че в Програмата на ООН до 2030 г. за устойчиво развитие и свързаните с нея цели се признава, че изкореняването на бедността във всичките ѝ форми и измерения, включително крайната бедност, е най-голямото глобално предизвикателство и задължително изискване за устойчиво развитие, както и че никой не трябва да бъде изоставен, а на най-нуждаещите се трябва да се помогне най-напред; поради това призовава за цялостен поглед върху изкореняването на бедността, върху социалната закрила и приобщаването и за представяне на амбициозна стратегия, придружена от достатъчна подкрепа в следващата МФР, </w:t>
      </w:r>
      <w:r w:rsidRPr="00735806">
        <w:lastRenderedPageBreak/>
        <w:t>въз основа на предстоящия доклад по собствена инициатива на Парламента относно стратегията на ЕС за борба с бедността, и за амбициозен план за жилища на достъпни цени с цел справяне с жилищната криза и борба с бездомничеството; подчертава, че тези нови инициативи трябва да допълват други свързани стратегии на ЕС, за да се гарантира многоизмерен подход за справяне с бедността; припомня, че още през 2020 г. Комисията прогнозира, че социалните инвестиции годишно ще бъдат със 192 млрд. евро по-малко от необходимото за посрещане на нуждите на гражданите; във връзка с това изтъква ролята на съответните европейски фондове в борбата с бедността и социалното изключване и подчертава необходимостта от поддържане на силни самостоятелни инструменти за борба с бедността и социалното изключване в следващата МФР;</w:t>
      </w:r>
    </w:p>
    <w:p w14:paraId="258A180F" w14:textId="77777777" w:rsidR="000D3268" w:rsidRPr="00735806" w:rsidRDefault="000D3268" w:rsidP="000D3268">
      <w:pPr>
        <w:pStyle w:val="NormalHanging12a"/>
        <w:rPr>
          <w:szCs w:val="24"/>
        </w:rPr>
      </w:pPr>
      <w:r w:rsidRPr="00735806">
        <w:t>8.</w:t>
      </w:r>
      <w:r w:rsidRPr="00735806">
        <w:tab/>
        <w:t>освен това припомня ролята на ЕС за социалното развитие на трети държави, включително чрез фондове като Глобална Европа; изразява дълбоко съжаление, че редица държави са преустановили финансирането за развитието, включително за социалното развитие, а това има катастрофални последици за живота и препитанието на хората; настоятелно призовава ЕС да продължи твърдия си ангажимент за подкрепа на социалното развитие в отвъдморските територии в настоящата и следващата МФР, за да гарантира стабилност и стабилно финансиране и за да установи контакт с всички съответни участници с оглед на постоянен ангажимент към целите на социалното развитие в световен мащаб;</w:t>
      </w:r>
    </w:p>
    <w:p w14:paraId="3DC9B591" w14:textId="6E24A8C0" w:rsidR="000D3268" w:rsidRPr="00735806" w:rsidRDefault="000D3268" w:rsidP="000D3268">
      <w:pPr>
        <w:pStyle w:val="NormalHanging12a"/>
        <w:rPr>
          <w:szCs w:val="24"/>
        </w:rPr>
      </w:pPr>
      <w:r w:rsidRPr="00735806">
        <w:t>9.</w:t>
      </w:r>
      <w:r w:rsidRPr="00735806">
        <w:tab/>
        <w:t xml:space="preserve">настоятелно призовава всички държави членки да положат допълнителни усилия за справяне с детската бедност чрез изпълнението на националния си план за действие в рамките на Европейската гаранция за децата и призовава Комисията да гарантира, че в следващата МФР </w:t>
      </w:r>
      <w:r w:rsidR="007E1758">
        <w:t xml:space="preserve">ще </w:t>
      </w:r>
      <w:r w:rsidR="007E1758" w:rsidRPr="007E1758">
        <w:t>бъдат отпуснати значителни бюджетни средства за това</w:t>
      </w:r>
      <w:r w:rsidRPr="00735806">
        <w:t>;</w:t>
      </w:r>
    </w:p>
    <w:p w14:paraId="7E474567" w14:textId="77777777" w:rsidR="000D3268" w:rsidRPr="00735806" w:rsidRDefault="000D3268" w:rsidP="000D3268">
      <w:pPr>
        <w:pStyle w:val="NormalHanging12a"/>
        <w:rPr>
          <w:szCs w:val="24"/>
        </w:rPr>
      </w:pPr>
      <w:r w:rsidRPr="00735806">
        <w:t>10.</w:t>
      </w:r>
      <w:r w:rsidRPr="00735806">
        <w:tab/>
        <w:t>приветства неотдавнашното приемане на Директивата относно работата през платформа</w:t>
      </w:r>
      <w:r w:rsidRPr="00735806">
        <w:rPr>
          <w:rStyle w:val="FootnoteReference"/>
        </w:rPr>
        <w:footnoteReference w:id="10"/>
      </w:r>
      <w:r w:rsidRPr="00735806">
        <w:t xml:space="preserve"> като ключова стъпка към защитата на работниците в цифровата икономика; подчертава необходимостта от разширяване на обхвата на същата защита за работниците във всички сектори, засегнати от ИИ, като се гарантира, че принципът на „човешки контрол“ ще се превърне в задължителен стандарт, и потвърждава призива си за нови правни инициативи относно ИИ и алгоритмичното управление на работното място, както и относно правото на откъсване от работната среда; припомня, че внедряването на системи с ИИ следва да бъде в съответствие с екологичния преход и целите в областта на климата; изтъква необходимостта от създаване на устойчиви качествени работни места в сектори, които се развиват или са били преобразувани в хода на двойния преход, и от укрепване на правната рамка за управление и предвиждане на преходите, като същевременно се насърчава ролята и участието на социалните партньори и се насърчават приобщаващи политики на пазара на труда;</w:t>
      </w:r>
    </w:p>
    <w:p w14:paraId="0F3E766F" w14:textId="77777777" w:rsidR="000D3268" w:rsidRPr="00735806" w:rsidRDefault="000D3268" w:rsidP="000D3268">
      <w:pPr>
        <w:pStyle w:val="NormalHanging12a"/>
      </w:pPr>
      <w:r w:rsidRPr="00735806">
        <w:t>11.</w:t>
      </w:r>
      <w:r w:rsidRPr="00735806">
        <w:tab/>
        <w:t xml:space="preserve">подчертава необходимостта от допълнителни гаранции за предоставянето и всеобщия достъп до качествено и безплатно публично образование, качествени политики за обучение и учене през целия живот, водещи до качествени работни места, които да гарантират достойно заплащане; отбелязва, че стратегическите </w:t>
      </w:r>
      <w:r w:rsidRPr="00735806">
        <w:lastRenderedPageBreak/>
        <w:t>програми за повишаване на квалификацията, преквалификация и обучение трябва да са на разположение на всички работници, включително тези с увреждания, в съчетание с надбавка за обучение, и следва също така да бъдат адаптирани към нуждите и способностите на работниците; поради това призовава за въвеждането на индивидуално право на обучение и повишаване на квалификацията на работниците в целия ЕС;</w:t>
      </w:r>
    </w:p>
    <w:p w14:paraId="6A523718" w14:textId="77777777" w:rsidR="000D3268" w:rsidRPr="00735806" w:rsidRDefault="000D3268" w:rsidP="000D3268">
      <w:pPr>
        <w:pStyle w:val="NormalHanging12a"/>
        <w:rPr>
          <w:szCs w:val="24"/>
        </w:rPr>
      </w:pPr>
      <w:r w:rsidRPr="00735806">
        <w:t>12.</w:t>
      </w:r>
      <w:r w:rsidRPr="00735806">
        <w:tab/>
        <w:t>подчертава, че с оглед на кризата в областта на климата и биологичното разнообразие и икономическите и демографските предизвикателства, нито едно настоящо или бъдещо поколение, нито който и да било регион в ЕС не следва да бъдат изоставени и че следва да има всеобщ достъп до справедлив преход за всички; призовава за представяне на инициативи за подкрепа както на младите, така и на възрастните хора и хората с увреждания, а също и на мерки за обезлюдяващите се региони, например подобрен и безпрепятствен достъп до инфраструктура, включително обществен транспорт, цифрова свързаност и жилища на достъпна цена, обществени услуги, здравеопазване, дългосрочни и ранни детски грижи и образование, както и инвестиции в по-добри възможности за работа с цел предотвратяване на обезлюдяването; призовава държавите членки да гарантират всеобщ, основан на права достъп до висококачествени обществени услуги и да инвестират в тях; призовава също Комисията и държавите членки да приложат изцяло Европейската стратегия за грижите, като гарантират качествени, финансово приемливи и достъпни услуги за полагане на грижи в целия ЕС;</w:t>
      </w:r>
    </w:p>
    <w:p w14:paraId="6F188B74" w14:textId="0F6AC710" w:rsidR="000D3268" w:rsidRPr="00735806" w:rsidRDefault="000D3268" w:rsidP="000D3268">
      <w:pPr>
        <w:pStyle w:val="NormalHanging12a"/>
        <w:rPr>
          <w:szCs w:val="24"/>
        </w:rPr>
      </w:pPr>
      <w:r w:rsidRPr="00735806">
        <w:t>13.</w:t>
      </w:r>
      <w:r w:rsidRPr="00735806">
        <w:tab/>
        <w:t xml:space="preserve">настоятелно призовава ЕС и неговите държави членки да гарантират, че екологичният преход е социално справедлив, като се осигурява специална подкрепа за работниците, домакинствата, регионите и предприятията, засегнати от структурни промени и нови изисквания на пазара на труда; отбелязва, че ако стратегиите за адаптиране към изменението на климата и смекчаване на последиците от него се разработват чрез стабилен социален диалог, могат да създадат устойчиви икономически екосистеми, качествени работни места, устойчиви предприятия и по-приобщаващи общества, като никой не бъде изоставен; </w:t>
      </w:r>
    </w:p>
    <w:p w14:paraId="1BAAC506" w14:textId="77777777" w:rsidR="000D3268" w:rsidRPr="00735806" w:rsidRDefault="000D3268" w:rsidP="000D3268">
      <w:pPr>
        <w:pStyle w:val="NormalHanging12a"/>
        <w:rPr>
          <w:szCs w:val="24"/>
        </w:rPr>
      </w:pPr>
      <w:r w:rsidRPr="00735806">
        <w:t>14.</w:t>
      </w:r>
      <w:r w:rsidRPr="00735806">
        <w:tab/>
        <w:t>призовава Комисията и държавите членки да използват като база Социалния фонд за климата и да положат основите за адаптирането и укрепването на системите за социална закрила на национално равнище с финансова подкрепа от ЕС, за да се гарантира социалната устойчивост спрямо последиците от изменението на климата и влошаването на състоянието на околната среда за работните места и условията на живот и да се гарантира, че засегнатите общности са напълно подготвени за един нов пазар на труда;</w:t>
      </w:r>
    </w:p>
    <w:p w14:paraId="01552F9B" w14:textId="77777777" w:rsidR="000D3268" w:rsidRPr="00735806" w:rsidRDefault="000D3268" w:rsidP="000D3268">
      <w:pPr>
        <w:pStyle w:val="NormalHanging12a"/>
      </w:pPr>
      <w:r w:rsidRPr="00735806">
        <w:t>15.</w:t>
      </w:r>
      <w:r w:rsidRPr="00735806">
        <w:tab/>
        <w:t>призовава за допълнителна подкрепа за интегрирането на граждани на трети държави на пазара на труда в ЕС и за използване на пълния потенциал на техните способности чрез висококачествени работни места и условия на труд, подсилени от ефективна политика за интеграция, при взаимно допълване с използването на таланти от ЕС;</w:t>
      </w:r>
    </w:p>
    <w:p w14:paraId="3C0FF82B" w14:textId="77777777" w:rsidR="000D3268" w:rsidRPr="00735806" w:rsidRDefault="000D3268" w:rsidP="000D3268">
      <w:pPr>
        <w:pStyle w:val="NormalHanging12a"/>
      </w:pPr>
      <w:r w:rsidRPr="00735806">
        <w:t>16.</w:t>
      </w:r>
      <w:r w:rsidRPr="00735806">
        <w:tab/>
        <w:t>призовава за внимателно наблюдение на активните мерки на пазара на труда, както и за адекватно подпомагане на доходите, достъп до достойни жилища на достъпни цени и предоставяне на универсална социална сигурност, за да се гарантира равното участие на най-отдалечените от пазара на труда лица, по-</w:t>
      </w:r>
      <w:r w:rsidRPr="00735806">
        <w:lastRenderedPageBreak/>
        <w:t>специално жените, хората с увреждания, мигрантите, лицата от общността на ЛГБТИК+, младите хора, навлизащи на пазара на труда, възрастните хора, хората в селските и отдалечените райони, хората в дългосрочна безработица, ромите и други малцинства; подчертава също необходимостта от подходяща социална закрила и подкрепа за самостоятелно заетите лица; припомня в този контекст, че в повечето случаи равнищата на обезщетенията за минимален доход са доста под националните прагове на бедност в ЕС; настоятелно призовава държавите членки да изпълнят изцяло Препоръката на Съвета относно адекватен минимален доход</w:t>
      </w:r>
      <w:r w:rsidRPr="00735806">
        <w:rPr>
          <w:rStyle w:val="FootnoteReference"/>
        </w:rPr>
        <w:footnoteReference w:id="11"/>
      </w:r>
      <w:r w:rsidRPr="00735806">
        <w:t>; припомня важната роля на схемите за минимален доход в световен мащаб, за да се помогне за извеждането на хората от бедността;</w:t>
      </w:r>
    </w:p>
    <w:p w14:paraId="484F09BA" w14:textId="167E3762" w:rsidR="000D3268" w:rsidRPr="00735806" w:rsidRDefault="000D3268" w:rsidP="000D3268">
      <w:pPr>
        <w:pStyle w:val="NormalHanging12a"/>
        <w:rPr>
          <w:szCs w:val="24"/>
        </w:rPr>
      </w:pPr>
      <w:r w:rsidRPr="00735806">
        <w:t>1</w:t>
      </w:r>
      <w:r w:rsidR="007E1758">
        <w:t>7</w:t>
      </w:r>
      <w:r w:rsidRPr="00735806">
        <w:t>.</w:t>
      </w:r>
      <w:r w:rsidRPr="00735806">
        <w:tab/>
        <w:t>счита, че социалната икономика е важен фактор за прилагането на ЕССП и неговите цели, като често осигурява заетост за уязвимите и изключените групи и подобрява квалификацията им; призовава Комисията и държавите членки да увеличат подкрепата си за всички предприятия на социалната икономика, за да се насърчи качествената заетост, достойният труд и приобщаващите работни места; подчертава, че проектите в областта на социалната икономика обикновено изискват тясно партньорство с публични субекти, и поради това призовава Комисията и държавите членки да разработят рамка за сътрудничество между публичните органи и организациите на социалната икономика;</w:t>
      </w:r>
    </w:p>
    <w:p w14:paraId="1B350C6C" w14:textId="031F789B" w:rsidR="000D3268" w:rsidRPr="00735806" w:rsidRDefault="000D3268" w:rsidP="000D3268">
      <w:pPr>
        <w:pStyle w:val="NormalHanging12a"/>
        <w:rPr>
          <w:szCs w:val="24"/>
        </w:rPr>
      </w:pPr>
      <w:r w:rsidRPr="00735806">
        <w:t>1</w:t>
      </w:r>
      <w:r w:rsidR="007E1758">
        <w:t>8</w:t>
      </w:r>
      <w:r w:rsidRPr="00735806">
        <w:t>.</w:t>
      </w:r>
      <w:r w:rsidRPr="00735806">
        <w:tab/>
        <w:t xml:space="preserve">подчертава, че за постигането на ЦУР за 2030 г. е необходимо също така да се прилагат принципите на доброто управление, основани на върховенство на закона, отговорни институции, ефективно изпълнение, мониторинг и прилагане, като се избягва правната несигурност, в това число за държавите, кандидатстващи за членство в ЕС; призовава политическата декларация, изготвена в резултат на Втората Световна среща на върха, да включва съдържателни ангажименти за постигане на напредък по ЦУР и преодоляване на трайните пропуски в социалното развитие, както и силни механизми за мониторинг и преглед; подчертава необходимостта от редовен, задълбочен преглед, включващ двугодишни министерски декларации; подкрепя подновяването на дейността на Комисията на ООН за социално развитие и по-голямото участие на министерствата на труда и социалните партньори и призовава МОТ да действа като основен орган за последващи действия; </w:t>
      </w:r>
    </w:p>
    <w:p w14:paraId="5D2A5BA2" w14:textId="69628927" w:rsidR="000D3268" w:rsidRPr="00735806" w:rsidRDefault="007E1758" w:rsidP="000D3268">
      <w:pPr>
        <w:pStyle w:val="NormalHanging12a"/>
        <w:rPr>
          <w:szCs w:val="24"/>
        </w:rPr>
      </w:pPr>
      <w:r>
        <w:t>19</w:t>
      </w:r>
      <w:r w:rsidR="000D3268" w:rsidRPr="00735806">
        <w:t>.</w:t>
      </w:r>
      <w:r w:rsidR="000D3268" w:rsidRPr="00735806">
        <w:tab/>
        <w:t xml:space="preserve">припомня, че мирът и глобалното сътрудничество са основните условия за постигане на устойчиво развитие в Европа и в световен мащаб; подчертава, че ЕС трябва да играе водеща роля в областта на правата на човека в световен мащаб чрез пълно и ефективно прилагане на международните инструменти в областта на правата на човека; подчертава, че глобалният ангажимент към инструментите в областта на правата на човека трябва да бъде засилен и чрез използването на дипломатически и икономически възможности, както и чрез улесняването на други участници, например неправителствени организации и синдикати, да работят свободно за популяризирането на правата на човека и социалните стандарти в целия свят; настоятелно призовава държавите – членки на ООН, да подкрепят и насърчат ролята на социалните партньори и организациите на гражданското общество на своите територии и да гарантират тяхното съдържателно включване в подготовката и последващите действия във връзка със </w:t>
      </w:r>
      <w:r w:rsidR="000D3268" w:rsidRPr="00735806">
        <w:lastRenderedPageBreak/>
        <w:t>срещата на върха; подчертава, че активното участие на множество заинтересовани страни в изготвянето на политики и ефективното колективно договаряне могат да допринесат значително за напредъка при постигането на целите на социалното развитие; припомня, че правата на човека и социалните права могат да бъдат насърчавани по надежден начин само от държави, които сами спазват задълженията си;</w:t>
      </w:r>
    </w:p>
    <w:p w14:paraId="3D0A2BDF" w14:textId="04349BE1" w:rsidR="000D3268" w:rsidRPr="00735806" w:rsidRDefault="000D3268" w:rsidP="000D3268">
      <w:pPr>
        <w:pStyle w:val="NormalHanging12a"/>
      </w:pPr>
      <w:r w:rsidRPr="00735806">
        <w:t>2</w:t>
      </w:r>
      <w:r w:rsidR="007E1758">
        <w:t>0</w:t>
      </w:r>
      <w:r w:rsidRPr="00735806">
        <w:t>.</w:t>
      </w:r>
      <w:r w:rsidRPr="00735806">
        <w:tab/>
        <w:t xml:space="preserve">призовава ООН и всички участващи държави, особено държавите – домакини на социалната среща на високо равнище, да зачитат изцяло трудовите и социалните права, включително като ратифицират основните конвенции на МОТ и се ангажират с ценностите на Социалната декларация; изтъква значението на ЕССП, както и на Декларацията от Ла </w:t>
      </w:r>
      <w:proofErr w:type="spellStart"/>
      <w:r w:rsidRPr="00735806">
        <w:t>Юлп</w:t>
      </w:r>
      <w:proofErr w:type="spellEnd"/>
      <w:r w:rsidRPr="00735806">
        <w:t>, за изграждането на силна социална Европа; подчертава необходимостта от подновяване на ангажимента за постигане както на социалните цели на ЕС, така и на ЦУР до 2030 г. в Европа и по света;</w:t>
      </w:r>
    </w:p>
    <w:p w14:paraId="4A41D191" w14:textId="714CB0C5" w:rsidR="000D3268" w:rsidRPr="00735806" w:rsidRDefault="000D3268" w:rsidP="000D3268">
      <w:pPr>
        <w:pStyle w:val="NormalHanging12a"/>
      </w:pPr>
      <w:r w:rsidRPr="00735806">
        <w:t>2</w:t>
      </w:r>
      <w:r w:rsidR="007E1758">
        <w:t>1</w:t>
      </w:r>
      <w:r w:rsidRPr="00735806">
        <w:t>.</w:t>
      </w:r>
      <w:r w:rsidRPr="00735806">
        <w:tab/>
        <w:t>отбелязва със загриженост бавния напредък в постигането на ЦУР в целия ЕС, като темпът на напредване от 2020 г. до 2023 г. дори не е стигнал и половината от този за периода 2016 – 2019 г.; изразява загриженост, че ЦУР не са изрично посочени в политическите насоки на настоящия председател на Европейската комисия; подчертава, че е важно да се укрепи ангажиментът на ЕС за социален напредък и за постигането на ЦУР; призовава Комисията и държавите членки да спазват своя ангажимент към общите цели на ЕС, и по-специално член 3 от ДЕС; във връзка с това призовава ЕС да се ангажира конструктивно с приемането на Договора на ООН за бизнеса и правата на човека, за да се регулират дейностите на транснационалните корпорации и други стопански предприятия, да се поддържат практики за справедливо заплащане извън ЕС и да се даде възможност на жертвите на нелоялни практики на заплащане да търсят правна защита;</w:t>
      </w:r>
    </w:p>
    <w:p w14:paraId="5A11936C" w14:textId="262671F3" w:rsidR="000D3268" w:rsidRPr="00735806" w:rsidRDefault="000D3268" w:rsidP="000D3268">
      <w:pPr>
        <w:pStyle w:val="NormalHanging12a"/>
      </w:pPr>
      <w:r w:rsidRPr="00735806">
        <w:t>2</w:t>
      </w:r>
      <w:r w:rsidR="007E1758">
        <w:t>2</w:t>
      </w:r>
      <w:r w:rsidRPr="00735806">
        <w:t>.</w:t>
      </w:r>
      <w:r w:rsidRPr="00735806">
        <w:tab/>
        <w:t>призовава ЕС да подкрепи глобалния преход от неформална към официална заетост в съответствие с препоръка 204 на МОТ, като се поощрят справедливи трудови стандарти, достоен труд и достъп до социална закрила; насърчава интегрирането на тази цел в политиките на ЕС за развитие, търговия и външна дейност;</w:t>
      </w:r>
    </w:p>
    <w:p w14:paraId="62B3A789" w14:textId="2BEE3ED6" w:rsidR="00E365E1" w:rsidRPr="00735806" w:rsidRDefault="000D3268" w:rsidP="0024577B">
      <w:pPr>
        <w:ind w:left="567" w:hanging="567"/>
      </w:pPr>
      <w:r w:rsidRPr="00735806">
        <w:t>2</w:t>
      </w:r>
      <w:r w:rsidR="007E1758">
        <w:t>3</w:t>
      </w:r>
      <w:r w:rsidRPr="00735806">
        <w:t>.</w:t>
      </w:r>
      <w:r w:rsidRPr="00735806">
        <w:tab/>
        <w:t xml:space="preserve">възлага на своя председател да предаде настоящата резолюция съответно </w:t>
      </w:r>
      <w:r w:rsidR="00735806" w:rsidRPr="00735806">
        <w:t>на Съвета и на Комисията.</w:t>
      </w:r>
    </w:p>
    <w:sectPr w:rsidR="00E365E1" w:rsidRPr="00735806" w:rsidSect="007358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E48EC" w14:textId="77777777" w:rsidR="00D83CA2" w:rsidRPr="00735806" w:rsidRDefault="00D83CA2">
      <w:r w:rsidRPr="00735806">
        <w:separator/>
      </w:r>
    </w:p>
  </w:endnote>
  <w:endnote w:type="continuationSeparator" w:id="0">
    <w:p w14:paraId="1EF31399" w14:textId="77777777" w:rsidR="00D83CA2" w:rsidRPr="00735806" w:rsidRDefault="00D83CA2">
      <w:r w:rsidRPr="007358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B1B6" w14:textId="77777777" w:rsidR="00064002" w:rsidRPr="007358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7AFE" w14:textId="77777777" w:rsidR="00064002" w:rsidRPr="007358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1FB1E" w14:textId="77777777" w:rsidR="00064002" w:rsidRPr="007358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1ABA6" w14:textId="77777777" w:rsidR="00D83CA2" w:rsidRPr="00735806" w:rsidRDefault="00D83CA2">
      <w:r w:rsidRPr="00735806">
        <w:separator/>
      </w:r>
    </w:p>
  </w:footnote>
  <w:footnote w:type="continuationSeparator" w:id="0">
    <w:p w14:paraId="571B8DD2" w14:textId="77777777" w:rsidR="00D83CA2" w:rsidRPr="00735806" w:rsidRDefault="00D83CA2">
      <w:r w:rsidRPr="00735806">
        <w:continuationSeparator/>
      </w:r>
    </w:p>
  </w:footnote>
  <w:footnote w:id="1">
    <w:p w14:paraId="49BEC3A4" w14:textId="124D15FC"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proofErr w:type="spellStart"/>
      <w:r w:rsidRPr="00735806">
        <w:rPr>
          <w:sz w:val="24"/>
          <w:lang w:val="bg-BG"/>
        </w:rPr>
        <w:t>Global</w:t>
      </w:r>
      <w:proofErr w:type="spellEnd"/>
      <w:r w:rsidRPr="00735806">
        <w:rPr>
          <w:sz w:val="24"/>
          <w:lang w:val="bg-BG"/>
        </w:rPr>
        <w:t xml:space="preserve"> </w:t>
      </w:r>
      <w:proofErr w:type="spellStart"/>
      <w:r w:rsidRPr="00735806">
        <w:rPr>
          <w:sz w:val="24"/>
          <w:lang w:val="bg-BG"/>
        </w:rPr>
        <w:t>Wealth</w:t>
      </w:r>
      <w:proofErr w:type="spellEnd"/>
      <w:r w:rsidRPr="00735806">
        <w:rPr>
          <w:sz w:val="24"/>
          <w:lang w:val="bg-BG"/>
        </w:rPr>
        <w:t xml:space="preserve"> </w:t>
      </w:r>
      <w:proofErr w:type="spellStart"/>
      <w:r w:rsidRPr="00735806">
        <w:rPr>
          <w:sz w:val="24"/>
          <w:lang w:val="bg-BG"/>
        </w:rPr>
        <w:t>Report</w:t>
      </w:r>
      <w:proofErr w:type="spellEnd"/>
      <w:r w:rsidRPr="00735806">
        <w:rPr>
          <w:sz w:val="24"/>
          <w:lang w:val="bg-BG"/>
        </w:rPr>
        <w:t xml:space="preserve"> 2023 (Доклад за световното богатство за 2023 г.), </w:t>
      </w:r>
      <w:proofErr w:type="spellStart"/>
      <w:r w:rsidRPr="00735806">
        <w:rPr>
          <w:sz w:val="24"/>
          <w:lang w:val="bg-BG"/>
        </w:rPr>
        <w:t>Credit</w:t>
      </w:r>
      <w:proofErr w:type="spellEnd"/>
      <w:r w:rsidRPr="00735806">
        <w:rPr>
          <w:sz w:val="24"/>
          <w:lang w:val="bg-BG"/>
        </w:rPr>
        <w:t xml:space="preserve"> </w:t>
      </w:r>
      <w:proofErr w:type="spellStart"/>
      <w:r w:rsidRPr="00735806">
        <w:rPr>
          <w:sz w:val="24"/>
          <w:lang w:val="bg-BG"/>
        </w:rPr>
        <w:t>Suisse</w:t>
      </w:r>
      <w:proofErr w:type="spellEnd"/>
      <w:r w:rsidRPr="00735806">
        <w:rPr>
          <w:sz w:val="24"/>
          <w:lang w:val="bg-BG"/>
        </w:rPr>
        <w:t xml:space="preserve"> AG.</w:t>
      </w:r>
    </w:p>
  </w:footnote>
  <w:footnote w:id="2">
    <w:p w14:paraId="366438A8" w14:textId="6CEB0626"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1" w:history="1">
        <w:proofErr w:type="spellStart"/>
        <w:r w:rsidRPr="00735806">
          <w:rPr>
            <w:rStyle w:val="Hyperlink"/>
            <w:sz w:val="24"/>
            <w:lang w:val="bg-BG"/>
          </w:rPr>
          <w:t>Living</w:t>
        </w:r>
        <w:proofErr w:type="spellEnd"/>
        <w:r w:rsidRPr="00735806">
          <w:rPr>
            <w:rStyle w:val="Hyperlink"/>
            <w:sz w:val="24"/>
            <w:lang w:val="bg-BG"/>
          </w:rPr>
          <w:t xml:space="preserve"> </w:t>
        </w:r>
        <w:proofErr w:type="spellStart"/>
        <w:r w:rsidRPr="00735806">
          <w:rPr>
            <w:rStyle w:val="Hyperlink"/>
            <w:sz w:val="24"/>
            <w:lang w:val="bg-BG"/>
          </w:rPr>
          <w:t>conditions</w:t>
        </w:r>
        <w:proofErr w:type="spellEnd"/>
        <w:r w:rsidRPr="00735806">
          <w:rPr>
            <w:rStyle w:val="Hyperlink"/>
            <w:sz w:val="24"/>
            <w:lang w:val="bg-BG"/>
          </w:rPr>
          <w:t xml:space="preserve"> </w:t>
        </w:r>
        <w:proofErr w:type="spellStart"/>
        <w:r w:rsidRPr="00735806">
          <w:rPr>
            <w:rStyle w:val="Hyperlink"/>
            <w:sz w:val="24"/>
            <w:lang w:val="bg-BG"/>
          </w:rPr>
          <w:t>in</w:t>
        </w:r>
        <w:proofErr w:type="spellEnd"/>
        <w:r w:rsidRPr="00735806">
          <w:rPr>
            <w:rStyle w:val="Hyperlink"/>
            <w:sz w:val="24"/>
            <w:lang w:val="bg-BG"/>
          </w:rPr>
          <w:t xml:space="preserve"> </w:t>
        </w:r>
        <w:proofErr w:type="spellStart"/>
        <w:r w:rsidRPr="00735806">
          <w:rPr>
            <w:rStyle w:val="Hyperlink"/>
            <w:sz w:val="24"/>
            <w:lang w:val="bg-BG"/>
          </w:rPr>
          <w:t>Europe</w:t>
        </w:r>
        <w:proofErr w:type="spellEnd"/>
        <w:r w:rsidRPr="00735806">
          <w:rPr>
            <w:rStyle w:val="Hyperlink"/>
            <w:sz w:val="24"/>
            <w:lang w:val="bg-BG"/>
          </w:rPr>
          <w:t xml:space="preserve"> – </w:t>
        </w:r>
        <w:proofErr w:type="spellStart"/>
        <w:r w:rsidRPr="00735806">
          <w:rPr>
            <w:rStyle w:val="Hyperlink"/>
            <w:sz w:val="24"/>
            <w:lang w:val="bg-BG"/>
          </w:rPr>
          <w:t>income</w:t>
        </w:r>
        <w:proofErr w:type="spellEnd"/>
        <w:r w:rsidRPr="00735806">
          <w:rPr>
            <w:rStyle w:val="Hyperlink"/>
            <w:sz w:val="24"/>
            <w:lang w:val="bg-BG"/>
          </w:rPr>
          <w:t xml:space="preserve"> </w:t>
        </w:r>
        <w:proofErr w:type="spellStart"/>
        <w:r w:rsidRPr="00735806">
          <w:rPr>
            <w:rStyle w:val="Hyperlink"/>
            <w:sz w:val="24"/>
            <w:lang w:val="bg-BG"/>
          </w:rPr>
          <w:t>distribution</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income</w:t>
        </w:r>
        <w:proofErr w:type="spellEnd"/>
        <w:r w:rsidRPr="00735806">
          <w:rPr>
            <w:rStyle w:val="Hyperlink"/>
            <w:sz w:val="24"/>
            <w:lang w:val="bg-BG"/>
          </w:rPr>
          <w:t xml:space="preserve"> </w:t>
        </w:r>
        <w:proofErr w:type="spellStart"/>
        <w:r w:rsidRPr="00735806">
          <w:rPr>
            <w:rStyle w:val="Hyperlink"/>
            <w:sz w:val="24"/>
            <w:lang w:val="bg-BG"/>
          </w:rPr>
          <w:t>inequality</w:t>
        </w:r>
        <w:proofErr w:type="spellEnd"/>
        <w:r w:rsidRPr="00735806">
          <w:rPr>
            <w:rStyle w:val="Hyperlink"/>
            <w:sz w:val="24"/>
            <w:lang w:val="bg-BG"/>
          </w:rPr>
          <w:t xml:space="preserve"> (Условия на живот в Европа – разпределение на доходите и неравенство в доходите)</w:t>
        </w:r>
      </w:hyperlink>
      <w:r w:rsidRPr="00735806">
        <w:rPr>
          <w:sz w:val="24"/>
          <w:lang w:val="bg-BG"/>
        </w:rPr>
        <w:t>, Евростат, ноември 2024 г.</w:t>
      </w:r>
    </w:p>
  </w:footnote>
  <w:footnote w:id="3">
    <w:p w14:paraId="3DDE42D9" w14:textId="38D4E2ED"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2" w:history="1">
        <w:proofErr w:type="spellStart"/>
        <w:r w:rsidRPr="00735806">
          <w:rPr>
            <w:rStyle w:val="Hyperlink"/>
            <w:sz w:val="24"/>
            <w:lang w:val="bg-BG"/>
          </w:rPr>
          <w:t>Poverty</w:t>
        </w:r>
        <w:proofErr w:type="spellEnd"/>
        <w:r w:rsidRPr="00735806">
          <w:rPr>
            <w:rStyle w:val="Hyperlink"/>
            <w:sz w:val="24"/>
            <w:lang w:val="bg-BG"/>
          </w:rPr>
          <w:t xml:space="preserve">, </w:t>
        </w:r>
        <w:proofErr w:type="spellStart"/>
        <w:r w:rsidRPr="00735806">
          <w:rPr>
            <w:rStyle w:val="Hyperlink"/>
            <w:sz w:val="24"/>
            <w:lang w:val="bg-BG"/>
          </w:rPr>
          <w:t>Prosperity</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Planet</w:t>
        </w:r>
        <w:proofErr w:type="spellEnd"/>
        <w:r w:rsidRPr="00735806">
          <w:rPr>
            <w:rStyle w:val="Hyperlink"/>
            <w:sz w:val="24"/>
            <w:lang w:val="bg-BG"/>
          </w:rPr>
          <w:t xml:space="preserve"> </w:t>
        </w:r>
        <w:proofErr w:type="spellStart"/>
        <w:r w:rsidRPr="00735806">
          <w:rPr>
            <w:rStyle w:val="Hyperlink"/>
            <w:sz w:val="24"/>
            <w:lang w:val="bg-BG"/>
          </w:rPr>
          <w:t>Report</w:t>
        </w:r>
        <w:proofErr w:type="spellEnd"/>
        <w:r w:rsidRPr="00735806">
          <w:rPr>
            <w:rStyle w:val="Hyperlink"/>
            <w:sz w:val="24"/>
            <w:lang w:val="bg-BG"/>
          </w:rPr>
          <w:t xml:space="preserve"> 2024 (Доклад за бедността, просперитета и планетата за 2024 г.)</w:t>
        </w:r>
      </w:hyperlink>
      <w:r w:rsidRPr="00735806">
        <w:rPr>
          <w:sz w:val="24"/>
          <w:lang w:val="bg-BG"/>
        </w:rPr>
        <w:t>, Световна банка.</w:t>
      </w:r>
    </w:p>
  </w:footnote>
  <w:footnote w:id="4">
    <w:p w14:paraId="12B7530E" w14:textId="101D348C"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3" w:history="1">
        <w:proofErr w:type="spellStart"/>
        <w:r w:rsidRPr="00735806">
          <w:rPr>
            <w:rStyle w:val="Hyperlink"/>
            <w:sz w:val="24"/>
            <w:lang w:val="bg-BG"/>
          </w:rPr>
          <w:t>Living</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working</w:t>
        </w:r>
        <w:proofErr w:type="spellEnd"/>
        <w:r w:rsidRPr="00735806">
          <w:rPr>
            <w:rStyle w:val="Hyperlink"/>
            <w:sz w:val="24"/>
            <w:lang w:val="bg-BG"/>
          </w:rPr>
          <w:t xml:space="preserve"> </w:t>
        </w:r>
        <w:proofErr w:type="spellStart"/>
        <w:r w:rsidRPr="00735806">
          <w:rPr>
            <w:rStyle w:val="Hyperlink"/>
            <w:sz w:val="24"/>
            <w:lang w:val="bg-BG"/>
          </w:rPr>
          <w:t>in</w:t>
        </w:r>
        <w:proofErr w:type="spellEnd"/>
        <w:r w:rsidRPr="00735806">
          <w:rPr>
            <w:rStyle w:val="Hyperlink"/>
            <w:sz w:val="24"/>
            <w:lang w:val="bg-BG"/>
          </w:rPr>
          <w:t xml:space="preserve"> </w:t>
        </w:r>
        <w:proofErr w:type="spellStart"/>
        <w:r w:rsidRPr="00735806">
          <w:rPr>
            <w:rStyle w:val="Hyperlink"/>
            <w:sz w:val="24"/>
            <w:lang w:val="bg-BG"/>
          </w:rPr>
          <w:t>Europe</w:t>
        </w:r>
        <w:proofErr w:type="spellEnd"/>
        <w:r w:rsidRPr="00735806">
          <w:rPr>
            <w:rStyle w:val="Hyperlink"/>
            <w:sz w:val="24"/>
            <w:lang w:val="bg-BG"/>
          </w:rPr>
          <w:t xml:space="preserve"> 2024 (Живот и работа в Европа)</w:t>
        </w:r>
      </w:hyperlink>
      <w:r w:rsidRPr="00735806">
        <w:rPr>
          <w:sz w:val="24"/>
          <w:lang w:val="bg-BG"/>
        </w:rPr>
        <w:t xml:space="preserve">, </w:t>
      </w:r>
      <w:proofErr w:type="spellStart"/>
      <w:r w:rsidRPr="00735806">
        <w:rPr>
          <w:sz w:val="24"/>
          <w:lang w:val="bg-BG"/>
        </w:rPr>
        <w:t>Eurofound</w:t>
      </w:r>
      <w:proofErr w:type="spellEnd"/>
      <w:r w:rsidRPr="00735806">
        <w:rPr>
          <w:sz w:val="24"/>
          <w:lang w:val="bg-BG"/>
        </w:rPr>
        <w:t>, 2025 г.</w:t>
      </w:r>
    </w:p>
  </w:footnote>
  <w:footnote w:id="5">
    <w:p w14:paraId="1DF9F9DC" w14:textId="7798A921"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4" w:history="1">
        <w:proofErr w:type="spellStart"/>
        <w:r w:rsidRPr="00735806">
          <w:rPr>
            <w:rStyle w:val="Hyperlink"/>
            <w:sz w:val="24"/>
            <w:lang w:val="bg-BG"/>
          </w:rPr>
          <w:t>Living</w:t>
        </w:r>
        <w:proofErr w:type="spellEnd"/>
        <w:r w:rsidRPr="00735806">
          <w:rPr>
            <w:rStyle w:val="Hyperlink"/>
            <w:sz w:val="24"/>
            <w:lang w:val="bg-BG"/>
          </w:rPr>
          <w:t xml:space="preserve"> </w:t>
        </w:r>
        <w:proofErr w:type="spellStart"/>
        <w:r w:rsidRPr="00735806">
          <w:rPr>
            <w:rStyle w:val="Hyperlink"/>
            <w:sz w:val="24"/>
            <w:lang w:val="bg-BG"/>
          </w:rPr>
          <w:t>conditions</w:t>
        </w:r>
        <w:proofErr w:type="spellEnd"/>
        <w:r w:rsidRPr="00735806">
          <w:rPr>
            <w:rStyle w:val="Hyperlink"/>
            <w:sz w:val="24"/>
            <w:lang w:val="bg-BG"/>
          </w:rPr>
          <w:t xml:space="preserve"> </w:t>
        </w:r>
        <w:proofErr w:type="spellStart"/>
        <w:r w:rsidRPr="00735806">
          <w:rPr>
            <w:rStyle w:val="Hyperlink"/>
            <w:sz w:val="24"/>
            <w:lang w:val="bg-BG"/>
          </w:rPr>
          <w:t>in</w:t>
        </w:r>
        <w:proofErr w:type="spellEnd"/>
        <w:r w:rsidRPr="00735806">
          <w:rPr>
            <w:rStyle w:val="Hyperlink"/>
            <w:sz w:val="24"/>
            <w:lang w:val="bg-BG"/>
          </w:rPr>
          <w:t xml:space="preserve"> </w:t>
        </w:r>
        <w:proofErr w:type="spellStart"/>
        <w:r w:rsidRPr="00735806">
          <w:rPr>
            <w:rStyle w:val="Hyperlink"/>
            <w:sz w:val="24"/>
            <w:lang w:val="bg-BG"/>
          </w:rPr>
          <w:t>Europe</w:t>
        </w:r>
        <w:proofErr w:type="spellEnd"/>
        <w:r w:rsidRPr="00735806">
          <w:rPr>
            <w:rStyle w:val="Hyperlink"/>
            <w:sz w:val="24"/>
            <w:lang w:val="bg-BG"/>
          </w:rPr>
          <w:t xml:space="preserve"> – </w:t>
        </w:r>
        <w:proofErr w:type="spellStart"/>
        <w:r w:rsidRPr="00735806">
          <w:rPr>
            <w:rStyle w:val="Hyperlink"/>
            <w:sz w:val="24"/>
            <w:lang w:val="bg-BG"/>
          </w:rPr>
          <w:t>poverty</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social</w:t>
        </w:r>
        <w:proofErr w:type="spellEnd"/>
        <w:r w:rsidRPr="00735806">
          <w:rPr>
            <w:rStyle w:val="Hyperlink"/>
            <w:sz w:val="24"/>
            <w:lang w:val="bg-BG"/>
          </w:rPr>
          <w:t xml:space="preserve"> </w:t>
        </w:r>
        <w:proofErr w:type="spellStart"/>
        <w:r w:rsidRPr="00735806">
          <w:rPr>
            <w:rStyle w:val="Hyperlink"/>
            <w:sz w:val="24"/>
            <w:lang w:val="bg-BG"/>
          </w:rPr>
          <w:t>exclusion</w:t>
        </w:r>
        <w:proofErr w:type="spellEnd"/>
        <w:r w:rsidRPr="00735806">
          <w:rPr>
            <w:rStyle w:val="Hyperlink"/>
            <w:sz w:val="24"/>
            <w:lang w:val="bg-BG"/>
          </w:rPr>
          <w:t xml:space="preserve"> (Условия на живот в Европа – бедност и социално изключване)</w:t>
        </w:r>
      </w:hyperlink>
      <w:r w:rsidRPr="00735806">
        <w:rPr>
          <w:sz w:val="24"/>
          <w:lang w:val="bg-BG"/>
        </w:rPr>
        <w:t xml:space="preserve">, </w:t>
      </w:r>
      <w:proofErr w:type="spellStart"/>
      <w:r w:rsidRPr="00735806">
        <w:rPr>
          <w:sz w:val="24"/>
          <w:lang w:val="bg-BG"/>
        </w:rPr>
        <w:t>Eurostat</w:t>
      </w:r>
      <w:proofErr w:type="spellEnd"/>
      <w:r w:rsidRPr="00735806">
        <w:rPr>
          <w:sz w:val="24"/>
          <w:lang w:val="bg-BG"/>
        </w:rPr>
        <w:t>, април 2025 г.</w:t>
      </w:r>
    </w:p>
  </w:footnote>
  <w:footnote w:id="6">
    <w:p w14:paraId="19F32220" w14:textId="4A218769"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proofErr w:type="spellStart"/>
      <w:r w:rsidRPr="00735806">
        <w:rPr>
          <w:sz w:val="24"/>
          <w:lang w:val="bg-BG"/>
        </w:rPr>
        <w:t>Mental</w:t>
      </w:r>
      <w:proofErr w:type="spellEnd"/>
      <w:r w:rsidRPr="00735806">
        <w:rPr>
          <w:sz w:val="24"/>
          <w:lang w:val="bg-BG"/>
        </w:rPr>
        <w:t xml:space="preserve"> </w:t>
      </w:r>
      <w:proofErr w:type="spellStart"/>
      <w:r w:rsidRPr="00735806">
        <w:rPr>
          <w:sz w:val="24"/>
          <w:lang w:val="bg-BG"/>
        </w:rPr>
        <w:t>health</w:t>
      </w:r>
      <w:proofErr w:type="spellEnd"/>
      <w:r w:rsidRPr="00735806">
        <w:rPr>
          <w:sz w:val="24"/>
          <w:lang w:val="bg-BG"/>
        </w:rPr>
        <w:t xml:space="preserve"> </w:t>
      </w:r>
      <w:proofErr w:type="spellStart"/>
      <w:r w:rsidRPr="00735806">
        <w:rPr>
          <w:sz w:val="24"/>
          <w:lang w:val="bg-BG"/>
        </w:rPr>
        <w:t>in</w:t>
      </w:r>
      <w:proofErr w:type="spellEnd"/>
      <w:r w:rsidRPr="00735806">
        <w:rPr>
          <w:sz w:val="24"/>
          <w:lang w:val="bg-BG"/>
        </w:rPr>
        <w:t xml:space="preserve"> </w:t>
      </w:r>
      <w:proofErr w:type="spellStart"/>
      <w:r w:rsidRPr="00735806">
        <w:rPr>
          <w:sz w:val="24"/>
          <w:lang w:val="bg-BG"/>
        </w:rPr>
        <w:t>the</w:t>
      </w:r>
      <w:proofErr w:type="spellEnd"/>
      <w:r w:rsidRPr="00735806">
        <w:rPr>
          <w:sz w:val="24"/>
          <w:lang w:val="bg-BG"/>
        </w:rPr>
        <w:t xml:space="preserve"> </w:t>
      </w:r>
      <w:proofErr w:type="spellStart"/>
      <w:r w:rsidRPr="00735806">
        <w:rPr>
          <w:sz w:val="24"/>
          <w:lang w:val="bg-BG"/>
        </w:rPr>
        <w:t>European</w:t>
      </w:r>
      <w:proofErr w:type="spellEnd"/>
      <w:r w:rsidRPr="00735806">
        <w:rPr>
          <w:sz w:val="24"/>
          <w:lang w:val="bg-BG"/>
        </w:rPr>
        <w:t xml:space="preserve"> </w:t>
      </w:r>
      <w:proofErr w:type="spellStart"/>
      <w:r w:rsidRPr="00735806">
        <w:rPr>
          <w:sz w:val="24"/>
          <w:lang w:val="bg-BG"/>
        </w:rPr>
        <w:t>Union</w:t>
      </w:r>
      <w:proofErr w:type="spellEnd"/>
      <w:r w:rsidRPr="00735806">
        <w:rPr>
          <w:sz w:val="24"/>
          <w:lang w:val="bg-BG"/>
        </w:rPr>
        <w:t xml:space="preserve"> </w:t>
      </w:r>
      <w:proofErr w:type="spellStart"/>
      <w:r w:rsidRPr="00735806">
        <w:rPr>
          <w:sz w:val="24"/>
          <w:lang w:val="bg-BG"/>
        </w:rPr>
        <w:t>and</w:t>
      </w:r>
      <w:proofErr w:type="spellEnd"/>
      <w:r w:rsidRPr="00735806">
        <w:rPr>
          <w:sz w:val="24"/>
          <w:lang w:val="bg-BG"/>
        </w:rPr>
        <w:t xml:space="preserve"> </w:t>
      </w:r>
      <w:proofErr w:type="spellStart"/>
      <w:r w:rsidRPr="00735806">
        <w:rPr>
          <w:sz w:val="24"/>
          <w:lang w:val="bg-BG"/>
        </w:rPr>
        <w:t>Norway</w:t>
      </w:r>
      <w:proofErr w:type="spellEnd"/>
      <w:r w:rsidRPr="00735806">
        <w:rPr>
          <w:sz w:val="24"/>
          <w:lang w:val="bg-BG"/>
        </w:rPr>
        <w:t xml:space="preserve">: </w:t>
      </w:r>
      <w:proofErr w:type="spellStart"/>
      <w:r w:rsidRPr="00735806">
        <w:rPr>
          <w:sz w:val="24"/>
          <w:lang w:val="bg-BG"/>
        </w:rPr>
        <w:t>risk</w:t>
      </w:r>
      <w:proofErr w:type="spellEnd"/>
      <w:r w:rsidRPr="00735806">
        <w:rPr>
          <w:sz w:val="24"/>
          <w:lang w:val="bg-BG"/>
        </w:rPr>
        <w:t xml:space="preserve"> </w:t>
      </w:r>
      <w:proofErr w:type="spellStart"/>
      <w:r w:rsidRPr="00735806">
        <w:rPr>
          <w:sz w:val="24"/>
          <w:lang w:val="bg-BG"/>
        </w:rPr>
        <w:t>groups</w:t>
      </w:r>
      <w:proofErr w:type="spellEnd"/>
      <w:r w:rsidRPr="00735806">
        <w:rPr>
          <w:sz w:val="24"/>
          <w:lang w:val="bg-BG"/>
        </w:rPr>
        <w:t xml:space="preserve">, </w:t>
      </w:r>
      <w:proofErr w:type="spellStart"/>
      <w:r w:rsidRPr="00735806">
        <w:rPr>
          <w:sz w:val="24"/>
          <w:lang w:val="bg-BG"/>
        </w:rPr>
        <w:t>trends</w:t>
      </w:r>
      <w:proofErr w:type="spellEnd"/>
      <w:r w:rsidRPr="00735806">
        <w:rPr>
          <w:sz w:val="24"/>
          <w:lang w:val="bg-BG"/>
        </w:rPr>
        <w:t xml:space="preserve">, </w:t>
      </w:r>
      <w:proofErr w:type="spellStart"/>
      <w:r w:rsidRPr="00735806">
        <w:rPr>
          <w:sz w:val="24"/>
          <w:lang w:val="bg-BG"/>
        </w:rPr>
        <w:t>services</w:t>
      </w:r>
      <w:proofErr w:type="spellEnd"/>
      <w:r w:rsidRPr="00735806">
        <w:rPr>
          <w:sz w:val="24"/>
          <w:lang w:val="bg-BG"/>
        </w:rPr>
        <w:t xml:space="preserve"> </w:t>
      </w:r>
      <w:proofErr w:type="spellStart"/>
      <w:r w:rsidRPr="00735806">
        <w:rPr>
          <w:sz w:val="24"/>
          <w:lang w:val="bg-BG"/>
        </w:rPr>
        <w:t>and</w:t>
      </w:r>
      <w:proofErr w:type="spellEnd"/>
      <w:r w:rsidRPr="00735806">
        <w:rPr>
          <w:sz w:val="24"/>
          <w:lang w:val="bg-BG"/>
        </w:rPr>
        <w:t xml:space="preserve"> </w:t>
      </w:r>
      <w:proofErr w:type="spellStart"/>
      <w:r w:rsidRPr="00735806">
        <w:rPr>
          <w:sz w:val="24"/>
          <w:lang w:val="bg-BG"/>
        </w:rPr>
        <w:t>policies</w:t>
      </w:r>
      <w:proofErr w:type="spellEnd"/>
      <w:r w:rsidRPr="00735806">
        <w:rPr>
          <w:sz w:val="24"/>
          <w:lang w:val="bg-BG"/>
        </w:rPr>
        <w:t xml:space="preserve"> (Психичното здраве в Европейския съюз и Норвегия – рискови групи, тенденции, услуги и политики), предстоящо проучване на </w:t>
      </w:r>
      <w:proofErr w:type="spellStart"/>
      <w:r w:rsidRPr="00735806">
        <w:rPr>
          <w:sz w:val="24"/>
          <w:lang w:val="bg-BG"/>
        </w:rPr>
        <w:t>Eurofound</w:t>
      </w:r>
      <w:proofErr w:type="spellEnd"/>
      <w:r w:rsidRPr="00735806">
        <w:rPr>
          <w:sz w:val="24"/>
          <w:lang w:val="bg-BG"/>
        </w:rPr>
        <w:t xml:space="preserve"> през 2025 г.</w:t>
      </w:r>
    </w:p>
  </w:footnote>
  <w:footnote w:id="7">
    <w:p w14:paraId="1F70D7C1" w14:textId="621DC4CB"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proofErr w:type="spellStart"/>
      <w:r w:rsidRPr="00735806">
        <w:rPr>
          <w:sz w:val="24"/>
          <w:lang w:val="bg-BG"/>
        </w:rPr>
        <w:t>Further</w:t>
      </w:r>
      <w:proofErr w:type="spellEnd"/>
      <w:r w:rsidRPr="00735806">
        <w:rPr>
          <w:sz w:val="24"/>
          <w:lang w:val="bg-BG"/>
        </w:rPr>
        <w:t xml:space="preserve"> </w:t>
      </w:r>
      <w:proofErr w:type="spellStart"/>
      <w:r w:rsidRPr="00735806">
        <w:rPr>
          <w:sz w:val="24"/>
          <w:lang w:val="bg-BG"/>
        </w:rPr>
        <w:t>experiences</w:t>
      </w:r>
      <w:proofErr w:type="spellEnd"/>
      <w:r w:rsidRPr="00735806">
        <w:rPr>
          <w:sz w:val="24"/>
          <w:lang w:val="bg-BG"/>
        </w:rPr>
        <w:t xml:space="preserve"> </w:t>
      </w:r>
      <w:proofErr w:type="spellStart"/>
      <w:r w:rsidRPr="00735806">
        <w:rPr>
          <w:sz w:val="24"/>
          <w:lang w:val="bg-BG"/>
        </w:rPr>
        <w:t>with</w:t>
      </w:r>
      <w:proofErr w:type="spellEnd"/>
      <w:r w:rsidRPr="00735806">
        <w:rPr>
          <w:sz w:val="24"/>
          <w:lang w:val="bg-BG"/>
        </w:rPr>
        <w:t xml:space="preserve"> </w:t>
      </w:r>
      <w:proofErr w:type="spellStart"/>
      <w:r w:rsidRPr="00735806">
        <w:rPr>
          <w:sz w:val="24"/>
          <w:lang w:val="bg-BG"/>
        </w:rPr>
        <w:t>pay</w:t>
      </w:r>
      <w:proofErr w:type="spellEnd"/>
      <w:r w:rsidRPr="00735806">
        <w:rPr>
          <w:sz w:val="24"/>
          <w:lang w:val="bg-BG"/>
        </w:rPr>
        <w:t xml:space="preserve"> </w:t>
      </w:r>
      <w:proofErr w:type="spellStart"/>
      <w:r w:rsidRPr="00735806">
        <w:rPr>
          <w:sz w:val="24"/>
          <w:lang w:val="bg-BG"/>
        </w:rPr>
        <w:t>transparency</w:t>
      </w:r>
      <w:proofErr w:type="spellEnd"/>
      <w:r w:rsidRPr="00735806">
        <w:rPr>
          <w:sz w:val="24"/>
          <w:lang w:val="bg-BG"/>
        </w:rPr>
        <w:t xml:space="preserve"> (Допълнителен опит с прозрачността на заплащането), </w:t>
      </w:r>
      <w:proofErr w:type="spellStart"/>
      <w:r w:rsidRPr="00735806">
        <w:rPr>
          <w:sz w:val="24"/>
          <w:lang w:val="bg-BG"/>
        </w:rPr>
        <w:t>Eurofound</w:t>
      </w:r>
      <w:proofErr w:type="spellEnd"/>
      <w:r w:rsidRPr="00735806">
        <w:rPr>
          <w:sz w:val="24"/>
          <w:lang w:val="bg-BG"/>
        </w:rPr>
        <w:t>, предстояща публикация през 2025 г.</w:t>
      </w:r>
    </w:p>
  </w:footnote>
  <w:footnote w:id="8">
    <w:p w14:paraId="4711CE72" w14:textId="27292147"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5" w:history="1">
        <w:proofErr w:type="spellStart"/>
        <w:r w:rsidRPr="00735806">
          <w:rPr>
            <w:rStyle w:val="Hyperlink"/>
            <w:sz w:val="24"/>
            <w:lang w:val="bg-BG"/>
          </w:rPr>
          <w:t>Measuring</w:t>
        </w:r>
        <w:proofErr w:type="spellEnd"/>
        <w:r w:rsidRPr="00735806">
          <w:rPr>
            <w:rStyle w:val="Hyperlink"/>
            <w:sz w:val="24"/>
            <w:lang w:val="bg-BG"/>
          </w:rPr>
          <w:t xml:space="preserve"> </w:t>
        </w:r>
        <w:proofErr w:type="spellStart"/>
        <w:r w:rsidRPr="00735806">
          <w:rPr>
            <w:rStyle w:val="Hyperlink"/>
            <w:sz w:val="24"/>
            <w:lang w:val="bg-BG"/>
          </w:rPr>
          <w:t>key</w:t>
        </w:r>
        <w:proofErr w:type="spellEnd"/>
        <w:r w:rsidRPr="00735806">
          <w:rPr>
            <w:rStyle w:val="Hyperlink"/>
            <w:sz w:val="24"/>
            <w:lang w:val="bg-BG"/>
          </w:rPr>
          <w:t xml:space="preserve"> </w:t>
        </w:r>
        <w:proofErr w:type="spellStart"/>
        <w:r w:rsidRPr="00735806">
          <w:rPr>
            <w:rStyle w:val="Hyperlink"/>
            <w:sz w:val="24"/>
            <w:lang w:val="bg-BG"/>
          </w:rPr>
          <w:t>dimensions</w:t>
        </w:r>
        <w:proofErr w:type="spellEnd"/>
        <w:r w:rsidRPr="00735806">
          <w:rPr>
            <w:rStyle w:val="Hyperlink"/>
            <w:sz w:val="24"/>
            <w:lang w:val="bg-BG"/>
          </w:rPr>
          <w:t xml:space="preserve"> </w:t>
        </w:r>
        <w:proofErr w:type="spellStart"/>
        <w:r w:rsidRPr="00735806">
          <w:rPr>
            <w:rStyle w:val="Hyperlink"/>
            <w:sz w:val="24"/>
            <w:lang w:val="bg-BG"/>
          </w:rPr>
          <w:t>of</w:t>
        </w:r>
        <w:proofErr w:type="spellEnd"/>
        <w:r w:rsidRPr="00735806">
          <w:rPr>
            <w:rStyle w:val="Hyperlink"/>
            <w:sz w:val="24"/>
            <w:lang w:val="bg-BG"/>
          </w:rPr>
          <w:t xml:space="preserve"> </w:t>
        </w:r>
        <w:proofErr w:type="spellStart"/>
        <w:r w:rsidRPr="00735806">
          <w:rPr>
            <w:rStyle w:val="Hyperlink"/>
            <w:sz w:val="24"/>
            <w:lang w:val="bg-BG"/>
          </w:rPr>
          <w:t>industrial</w:t>
        </w:r>
        <w:proofErr w:type="spellEnd"/>
        <w:r w:rsidRPr="00735806">
          <w:rPr>
            <w:rStyle w:val="Hyperlink"/>
            <w:sz w:val="24"/>
            <w:lang w:val="bg-BG"/>
          </w:rPr>
          <w:t xml:space="preserve"> </w:t>
        </w:r>
        <w:proofErr w:type="spellStart"/>
        <w:r w:rsidRPr="00735806">
          <w:rPr>
            <w:rStyle w:val="Hyperlink"/>
            <w:sz w:val="24"/>
            <w:lang w:val="bg-BG"/>
          </w:rPr>
          <w:t>relations</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industrial</w:t>
        </w:r>
        <w:proofErr w:type="spellEnd"/>
        <w:r w:rsidRPr="00735806">
          <w:rPr>
            <w:rStyle w:val="Hyperlink"/>
            <w:sz w:val="24"/>
            <w:lang w:val="bg-BG"/>
          </w:rPr>
          <w:t xml:space="preserve"> </w:t>
        </w:r>
        <w:proofErr w:type="spellStart"/>
        <w:r w:rsidRPr="00735806">
          <w:rPr>
            <w:rStyle w:val="Hyperlink"/>
            <w:sz w:val="24"/>
            <w:lang w:val="bg-BG"/>
          </w:rPr>
          <w:t>democracy</w:t>
        </w:r>
        <w:proofErr w:type="spellEnd"/>
        <w:r w:rsidRPr="00735806">
          <w:rPr>
            <w:rStyle w:val="Hyperlink"/>
            <w:sz w:val="24"/>
            <w:lang w:val="bg-BG"/>
          </w:rPr>
          <w:t xml:space="preserve"> (Измерване на ключовите измерения на колективните трудови правоотношения и индустриалната демокрация)</w:t>
        </w:r>
      </w:hyperlink>
      <w:r w:rsidRPr="00735806">
        <w:rPr>
          <w:sz w:val="24"/>
          <w:lang w:val="bg-BG"/>
        </w:rPr>
        <w:t xml:space="preserve">, </w:t>
      </w:r>
      <w:proofErr w:type="spellStart"/>
      <w:r w:rsidRPr="00735806">
        <w:rPr>
          <w:sz w:val="24"/>
          <w:lang w:val="bg-BG"/>
        </w:rPr>
        <w:t>Eurofound</w:t>
      </w:r>
      <w:proofErr w:type="spellEnd"/>
      <w:r w:rsidRPr="00735806">
        <w:rPr>
          <w:sz w:val="24"/>
          <w:lang w:val="bg-BG"/>
        </w:rPr>
        <w:t>, декември 2023 г.</w:t>
      </w:r>
    </w:p>
  </w:footnote>
  <w:footnote w:id="9">
    <w:p w14:paraId="1129C242" w14:textId="29623BDB"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hyperlink r:id="rId6" w:history="1">
        <w:proofErr w:type="spellStart"/>
        <w:r w:rsidRPr="00735806">
          <w:rPr>
            <w:rStyle w:val="Hyperlink"/>
            <w:sz w:val="24"/>
            <w:lang w:val="bg-BG"/>
          </w:rPr>
          <w:t>Living</w:t>
        </w:r>
        <w:proofErr w:type="spellEnd"/>
        <w:r w:rsidRPr="00735806">
          <w:rPr>
            <w:rStyle w:val="Hyperlink"/>
            <w:sz w:val="24"/>
            <w:lang w:val="bg-BG"/>
          </w:rPr>
          <w:t xml:space="preserve"> </w:t>
        </w:r>
        <w:proofErr w:type="spellStart"/>
        <w:r w:rsidRPr="00735806">
          <w:rPr>
            <w:rStyle w:val="Hyperlink"/>
            <w:sz w:val="24"/>
            <w:lang w:val="bg-BG"/>
          </w:rPr>
          <w:t>and</w:t>
        </w:r>
        <w:proofErr w:type="spellEnd"/>
        <w:r w:rsidRPr="00735806">
          <w:rPr>
            <w:rStyle w:val="Hyperlink"/>
            <w:sz w:val="24"/>
            <w:lang w:val="bg-BG"/>
          </w:rPr>
          <w:t xml:space="preserve"> </w:t>
        </w:r>
        <w:proofErr w:type="spellStart"/>
        <w:r w:rsidRPr="00735806">
          <w:rPr>
            <w:rStyle w:val="Hyperlink"/>
            <w:sz w:val="24"/>
            <w:lang w:val="bg-BG"/>
          </w:rPr>
          <w:t>Working</w:t>
        </w:r>
        <w:proofErr w:type="spellEnd"/>
        <w:r w:rsidRPr="00735806">
          <w:rPr>
            <w:rStyle w:val="Hyperlink"/>
            <w:sz w:val="24"/>
            <w:lang w:val="bg-BG"/>
          </w:rPr>
          <w:t xml:space="preserve"> </w:t>
        </w:r>
        <w:proofErr w:type="spellStart"/>
        <w:r w:rsidRPr="00735806">
          <w:rPr>
            <w:rStyle w:val="Hyperlink"/>
            <w:sz w:val="24"/>
            <w:lang w:val="bg-BG"/>
          </w:rPr>
          <w:t>in</w:t>
        </w:r>
        <w:proofErr w:type="spellEnd"/>
        <w:r w:rsidRPr="00735806">
          <w:rPr>
            <w:rStyle w:val="Hyperlink"/>
            <w:sz w:val="24"/>
            <w:lang w:val="bg-BG"/>
          </w:rPr>
          <w:t xml:space="preserve"> </w:t>
        </w:r>
        <w:proofErr w:type="spellStart"/>
        <w:r w:rsidRPr="00735806">
          <w:rPr>
            <w:rStyle w:val="Hyperlink"/>
            <w:sz w:val="24"/>
            <w:lang w:val="bg-BG"/>
          </w:rPr>
          <w:t>the</w:t>
        </w:r>
        <w:proofErr w:type="spellEnd"/>
        <w:r w:rsidRPr="00735806">
          <w:rPr>
            <w:rStyle w:val="Hyperlink"/>
            <w:sz w:val="24"/>
            <w:lang w:val="bg-BG"/>
          </w:rPr>
          <w:t xml:space="preserve"> EU e-</w:t>
        </w:r>
        <w:proofErr w:type="spellStart"/>
        <w:r w:rsidRPr="00735806">
          <w:rPr>
            <w:rStyle w:val="Hyperlink"/>
            <w:sz w:val="24"/>
            <w:lang w:val="bg-BG"/>
          </w:rPr>
          <w:t>survey</w:t>
        </w:r>
        <w:proofErr w:type="spellEnd"/>
        <w:r w:rsidRPr="00735806">
          <w:rPr>
            <w:rStyle w:val="Hyperlink"/>
            <w:sz w:val="24"/>
            <w:lang w:val="bg-BG"/>
          </w:rPr>
          <w:t xml:space="preserve"> 2024 (Живот и работа в ЕС – електронно проучване, 2024 г.)</w:t>
        </w:r>
      </w:hyperlink>
      <w:r w:rsidRPr="00735806">
        <w:rPr>
          <w:sz w:val="24"/>
          <w:lang w:val="bg-BG"/>
        </w:rPr>
        <w:t xml:space="preserve">, </w:t>
      </w:r>
      <w:proofErr w:type="spellStart"/>
      <w:r w:rsidRPr="00735806">
        <w:rPr>
          <w:sz w:val="24"/>
          <w:lang w:val="bg-BG"/>
        </w:rPr>
        <w:t>Eurofound</w:t>
      </w:r>
      <w:proofErr w:type="spellEnd"/>
      <w:r w:rsidRPr="00735806">
        <w:rPr>
          <w:sz w:val="24"/>
          <w:lang w:val="bg-BG"/>
        </w:rPr>
        <w:t>, 2024 г.</w:t>
      </w:r>
    </w:p>
  </w:footnote>
  <w:footnote w:id="10">
    <w:p w14:paraId="0A0E2576" w14:textId="47383598"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r w:rsidRPr="00735806">
        <w:rPr>
          <w:sz w:val="24"/>
          <w:lang w:val="bg-BG"/>
        </w:rPr>
        <w:t xml:space="preserve">Директива (ЕС) 2024/2831 на Европейския парламент и на Съвета от 23 октомври 2024 г. относно подобряването на условията на труд при работата през платформа (ОВ L, 2024/2831, 11.11.2024 г, ELI: </w:t>
      </w:r>
      <w:hyperlink r:id="rId7" w:history="1">
        <w:r w:rsidRPr="00735806">
          <w:rPr>
            <w:rStyle w:val="Hyperlink"/>
            <w:sz w:val="24"/>
            <w:lang w:val="bg-BG"/>
          </w:rPr>
          <w:t>http://data.europa.eu/eli/dir/2024/2831/oj</w:t>
        </w:r>
      </w:hyperlink>
      <w:r w:rsidRPr="00735806">
        <w:rPr>
          <w:sz w:val="24"/>
          <w:lang w:val="bg-BG"/>
        </w:rPr>
        <w:t>).</w:t>
      </w:r>
    </w:p>
  </w:footnote>
  <w:footnote w:id="11">
    <w:p w14:paraId="5BBFDE48" w14:textId="6DED5D20" w:rsidR="000D3268" w:rsidRPr="00735806" w:rsidRDefault="000D3268" w:rsidP="00735806">
      <w:pPr>
        <w:pStyle w:val="FootnoteText"/>
        <w:ind w:left="567" w:hanging="567"/>
        <w:rPr>
          <w:sz w:val="24"/>
          <w:lang w:val="bg-BG"/>
        </w:rPr>
      </w:pPr>
      <w:r w:rsidRPr="00735806">
        <w:rPr>
          <w:rStyle w:val="FootnoteReference"/>
          <w:sz w:val="24"/>
          <w:lang w:val="bg-BG"/>
        </w:rPr>
        <w:footnoteRef/>
      </w:r>
      <w:r w:rsidR="00735806" w:rsidRPr="00735806">
        <w:rPr>
          <w:sz w:val="24"/>
          <w:lang w:val="bg-BG"/>
        </w:rPr>
        <w:t xml:space="preserve"> </w:t>
      </w:r>
      <w:r w:rsidR="00735806" w:rsidRPr="00735806">
        <w:rPr>
          <w:sz w:val="24"/>
          <w:lang w:val="bg-BG"/>
        </w:rPr>
        <w:tab/>
      </w:r>
      <w:r w:rsidRPr="00735806">
        <w:rPr>
          <w:sz w:val="24"/>
          <w:lang w:val="bg-BG"/>
        </w:rPr>
        <w:t xml:space="preserve">Препоръка на Съвета от 30 януари 2023 г. </w:t>
      </w:r>
      <w:r w:rsidRPr="00735806">
        <w:rPr>
          <w:sz w:val="24"/>
          <w:lang w:val="bg-BG"/>
        </w:rPr>
        <w:t>относно адекватен минимален доход, гарантиращ активно приобщаване (</w:t>
      </w:r>
      <w:r w:rsidR="0024577B" w:rsidRPr="00746C3E">
        <w:t>ОВ C 41, 3.2.2023 г., стр. 1</w:t>
      </w:r>
      <w:r w:rsidRPr="0073580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E0CF" w14:textId="77777777" w:rsidR="00064002" w:rsidRPr="007358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41C2" w14:textId="77777777" w:rsidR="00064002" w:rsidRPr="007358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2F39" w14:textId="77777777" w:rsidR="00064002" w:rsidRPr="007358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3931077">
    <w:abstractNumId w:val="9"/>
  </w:num>
  <w:num w:numId="2" w16cid:durableId="538395005">
    <w:abstractNumId w:val="9"/>
  </w:num>
  <w:num w:numId="3" w16cid:durableId="1816096293">
    <w:abstractNumId w:val="7"/>
  </w:num>
  <w:num w:numId="4" w16cid:durableId="2082673853">
    <w:abstractNumId w:val="7"/>
  </w:num>
  <w:num w:numId="5" w16cid:durableId="500390704">
    <w:abstractNumId w:val="6"/>
  </w:num>
  <w:num w:numId="6" w16cid:durableId="718475254">
    <w:abstractNumId w:val="6"/>
  </w:num>
  <w:num w:numId="7" w16cid:durableId="613025235">
    <w:abstractNumId w:val="5"/>
  </w:num>
  <w:num w:numId="8" w16cid:durableId="1921668987">
    <w:abstractNumId w:val="5"/>
  </w:num>
  <w:num w:numId="9" w16cid:durableId="1384711824">
    <w:abstractNumId w:val="4"/>
  </w:num>
  <w:num w:numId="10" w16cid:durableId="1055857722">
    <w:abstractNumId w:val="4"/>
  </w:num>
  <w:num w:numId="11" w16cid:durableId="393239752">
    <w:abstractNumId w:val="8"/>
  </w:num>
  <w:num w:numId="12" w16cid:durableId="1050761346">
    <w:abstractNumId w:val="8"/>
  </w:num>
  <w:num w:numId="13" w16cid:durableId="1613588613">
    <w:abstractNumId w:val="3"/>
  </w:num>
  <w:num w:numId="14" w16cid:durableId="813374226">
    <w:abstractNumId w:val="3"/>
  </w:num>
  <w:num w:numId="15" w16cid:durableId="587036552">
    <w:abstractNumId w:val="2"/>
  </w:num>
  <w:num w:numId="16" w16cid:durableId="736829016">
    <w:abstractNumId w:val="2"/>
  </w:num>
  <w:num w:numId="17" w16cid:durableId="742140385">
    <w:abstractNumId w:val="1"/>
  </w:num>
  <w:num w:numId="18" w16cid:durableId="577642093">
    <w:abstractNumId w:val="1"/>
  </w:num>
  <w:num w:numId="19" w16cid:durableId="1160657909">
    <w:abstractNumId w:val="0"/>
  </w:num>
  <w:num w:numId="20" w16cid:durableId="1888452394">
    <w:abstractNumId w:val="0"/>
  </w:num>
  <w:num w:numId="21" w16cid:durableId="795684878">
    <w:abstractNumId w:val="9"/>
  </w:num>
  <w:num w:numId="22" w16cid:durableId="1661812095">
    <w:abstractNumId w:val="7"/>
  </w:num>
  <w:num w:numId="23" w16cid:durableId="1286933531">
    <w:abstractNumId w:val="6"/>
  </w:num>
  <w:num w:numId="24" w16cid:durableId="1960866816">
    <w:abstractNumId w:val="5"/>
  </w:num>
  <w:num w:numId="25" w16cid:durableId="1819371410">
    <w:abstractNumId w:val="4"/>
  </w:num>
  <w:num w:numId="26" w16cid:durableId="1827479316">
    <w:abstractNumId w:val="8"/>
  </w:num>
  <w:num w:numId="27" w16cid:durableId="1389458056">
    <w:abstractNumId w:val="3"/>
  </w:num>
  <w:num w:numId="28" w16cid:durableId="448594315">
    <w:abstractNumId w:val="2"/>
  </w:num>
  <w:num w:numId="29" w16cid:durableId="1739135068">
    <w:abstractNumId w:val="1"/>
  </w:num>
  <w:num w:numId="30" w16cid:durableId="626590525">
    <w:abstractNumId w:val="0"/>
  </w:num>
  <w:num w:numId="31" w16cid:durableId="2119908928">
    <w:abstractNumId w:val="9"/>
  </w:num>
  <w:num w:numId="32" w16cid:durableId="1507747684">
    <w:abstractNumId w:val="7"/>
  </w:num>
  <w:num w:numId="33" w16cid:durableId="1170604263">
    <w:abstractNumId w:val="6"/>
  </w:num>
  <w:num w:numId="34" w16cid:durableId="142283622">
    <w:abstractNumId w:val="5"/>
  </w:num>
  <w:num w:numId="35" w16cid:durableId="525214484">
    <w:abstractNumId w:val="4"/>
  </w:num>
  <w:num w:numId="36" w16cid:durableId="1591160929">
    <w:abstractNumId w:val="8"/>
  </w:num>
  <w:num w:numId="37" w16cid:durableId="225990122">
    <w:abstractNumId w:val="3"/>
  </w:num>
  <w:num w:numId="38" w16cid:durableId="1324777058">
    <w:abstractNumId w:val="2"/>
  </w:num>
  <w:num w:numId="39" w16cid:durableId="665524179">
    <w:abstractNumId w:val="1"/>
  </w:num>
  <w:num w:numId="40" w16cid:durableId="564536775">
    <w:abstractNumId w:val="0"/>
  </w:num>
  <w:num w:numId="41" w16cid:durableId="4021907">
    <w:abstractNumId w:val="10"/>
  </w:num>
  <w:num w:numId="42" w16cid:durableId="1088115805">
    <w:abstractNumId w:val="10"/>
  </w:num>
  <w:num w:numId="43" w16cid:durableId="1580483106">
    <w:abstractNumId w:val="10"/>
  </w:num>
  <w:num w:numId="44" w16cid:durableId="71317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BG"/>
    <w:docVar w:name="dvnumam" w:val="0"/>
    <w:docVar w:name="dvpe" w:val="772.196"/>
    <w:docVar w:name="dvtitre" w:val="Резолюция на Европейския парламент от ... 2025 г. относно Втората световна среща на върха за социално развитие(2025/2654(RSP))"/>
  </w:docVars>
  <w:rsids>
    <w:rsidRoot w:val="00D83CA2"/>
    <w:rsid w:val="00002272"/>
    <w:rsid w:val="00064002"/>
    <w:rsid w:val="000677B9"/>
    <w:rsid w:val="000831BA"/>
    <w:rsid w:val="000A42CC"/>
    <w:rsid w:val="000D3268"/>
    <w:rsid w:val="000E7DD9"/>
    <w:rsid w:val="0010095E"/>
    <w:rsid w:val="00125B37"/>
    <w:rsid w:val="00187494"/>
    <w:rsid w:val="001F32AE"/>
    <w:rsid w:val="0024577B"/>
    <w:rsid w:val="002767FF"/>
    <w:rsid w:val="002B18FE"/>
    <w:rsid w:val="002B5493"/>
    <w:rsid w:val="00343214"/>
    <w:rsid w:val="00361C00"/>
    <w:rsid w:val="00395FA1"/>
    <w:rsid w:val="003E15D4"/>
    <w:rsid w:val="00411CCE"/>
    <w:rsid w:val="0041666E"/>
    <w:rsid w:val="00421060"/>
    <w:rsid w:val="00422AF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806"/>
    <w:rsid w:val="00746C3E"/>
    <w:rsid w:val="00747932"/>
    <w:rsid w:val="00751A4A"/>
    <w:rsid w:val="00756632"/>
    <w:rsid w:val="00762C74"/>
    <w:rsid w:val="00786EC0"/>
    <w:rsid w:val="007D1690"/>
    <w:rsid w:val="007E1758"/>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CA2"/>
    <w:rsid w:val="00D872DF"/>
    <w:rsid w:val="00D91E21"/>
    <w:rsid w:val="00DA7FCD"/>
    <w:rsid w:val="00E365E1"/>
    <w:rsid w:val="00E3683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F83BF"/>
  <w15:chartTrackingRefBased/>
  <w15:docId w15:val="{8D7628D3-90E4-44B0-9C7A-03FACBE3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3268"/>
    <w:pPr>
      <w:spacing w:before="480" w:after="240"/>
    </w:pPr>
  </w:style>
  <w:style w:type="paragraph" w:customStyle="1" w:styleId="NormalHanging12a">
    <w:name w:val="NormalHanging12a"/>
    <w:basedOn w:val="Normal"/>
    <w:link w:val="NormalHanging12aChar"/>
    <w:rsid w:val="000D3268"/>
    <w:pPr>
      <w:spacing w:after="240"/>
      <w:ind w:left="567" w:hanging="567"/>
    </w:pPr>
  </w:style>
  <w:style w:type="character" w:customStyle="1" w:styleId="NormalHanging12aChar">
    <w:name w:val="NormalHanging12a Char"/>
    <w:basedOn w:val="DefaultParagraphFont"/>
    <w:link w:val="NormalHanging12a"/>
    <w:rsid w:val="000D3268"/>
    <w:rPr>
      <w:sz w:val="24"/>
      <w:lang w:val="bg-BG"/>
    </w:rPr>
  </w:style>
  <w:style w:type="character" w:styleId="Hyperlink">
    <w:name w:val="Hyperlink"/>
    <w:basedOn w:val="DefaultParagraphFont"/>
    <w:rsid w:val="000D3268"/>
    <w:rPr>
      <w:color w:val="0563C1" w:themeColor="hyperlink"/>
      <w:u w:val="single"/>
    </w:rPr>
  </w:style>
  <w:style w:type="paragraph" w:styleId="Revision">
    <w:name w:val="Revision"/>
    <w:hidden/>
    <w:uiPriority w:val="99"/>
    <w:semiHidden/>
    <w:rsid w:val="0024577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bg/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bg/surveys-and-data/surveys/living-and-working-in-the-eu-e-survey/e-survey-2024" TargetMode="External"/><Relationship Id="rId5" Type="http://schemas.openxmlformats.org/officeDocument/2006/relationships/hyperlink" Target="https://www.eurofound.europa.eu/bg/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4095</Words>
  <Characters>23483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2025-10-09T13:00:00Z</dcterms:created>
  <dcterms:modified xsi:type="dcterms:W3CDTF">2025-10-09T13:00:00Z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B10-0408/2025</vt:lpwstr>
  </property>
  <property fmtid="{D5CDD505-2E9C-101B-9397-08002B2CF9AE}" pid="4" name="&lt;Type&gt;">
    <vt:lpwstr>RR</vt:lpwstr>
  </property>
</Properties>
</file>