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66B5" w14:paraId="56298A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EF709A" w14:textId="77777777" w:rsidR="00751A4A" w:rsidRPr="003466B5" w:rsidRDefault="00220C9D" w:rsidP="0010095E">
            <w:pPr>
              <w:pStyle w:val="EPName"/>
            </w:pPr>
            <w:r w:rsidRPr="003466B5">
              <w:t>Európai Parlament</w:t>
            </w:r>
          </w:p>
          <w:p w14:paraId="21BFC5F3" w14:textId="77777777" w:rsidR="00751A4A" w:rsidRPr="003466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66B5">
              <w:t>2024</w:t>
            </w:r>
            <w:r w:rsidR="00817416" w:rsidRPr="003466B5">
              <w:t>-202</w:t>
            </w:r>
            <w:r w:rsidRPr="003466B5">
              <w:t>9</w:t>
            </w:r>
          </w:p>
        </w:tc>
        <w:tc>
          <w:tcPr>
            <w:tcW w:w="2268" w:type="dxa"/>
            <w:shd w:val="clear" w:color="auto" w:fill="auto"/>
          </w:tcPr>
          <w:p w14:paraId="5519B45F" w14:textId="77777777" w:rsidR="00751A4A" w:rsidRPr="003466B5" w:rsidRDefault="00187494" w:rsidP="0010095E">
            <w:pPr>
              <w:pStyle w:val="EPLogo"/>
            </w:pPr>
            <w:r w:rsidRPr="003466B5">
              <w:rPr>
                <w:noProof/>
                <w:lang w:eastAsia="ja-JP"/>
              </w:rPr>
              <w:drawing>
                <wp:inline distT="0" distB="0" distL="0" distR="0" wp14:anchorId="65563170" wp14:editId="36B38F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A34536" w14:textId="77777777" w:rsidR="00D058B8" w:rsidRPr="003466B5" w:rsidRDefault="00D058B8" w:rsidP="004C5D52">
      <w:pPr>
        <w:pStyle w:val="LineTop"/>
      </w:pPr>
    </w:p>
    <w:p w14:paraId="1CA2EC94" w14:textId="77777777" w:rsidR="00680577" w:rsidRPr="003466B5" w:rsidRDefault="00220C9D" w:rsidP="00680577">
      <w:pPr>
        <w:pStyle w:val="EPBodyTA1"/>
      </w:pPr>
      <w:r w:rsidRPr="003466B5">
        <w:t>ELFOGADOTT SZÖVEGEK</w:t>
      </w:r>
    </w:p>
    <w:p w14:paraId="315AB9F1" w14:textId="77777777" w:rsidR="00D058B8" w:rsidRPr="003466B5" w:rsidRDefault="00D058B8" w:rsidP="00D058B8">
      <w:pPr>
        <w:pStyle w:val="LineBottom"/>
      </w:pPr>
    </w:p>
    <w:p w14:paraId="009C13AB" w14:textId="3E439749" w:rsidR="00220C9D" w:rsidRPr="003466B5" w:rsidRDefault="00220C9D" w:rsidP="00220C9D">
      <w:pPr>
        <w:pStyle w:val="ATHeading1"/>
      </w:pPr>
      <w:bookmarkStart w:id="0" w:name="TANumber"/>
      <w:r w:rsidRPr="003466B5">
        <w:t>P10_</w:t>
      </w:r>
      <w:proofErr w:type="gramStart"/>
      <w:r w:rsidRPr="003466B5">
        <w:t>TA(</w:t>
      </w:r>
      <w:proofErr w:type="gramEnd"/>
      <w:r w:rsidRPr="003466B5">
        <w:t>2025)0</w:t>
      </w:r>
      <w:r w:rsidR="007F79E1">
        <w:t>231</w:t>
      </w:r>
      <w:bookmarkEnd w:id="0"/>
    </w:p>
    <w:p w14:paraId="7EAB34AD" w14:textId="14E43409" w:rsidR="00220C9D" w:rsidRPr="003466B5" w:rsidRDefault="00E5430A" w:rsidP="00220C9D">
      <w:pPr>
        <w:pStyle w:val="ATHeading2"/>
      </w:pPr>
      <w:bookmarkStart w:id="1" w:name="title"/>
      <w:r w:rsidRPr="003466B5">
        <w:t>A társadalmi fejlődésről szóló második világ-csúcstalálkozó</w:t>
      </w:r>
      <w:bookmarkEnd w:id="1"/>
    </w:p>
    <w:p w14:paraId="0910BB7A" w14:textId="77777777" w:rsidR="00220C9D" w:rsidRPr="003466B5" w:rsidRDefault="00220C9D" w:rsidP="00220C9D">
      <w:pPr>
        <w:rPr>
          <w:i/>
          <w:vanish/>
        </w:rPr>
      </w:pPr>
      <w:r w:rsidRPr="003466B5">
        <w:rPr>
          <w:i/>
        </w:rPr>
        <w:fldChar w:fldCharType="begin"/>
      </w:r>
      <w:r w:rsidRPr="003466B5">
        <w:rPr>
          <w:i/>
        </w:rPr>
        <w:instrText xml:space="preserve"> TC"(</w:instrText>
      </w:r>
      <w:bookmarkStart w:id="2" w:name="DocNumber"/>
      <w:r w:rsidRPr="003466B5">
        <w:rPr>
          <w:i/>
        </w:rPr>
        <w:instrText>B10-0408/2025</w:instrText>
      </w:r>
      <w:bookmarkEnd w:id="2"/>
      <w:r w:rsidRPr="003466B5">
        <w:rPr>
          <w:i/>
        </w:rPr>
        <w:instrText xml:space="preserve">)"\l3 \n&gt; \* MERGEFORMAT </w:instrText>
      </w:r>
      <w:r w:rsidRPr="003466B5">
        <w:rPr>
          <w:i/>
        </w:rPr>
        <w:fldChar w:fldCharType="end"/>
      </w:r>
    </w:p>
    <w:p w14:paraId="61F4E241" w14:textId="77777777" w:rsidR="00220C9D" w:rsidRPr="003466B5" w:rsidRDefault="00220C9D" w:rsidP="00220C9D">
      <w:pPr>
        <w:rPr>
          <w:vanish/>
        </w:rPr>
      </w:pPr>
      <w:bookmarkStart w:id="3" w:name="PE"/>
      <w:r w:rsidRPr="003466B5">
        <w:rPr>
          <w:vanish/>
        </w:rPr>
        <w:t>PE772.196</w:t>
      </w:r>
      <w:bookmarkEnd w:id="3"/>
    </w:p>
    <w:p w14:paraId="0A98B487" w14:textId="090924EB" w:rsidR="00220C9D" w:rsidRPr="003466B5" w:rsidRDefault="00220C9D" w:rsidP="00220C9D">
      <w:pPr>
        <w:pStyle w:val="ATHeading3"/>
      </w:pPr>
      <w:bookmarkStart w:id="4" w:name="Sujet"/>
      <w:r w:rsidRPr="003466B5">
        <w:t xml:space="preserve">Az Európai Parlament 2025. </w:t>
      </w:r>
      <w:r w:rsidR="00E5430A" w:rsidRPr="003466B5">
        <w:t>október 9</w:t>
      </w:r>
      <w:r w:rsidRPr="003466B5">
        <w:t>-i állásfoglalása a társadalmi fejlődésről szóló második világ-csúcstalálkozóról</w:t>
      </w:r>
      <w:bookmarkEnd w:id="4"/>
      <w:r w:rsidRPr="003466B5">
        <w:t xml:space="preserve"> </w:t>
      </w:r>
      <w:bookmarkStart w:id="5" w:name="References"/>
      <w:r w:rsidRPr="003466B5">
        <w:t>(2025/2654(RSP))</w:t>
      </w:r>
      <w:bookmarkEnd w:id="5"/>
    </w:p>
    <w:p w14:paraId="7D886143" w14:textId="77777777" w:rsidR="00B0382A" w:rsidRPr="003466B5" w:rsidRDefault="00B0382A" w:rsidP="00B0382A">
      <w:pPr>
        <w:pStyle w:val="EPComma"/>
      </w:pPr>
      <w:bookmarkStart w:id="6" w:name="TextBodyBegin"/>
      <w:bookmarkEnd w:id="6"/>
      <w:r w:rsidRPr="003466B5">
        <w:rPr>
          <w:i/>
          <w:iCs/>
        </w:rPr>
        <w:t>Az Európai Parlament,</w:t>
      </w:r>
    </w:p>
    <w:p w14:paraId="74082FA3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Európai Unióról szóló szerződésre (EUSZ) és különösen annak 3. cikke,</w:t>
      </w:r>
    </w:p>
    <w:p w14:paraId="79187A6B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Európai Unió működéséről szóló szerződésre, és különösen annak 9., 10., 19., 45–48. és 145–161. cikkére,</w:t>
      </w:r>
    </w:p>
    <w:p w14:paraId="3B1D64F7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Európai Unió Alapjogi Chartájára,</w:t>
      </w:r>
    </w:p>
    <w:p w14:paraId="71B72893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Európai Szociális Chartára,</w:t>
      </w:r>
    </w:p>
    <w:p w14:paraId="1A9C8F3C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 Gazdasági, Szociális és Kulturális Jogok Nemzetközi Egyezségokmányára,</w:t>
      </w:r>
    </w:p>
    <w:p w14:paraId="032F9FC8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 szociális jogok európai pillérére, amelyet a Tanács, a Parlament és a Bizottság 2017. november 17-én hirdetett ki és írt alá,</w:t>
      </w:r>
    </w:p>
    <w:p w14:paraId="55116ADC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 szociális jogok európai pillérének megvalósítására vonatkozó cselekvési tervre és annak 2030-ra kitűzött kiemelt céljaira,</w:t>
      </w:r>
    </w:p>
    <w:p w14:paraId="183D6466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 xml:space="preserve">tekintettel a Parlament, a Bizottság, az Európai Gazdasági és Szociális Bizottság és a Tanács által 2024. április 16-án aláírt, a szociális jogok európai pillérének jövőjéről szóló La </w:t>
      </w:r>
      <w:proofErr w:type="spellStart"/>
      <w:r w:rsidRPr="003466B5">
        <w:t>Hulpe</w:t>
      </w:r>
      <w:proofErr w:type="spellEnd"/>
      <w:r w:rsidRPr="003466B5">
        <w:t>-i nyilatkozatra,</w:t>
      </w:r>
    </w:p>
    <w:p w14:paraId="06416BCF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európai gyermekgaranciára,</w:t>
      </w:r>
    </w:p>
    <w:p w14:paraId="16D19402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az uniós nemi esélyegyenlőségi stratégiára és a nők jogaira vonatkozó ütemtervre,</w:t>
      </w:r>
    </w:p>
    <w:p w14:paraId="0127BFDC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 fogyatékossággal élő személyek jogairól szóló európai stratégiára,</w:t>
      </w:r>
    </w:p>
    <w:p w14:paraId="6CF81810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az Egyesült Nemzetek Szervezete (ENSZ) fenntartható fejlődési céljaira, különösen az 1., 2., 8. és 10. célra,</w:t>
      </w:r>
    </w:p>
    <w:p w14:paraId="04C0000C" w14:textId="77777777" w:rsidR="00B0382A" w:rsidRPr="003466B5" w:rsidRDefault="00B0382A" w:rsidP="00E5430A">
      <w:pPr>
        <w:pStyle w:val="NormalHanging12a"/>
        <w:widowControl/>
      </w:pPr>
      <w:r w:rsidRPr="003466B5">
        <w:lastRenderedPageBreak/>
        <w:t>–</w:t>
      </w:r>
      <w:r w:rsidRPr="003466B5">
        <w:tab/>
        <w:t>tekintettel a társadalmi fejlődésről szóló, 1995. március 14-i koppenhágai nyilatkozatra,</w:t>
      </w:r>
    </w:p>
    <w:p w14:paraId="54CE9078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–</w:t>
      </w:r>
      <w:r w:rsidRPr="003466B5">
        <w:tab/>
        <w:t>tekintettel a Nemzetközi Munkaügyi Szervezet (ILO) alapvető egyezményeire,</w:t>
      </w:r>
    </w:p>
    <w:p w14:paraId="138929B5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ENSZ Közgyűlésének „A társadalmi fejlődésről szóló második világ-csúcstalálkozó” címet viselő, a „szociális világ-csúcstalálkozó” módozatairól szóló, 2024. július 16-i 78/318. sz. határozatára,</w:t>
      </w:r>
    </w:p>
    <w:p w14:paraId="1011BDA1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 xml:space="preserve">tekintettel az ENSZ 2024. szeptemberi csúcstalálkozóján elfogadott, jövőt szolgáló paktumra, </w:t>
      </w:r>
    </w:p>
    <w:p w14:paraId="13A477CC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az ENSZ Közgyűlésének égisze alatt 2023 szeptemberében a fenntartható fejlődéssel foglalkozó magas szintű politikai fórumon elfogadott politikai nyilatkozatra,</w:t>
      </w:r>
    </w:p>
    <w:p w14:paraId="27948A54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eljárási szabályzata 136. cikkének (2) bekezdésére,</w:t>
      </w:r>
    </w:p>
    <w:p w14:paraId="088B7B5B" w14:textId="77777777" w:rsidR="00B0382A" w:rsidRPr="003466B5" w:rsidRDefault="00B0382A" w:rsidP="00E5430A">
      <w:pPr>
        <w:pStyle w:val="NormalHanging12a"/>
        <w:widowControl/>
      </w:pPr>
      <w:r w:rsidRPr="003466B5">
        <w:t>–</w:t>
      </w:r>
      <w:r w:rsidRPr="003466B5">
        <w:tab/>
        <w:t>tekintettel a Foglalkoztatási és Szociális Bizottság állásfoglalási indítványára,</w:t>
      </w:r>
    </w:p>
    <w:p w14:paraId="6A08066E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A.</w:t>
      </w:r>
      <w:r w:rsidRPr="003466B5">
        <w:tab/>
        <w:t>mivel a fenntartható fejlődés az EUSZ egyik alapelve; mivel a 17 fenntartható fejlődési cél az ENSZ valamennyi tagállama által 2015-ben elfogadott, a 2030-ig tartó időszakra vonatkozó fenntartható fejlesztési menetrend középpontjában áll; mivel az EU-nak a 2030-ig tartó időszakra vonatkozó menetrend melletti elkötelezettsége átalakulást hozó uniós szakpolitikákban öltött testet;</w:t>
      </w:r>
    </w:p>
    <w:p w14:paraId="50EBA8E4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B.</w:t>
      </w:r>
      <w:r w:rsidRPr="003466B5">
        <w:tab/>
        <w:t xml:space="preserve">mivel Unió-szerte továbbra is jelentős egyenlőtlenségek vannak az emberek és a régiók között, különösen jövedelmi és nemek közötti egyenlőtlenségek, miközben az infláció és a megélhetési költségek növekedése aránytalanul érinti az alacsony jövedelmű és kiszolgáltatott helyzetű háztartásokat; mivel a lakhatási válság továbbra is jelentős kihívást jelent az egész EU-ban, ami lakhatásból való kirekesztettséghez, lakhatási bizonytalansághoz, magasabb lakhatási költségekhez és a lakhatás elégtelenségéhez vezet; mivel ezek a problémák negatívan befolyásolják a társadalmi kohéziót, a társadalmi felzárkózást és az EU-ban élő emberek társadalmi jólétét; mivel egyes tanulmányok arra utalnak, hogy Európában a kontinens leggazdagabb 10 %-a </w:t>
      </w:r>
      <w:proofErr w:type="spellStart"/>
      <w:r w:rsidRPr="003466B5">
        <w:t>a</w:t>
      </w:r>
      <w:proofErr w:type="spellEnd"/>
      <w:r w:rsidRPr="003466B5">
        <w:t xml:space="preserve"> vagyon döbbenetesen nagy részét, annak 67 %-át birtokolja, míg a felnőtt lakosság alsó 50 %-a ennek mindössze 1,2 %-</w:t>
      </w:r>
      <w:proofErr w:type="spellStart"/>
      <w:r w:rsidRPr="003466B5">
        <w:t>ával</w:t>
      </w:r>
      <w:proofErr w:type="spellEnd"/>
      <w:r w:rsidRPr="003466B5">
        <w:t xml:space="preserve"> rendelkezik</w:t>
      </w:r>
      <w:r w:rsidRPr="003466B5">
        <w:rPr>
          <w:vertAlign w:val="superscript"/>
        </w:rPr>
        <w:footnoteReference w:id="1"/>
      </w:r>
      <w:r w:rsidRPr="003466B5">
        <w:t>; mivel 2023-ban az EU-27-re vonatkozó Gini-együttható 29,6%-os volt, ami 2014 óta enyhén csökkenő tendenciát mutat, miközben 13 tagállam meghaladja ezt az átlagot</w:t>
      </w:r>
      <w:r w:rsidRPr="003466B5">
        <w:rPr>
          <w:vertAlign w:val="superscript"/>
        </w:rPr>
        <w:footnoteReference w:id="2"/>
      </w:r>
      <w:r w:rsidRPr="003466B5">
        <w:t>;</w:t>
      </w:r>
    </w:p>
    <w:p w14:paraId="7BBB0120" w14:textId="01EFA198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C.</w:t>
      </w:r>
      <w:r w:rsidRPr="003466B5">
        <w:tab/>
        <w:t xml:space="preserve">mivel az EU a szociális jogok európai pillérének megvalósítására vonatkozó cselekvési tervben kötelezettséget vállalt arra, hogy 2030-ig legalább 15 millióval csökkenti a szegénység és a társadalmi </w:t>
      </w:r>
      <w:proofErr w:type="spellStart"/>
      <w:r w:rsidRPr="003466B5">
        <w:t>kirekesztődés</w:t>
      </w:r>
      <w:proofErr w:type="spellEnd"/>
      <w:r w:rsidRPr="003466B5">
        <w:t xml:space="preserve"> kockázatának kitettek – és ezen belül legalább 5 millióval az ilyen kockázatnak kitett gyermekek – számát; mivel a tagállamok közel felében az adatok a szegénység csökkentése terén elért előrehaladás sajnálatos megfordulását jelzik; mivel az EU-ban minden ötödik gyermek továbbra is ki van téve a szegénység és a társadalmi kirekesztés kockázatának; mivel, ha a jelenlegi tendencia folytatódik, az EU el fog maradni a 2030-ra kitűzött céljától; mivel emellett az energiaszegénység az európaiak több mint tíz százalékát érinti, súlyosbítva az </w:t>
      </w:r>
      <w:r w:rsidRPr="003466B5">
        <w:lastRenderedPageBreak/>
        <w:t xml:space="preserve">egyenlőtlenséget; mivel a helyzet világviszonylatban még rosszabb: közel 700 millió ember él mélyszegénységben, és további 2,8 milliárd ember él a mélyszegénységi küszöb és a napi 6,85 </w:t>
      </w:r>
      <w:r w:rsidR="00E5430A" w:rsidRPr="003466B5">
        <w:t xml:space="preserve">USD </w:t>
      </w:r>
      <w:r w:rsidRPr="003466B5">
        <w:t>norma között</w:t>
      </w:r>
      <w:r w:rsidRPr="003466B5">
        <w:rPr>
          <w:vertAlign w:val="superscript"/>
        </w:rPr>
        <w:footnoteReference w:id="3"/>
      </w:r>
      <w:r w:rsidRPr="003466B5">
        <w:t>, és az elmúlt három évtizedben a szegénységből kilábalók akár 35%-a visszasüllyedt a szegénységbe;</w:t>
      </w:r>
    </w:p>
    <w:p w14:paraId="502721B5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D.</w:t>
      </w:r>
      <w:r w:rsidRPr="003466B5">
        <w:tab/>
        <w:t>mivel előrelépés történt az EU foglalkoztatási célkitűzésének elérése felé, amely szerint 2030-ra a 20–64 évesek legalább 78%-</w:t>
      </w:r>
      <w:proofErr w:type="spellStart"/>
      <w:r w:rsidRPr="003466B5">
        <w:t>ának</w:t>
      </w:r>
      <w:proofErr w:type="spellEnd"/>
      <w:r w:rsidRPr="003466B5">
        <w:t xml:space="preserve"> foglalkoztatottnak kell lennie; mivel a Bizottság 2024. őszi gazdasági előrejelzése szerint az uniós foglalkoztatási ráta elérte a 75,8%-ot; mivel a tagállamok kétharmadában a foglalkoztatás növekedése 2023-ban jó úton haladt afelé, hogy elérje a 2030-ra vonatkozó nemzeti célkitűzést; mivel azonban továbbra is jelentős kihívások állnak fenn, mint például a nemek közötti foglalkoztatási különbség és egyes tagállamokban a magas munkanélküliségi ráta, a munkaerőpiac tartós szegmentációja, a szociális védelem hiányosságai, a bizonytalan és atipikus munkavégzés</w:t>
      </w:r>
      <w:r w:rsidRPr="003466B5">
        <w:rPr>
          <w:vertAlign w:val="superscript"/>
        </w:rPr>
        <w:footnoteReference w:id="4"/>
      </w:r>
      <w:r w:rsidRPr="003466B5">
        <w:t xml:space="preserve"> gyakori előfordulása, valamint az ágazatok és régiók között a minőségi foglalkoztatáshoz való hozzáférés terén továbbra is fennálló egyenlőtlenségek; mivel 2024-ben a munkanélküliek 66,6%-a és a foglalkoztatottak 10,9%-a volt kitéve a szegénység kockázatának</w:t>
      </w:r>
      <w:r w:rsidRPr="003466B5">
        <w:rPr>
          <w:rStyle w:val="FootnoteReference"/>
        </w:rPr>
        <w:footnoteReference w:id="5"/>
      </w:r>
      <w:r w:rsidRPr="003466B5">
        <w:t>;</w:t>
      </w:r>
    </w:p>
    <w:p w14:paraId="08450AFA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E.</w:t>
      </w:r>
      <w:r w:rsidRPr="003466B5">
        <w:tab/>
        <w:t xml:space="preserve">mivel az alapkészségek – például az olvasás, a matematika és a természettudományok – terén való </w:t>
      </w:r>
      <w:proofErr w:type="spellStart"/>
      <w:r w:rsidRPr="003466B5">
        <w:t>alulteljesítés</w:t>
      </w:r>
      <w:proofErr w:type="spellEnd"/>
      <w:r w:rsidRPr="003466B5">
        <w:t xml:space="preserve"> egyre gyakoribb az EU-ban, különösen a hátrányos helyzetű tanulók körében; mivel ez az oktatási egyenlőtlenség aláássa a továbbképzéshez, a képzési lehetőségekhez és a minőségi foglalkoztatáshoz való egyenlő hozzáférést, és hozzájárul a tartós társadalmi és munkaerőpiaci kirekesztéshez;</w:t>
      </w:r>
    </w:p>
    <w:p w14:paraId="5BC2D3B6" w14:textId="77777777" w:rsidR="00B0382A" w:rsidRPr="003466B5" w:rsidRDefault="00B0382A" w:rsidP="00E5430A">
      <w:pPr>
        <w:pStyle w:val="NormalHanging12a"/>
        <w:widowControl/>
      </w:pPr>
      <w:r w:rsidRPr="003466B5">
        <w:t>F.</w:t>
      </w:r>
      <w:r w:rsidRPr="003466B5">
        <w:tab/>
        <w:t>mivel az Európai Unió elfogadta azt a célt, hogy 2030-ra a felnőttek legalább 60%-</w:t>
      </w:r>
      <w:proofErr w:type="spellStart"/>
      <w:r w:rsidRPr="003466B5">
        <w:t>ának</w:t>
      </w:r>
      <w:proofErr w:type="spellEnd"/>
      <w:r w:rsidRPr="003466B5">
        <w:t xml:space="preserve"> évente képzésben kell részesülnie; mivel a tagállamok nemzeti célok mellett kötelezték el magukat e kiemelt cél elérése érdekében, és mivel a tagállamokban a részvételi arány jelenleg csak 39,5%;</w:t>
      </w:r>
    </w:p>
    <w:p w14:paraId="5C40E47A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G.</w:t>
      </w:r>
      <w:r w:rsidRPr="003466B5">
        <w:tab/>
        <w:t xml:space="preserve">mivel a demográfiai kihívások, többek között az idősödő népesség, az alacsony születési ráták és a vidék elnéptelenedése – amikor különösen a fiatalok költöznek városi területekre – súlyosbíthatják a gazdasági egyenlőtlenségeket és károsíthatják a társadalmi fejlődést, valamint az uniós régiók, a munkaerőpiacok, az állami infrastruktúra </w:t>
      </w:r>
      <w:proofErr w:type="spellStart"/>
      <w:r w:rsidRPr="003466B5">
        <w:t>vonzerejét</w:t>
      </w:r>
      <w:proofErr w:type="spellEnd"/>
      <w:r w:rsidRPr="003466B5">
        <w:t xml:space="preserve"> és következésképpen a jóléti rendszerek fenntarthatóságát, és tovább súlyosbítják az EU-n belüli regionális egyenlőtlenségeket; mivel ezek a kihívások ezért strukturális kihívást jelentenek az EU gazdasága számára; mivel a migránsok munkaerőpiaci integrációja enyhítheti a munkaerőpiaci hiányokat; mivel az alacsony születési rátához jelentős mértékben hozzájáruló tényezők közé tartozik a gyermekgondozáshoz (0–3 éves korig) és a felsőoktatáshoz való egyetemes nyilvános hozzáférés hiánya, a megfizethető lakhatás hiánya, a gyermekek után járó támogatások hiánya vagy elégtelensége, valamint a fizetett szülői szabadság elégtelensége;</w:t>
      </w:r>
    </w:p>
    <w:p w14:paraId="408A03B9" w14:textId="77777777" w:rsidR="00B0382A" w:rsidRPr="003466B5" w:rsidRDefault="00B0382A" w:rsidP="00E5430A">
      <w:pPr>
        <w:pStyle w:val="NormalHanging12a"/>
        <w:widowControl/>
      </w:pPr>
      <w:r w:rsidRPr="003466B5">
        <w:t>H.</w:t>
      </w:r>
      <w:r w:rsidRPr="003466B5">
        <w:tab/>
        <w:t xml:space="preserve">mivel a munkaerő- és szakemberhiány Unió-szerte növekszik, és azt a demográfiai változás, a zöld és digitális átállás, valamint az új készségek iránti kereslet okozza; mivel egyes ágazatokban a rossz munkafeltételek és a strukturális munkaerőhiány </w:t>
      </w:r>
      <w:r w:rsidRPr="003466B5">
        <w:lastRenderedPageBreak/>
        <w:t>közvetlenül korlátozzák az EU azon képességét, hogy mind a harmadik országokból, mind az EU-n belül tehetségeket vonzzon és tartson meg; mivel a magasabb bérekkel és a munkahelyek stabilitásával járó minőségi foglalkoztatás, valamint a harmadik országbeli állampolgárok munkaerőpiaci integrációja segíthet e kihívások kezelésében;</w:t>
      </w:r>
    </w:p>
    <w:p w14:paraId="09BD9D29" w14:textId="77777777" w:rsidR="00B0382A" w:rsidRPr="003466B5" w:rsidRDefault="00B0382A" w:rsidP="00E5430A">
      <w:pPr>
        <w:pStyle w:val="NormalHanging12a"/>
        <w:widowControl/>
      </w:pPr>
      <w:r w:rsidRPr="003466B5">
        <w:t>I.</w:t>
      </w:r>
      <w:r w:rsidRPr="003466B5">
        <w:tab/>
        <w:t xml:space="preserve">mivel az </w:t>
      </w:r>
      <w:proofErr w:type="spellStart"/>
      <w:r w:rsidRPr="003466B5">
        <w:t>Eurofound</w:t>
      </w:r>
      <w:proofErr w:type="spellEnd"/>
      <w:r w:rsidRPr="003466B5">
        <w:t xml:space="preserve"> 2024. évi jelentése szerint az öngyilkosságok aránya 2021 óta – évtizedes csökkenést követően – növekszik; mivel többet kell tenni a mentális egészségügyi zavarok okainak a munka- és életkörülmények tekintetében való kezelése érdekében</w:t>
      </w:r>
      <w:r w:rsidRPr="003466B5">
        <w:rPr>
          <w:vertAlign w:val="superscript"/>
        </w:rPr>
        <w:footnoteReference w:id="6"/>
      </w:r>
      <w:r w:rsidRPr="003466B5">
        <w:t>;</w:t>
      </w:r>
    </w:p>
    <w:p w14:paraId="4A42F646" w14:textId="77777777" w:rsidR="00B0382A" w:rsidRPr="003466B5" w:rsidRDefault="00B0382A" w:rsidP="00E5430A">
      <w:pPr>
        <w:pStyle w:val="NormalHanging12a"/>
        <w:widowControl/>
      </w:pPr>
      <w:r w:rsidRPr="003466B5">
        <w:t>J.</w:t>
      </w:r>
      <w:r w:rsidRPr="003466B5">
        <w:tab/>
        <w:t>mivel a szociális gazdaság, így a szociális vállalkozások, különböző típusú magánszervezeteket foglalnak magukban, amelyek függetlenek a hatóságoktól, mint szövetkezetek, kölcsönös önsegélyező társaságok, egyesületek (beleértve a jótékonysági szervezeteket is), alapítványok (beleértve a munkaerőpiaci integrációval foglalkozó szociális vállalkozásokat és az egyes uniós tagállamoktól függően más jogi formákat is); megjegyzi, hogy a vállalkozások és szervezetek e sokfélesége, amelyek minden tevékenységi területen működnek, erős identitással rendelkeznek, olyan közös értékeken és jellemzőkön alapul, mint a nemek közötti egyenlőség, a helyi és regionális felelősségvállalás, az éghajlati és környezeti kihívásokra való érzékenység, a befogadás és a demokratikus kormányzás, valamint az egyének és a társadalmi célok a tőke fölé helyezése, oly módon, hogy a nyereség nagy részét újra befektetik – korlátozva annak a tagok vagy részvényesek közötti elosztását – a szervezet fenntartható fejlődéssel kapcsolatos célkitűzéseinek elérése, illetve a kollektív és a közérdek szolgálata érdekében;</w:t>
      </w:r>
    </w:p>
    <w:p w14:paraId="05EEC71B" w14:textId="77777777" w:rsidR="00B0382A" w:rsidRPr="003466B5" w:rsidRDefault="00B0382A" w:rsidP="00E5430A">
      <w:pPr>
        <w:pStyle w:val="NormalHanging12a"/>
        <w:widowControl/>
      </w:pPr>
      <w:r w:rsidRPr="003466B5">
        <w:t>K.</w:t>
      </w:r>
      <w:r w:rsidRPr="003466B5">
        <w:tab/>
        <w:t xml:space="preserve">mivel a nemek közötti bérszakadék tartósan lassú csökkenésével összefüggésben az </w:t>
      </w:r>
      <w:proofErr w:type="spellStart"/>
      <w:r w:rsidRPr="003466B5">
        <w:t>Eurofound</w:t>
      </w:r>
      <w:proofErr w:type="spellEnd"/>
      <w:r w:rsidRPr="003466B5">
        <w:t xml:space="preserve"> kutatása azt mutatja, hogy számos tagállam eddig nem hajtott végre a bérek átláthatóságára vonatkozó intézkedéseket, és a jelenleg hatályos nemzeti eszközök többsége még nem követeli meg, hogy minden munkát egyenlően értékeljenek</w:t>
      </w:r>
      <w:r w:rsidRPr="003466B5">
        <w:rPr>
          <w:vertAlign w:val="superscript"/>
        </w:rPr>
        <w:footnoteReference w:id="7"/>
      </w:r>
      <w:r w:rsidRPr="003466B5">
        <w:t>;</w:t>
      </w:r>
    </w:p>
    <w:p w14:paraId="34590AF6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L.</w:t>
      </w:r>
      <w:r w:rsidRPr="003466B5">
        <w:tab/>
        <w:t>mivel a Szerződések rögzítik a méltányos munkavállalói mobilitást, amely lehetőségeket kínál a vállalatok és a munkavállalók számára, és amelyet elő kell mozdítani az EU-n belüli és a harmadik országbeli munkavállalók körében, biztosítva ugyanakkor a munkavállalói és szociális jogok teljes körű tiszteletben tartását és érvényesítését, többek között a harmadik országbeli állampolgárok számára legális migrációs útvonalak, valamint egyenlő bánásmód és megkülönböztetésmentesség révén, továbbá fellépve a be nem jelentett munkavégzés ellen;</w:t>
      </w:r>
    </w:p>
    <w:p w14:paraId="57064307" w14:textId="77777777" w:rsidR="00B0382A" w:rsidRPr="003466B5" w:rsidRDefault="00B0382A" w:rsidP="00E5430A">
      <w:pPr>
        <w:pStyle w:val="NormalHanging12a"/>
        <w:widowControl/>
      </w:pPr>
      <w:r w:rsidRPr="003466B5">
        <w:t>M.</w:t>
      </w:r>
      <w:r w:rsidRPr="003466B5">
        <w:tab/>
        <w:t xml:space="preserve">mivel az ILO háromoldalú struktúrája és széles körű tagsága azt jelzi, hogy vezető szerepet tölt be a globális munkaügyi normák terén; mivel az ILO társadalmi igazságosság előmozdítására irányuló küldetésével összefüggésben alapvető munkahelyi elvei és jogai középpontjában a mindenki számára méltányos és tisztességes munkakörülmények biztosítása áll, beleértve az egyesülés szabadságát és a kollektív tárgyaláshoz való jogot, a kényszer- vagy kötelező munka valamennyi formájának megszüntetését, a gyermekmunka tényleges megszüntetését, a </w:t>
      </w:r>
      <w:r w:rsidRPr="003466B5">
        <w:lastRenderedPageBreak/>
        <w:t>foglalkoztatás és a munkavégzés során alkalmazott hátrányos megkülönböztetés megszüntetését, valamint a biztonságos és egészséges munkakörnyezethez való jogot; mivel az EU összefüggésében ezeket a jogokat az EU-Szerződések, az Alapjogi Charta és az uniós munkajogi vívmányok védik; mivel egyes tagállamok kihívásokkal szembesülnek e kötelezettségek végrehajtása és érvényesítése terén;</w:t>
      </w:r>
    </w:p>
    <w:p w14:paraId="26463E35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N.</w:t>
      </w:r>
      <w:r w:rsidRPr="003466B5">
        <w:tab/>
        <w:t>mivel a szociális partnerek és a civil társadalmi szervezetek kulcsszerepet játszanak a tisztességes munkafeltételek biztosításában, valamint a társadalmi igazságosság és egyenlőség előmozdításában; mivel kutatások szerint az ipari demokrácia szorosan összefügg a munka minőségével, a foglalkoztatással és az ipari versenyképességgel</w:t>
      </w:r>
      <w:r w:rsidRPr="003466B5">
        <w:rPr>
          <w:vertAlign w:val="superscript"/>
        </w:rPr>
        <w:footnoteReference w:id="8"/>
      </w:r>
      <w:r w:rsidRPr="003466B5">
        <w:t>;</w:t>
      </w:r>
    </w:p>
    <w:p w14:paraId="6FCD48D9" w14:textId="77777777" w:rsidR="00B0382A" w:rsidRPr="003466B5" w:rsidRDefault="00B0382A" w:rsidP="00E5430A">
      <w:pPr>
        <w:pStyle w:val="NormalHanging12a"/>
        <w:widowControl/>
      </w:pPr>
      <w:r w:rsidRPr="003466B5">
        <w:t>1.</w:t>
      </w:r>
      <w:r w:rsidRPr="003466B5">
        <w:tab/>
        <w:t xml:space="preserve">úgy véli, hogy a Bizottságnak és a tagállamoknak a La </w:t>
      </w:r>
      <w:proofErr w:type="spellStart"/>
      <w:r w:rsidRPr="003466B5">
        <w:t>Hulpe</w:t>
      </w:r>
      <w:proofErr w:type="spellEnd"/>
      <w:r w:rsidRPr="003466B5">
        <w:t>-i nyilatkozattal összhangban és a cselekvési terv ambiciózus aktualizálása révén fokozniuk kell a szociális jogok európai pillérének végrehajtására irányuló erőfeszítéseiket a 2030-ra kitűzött kiemelt célok elérése érdekében; felhívja a Bizottságot, hogy az aktualizált cselekvési terv részeként adott esetben egészítse ki a jelenlegi kiemelt célokat, és terjesszen elő jogalkotási kezdeményezéseket a szociális jogok európai pillérének teljes körű végrehajtása érdekében;</w:t>
      </w:r>
    </w:p>
    <w:p w14:paraId="3170A59E" w14:textId="77777777" w:rsidR="00B0382A" w:rsidRPr="003466B5" w:rsidRDefault="00B0382A" w:rsidP="00E5430A">
      <w:pPr>
        <w:pStyle w:val="NormalHanging12a"/>
        <w:widowControl/>
      </w:pPr>
      <w:r w:rsidRPr="003466B5">
        <w:t>2.</w:t>
      </w:r>
      <w:r w:rsidRPr="003466B5">
        <w:tab/>
        <w:t>felhívja a Bizottságot és a tagállamokat, hogy működjenek együtt a Parlamenttel a jövőre vonatkozó új európai szociális megállapodás kidolgozásában, amely egyértelmű kötelezettségvállalásokat és beruházásokat tartalmaz a következő területeken: a szegénység és a társadalmi kirekesztés kockázatának csökkentése az EU-ban, valamint a nettó zéró kibocsátás elérése az EU-ban 2050-ig;</w:t>
      </w:r>
    </w:p>
    <w:p w14:paraId="498E70BF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3.</w:t>
      </w:r>
      <w:r w:rsidRPr="003466B5">
        <w:tab/>
        <w:t>elismeri, hogy a társadalmi fejlődésről szóló 1995. évi koppenhágai világ-csúcstalálkozó három fő témája – amelyeket a társadalmi fejlődés három pillérének tekintenek, nevezetesen a szegénység felszámolása, a teljes és termelékeny foglalkoztatás és a mindenki számára elérhető tisztességes munka, valamint a társadalmi befogadás – továbbra is releváns és fontos, valamint egymással összefüggő és egymást kölcsönösen megerősítő kérdések;</w:t>
      </w:r>
    </w:p>
    <w:p w14:paraId="78881AC3" w14:textId="77777777" w:rsidR="00B0382A" w:rsidRPr="003466B5" w:rsidRDefault="00B0382A" w:rsidP="00E5430A">
      <w:pPr>
        <w:pStyle w:val="NormalHanging12a"/>
        <w:widowControl/>
      </w:pPr>
      <w:r w:rsidRPr="003466B5">
        <w:t>4.</w:t>
      </w:r>
      <w:r w:rsidRPr="003466B5">
        <w:tab/>
        <w:t>hangsúlyozza annak fontosságát, hogy a szociális eredménytáblát és a társadalmi konvergenciával kapcsolatos keretet használják fel a kockázatok azonosítására és a társadalmi felzárkózás elérése, az egyenlőtlenségek csökkentése, a szociális védelmi rendszerek megerősítése, valamint a tisztességes munkafeltételek és támogató intézkedések előmozdítása terén elért eredmények nyomon követésére az átállás során a méltányosság biztosítása érdekében; hangsúlyozza, hogy e tekintetben fenntartható, méltányos és befogadó Európát kell biztosítani, ahol a szociális jogokat teljes mértékben védik és fenntartják; emlékeztet arra, hogy az uniós polgárok a szociális Európát egyik prioritásukként azonosítják; ezért hangsúlyozza, hogy a Bizottságnak sürgősen elő kell terjesztenie egy a minőségi munkahelyekre vonatkozó csomagot, amely tartalmazza a minőségi munkahelyek biztosításához szükséges jogalkotási kezdeményezéseket és beruházásokat;</w:t>
      </w:r>
    </w:p>
    <w:p w14:paraId="1877A0B4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5.</w:t>
      </w:r>
      <w:r w:rsidRPr="003466B5">
        <w:tab/>
        <w:t xml:space="preserve">sürgeti a Bizottságot és a tagállamokat, hogy mozdítsák elő a munkahelyi demokráciát, a szociális párbeszédet, a kollektív tárgyalásokat és a munkavállalói jogok védelmét, </w:t>
      </w:r>
      <w:r w:rsidRPr="003466B5">
        <w:lastRenderedPageBreak/>
        <w:t>különösen a zöld és digitális átállással összefüggésben; hangsúlyozza, hogy a következő többéves pénzügyi keretben (MFF) is elegendő forrást kell elkülöníteni a szociális párbeszéd és a kollektív tárgyalások támogatására, valamint a szociális partnerek kapacitásépítésének megerősítésére; további erőfeszítéseket szorgalmaz a férfiak és nők által végzett egyenlő munkáért járó egyenlő bér biztosítása, a bérek átláthatóságának fokozása és a nemek közötti egyenlőtlenség kezelése érdekében a nemek közötti bér, nyugdíj- és foglalkoztatási különbségek Unión belüli megszüntetése érdekében; felszólítja a Bizottságot és a tagállamokat, hogy valamennyi szakpolitikai területen és jogszabályban biztosítsák a nemek közötti egyenlőség általános érvényesülését;</w:t>
      </w:r>
    </w:p>
    <w:p w14:paraId="405CE897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6.</w:t>
      </w:r>
      <w:r w:rsidRPr="003466B5">
        <w:tab/>
        <w:t>fokozott erőfeszítéseket szorgalmaz a munka világában a hátrányos megkülönböztetés és a zaklatás elleni küzdelem terén; hangsúlyozza a munkahelyi megelőző és védelmi intézkedések fontosságát a munkavállalók jóllétének, valamint testi és mentális egészségének védelme érdekében; megjegyzi, hogy egyre gyakoribb a munkával kapcsolatos pszichés szorongás, ami a munkaszervezés új formáival, az állandó összeköttetéssel és a digitális megfigyeléssel áll összefüggésben</w:t>
      </w:r>
      <w:r w:rsidRPr="003466B5">
        <w:rPr>
          <w:vertAlign w:val="superscript"/>
        </w:rPr>
        <w:footnoteReference w:id="9"/>
      </w:r>
      <w:r w:rsidRPr="003466B5">
        <w:t>;</w:t>
      </w:r>
    </w:p>
    <w:p w14:paraId="4753C278" w14:textId="77777777" w:rsidR="00B0382A" w:rsidRPr="003466B5" w:rsidRDefault="00B0382A" w:rsidP="00E5430A">
      <w:pPr>
        <w:pStyle w:val="NormalHanging12a"/>
        <w:widowControl/>
      </w:pPr>
      <w:r w:rsidRPr="003466B5">
        <w:t>7.</w:t>
      </w:r>
      <w:r w:rsidRPr="003466B5">
        <w:tab/>
        <w:t xml:space="preserve">emlékeztet arra, hogy az ENSZ 2030-ig tartó időszakra vonatkozó fenntartható fejlődési menetrendje és a kapcsolódó célok elismerik, hogy a szegénység valamennyi formájának és dimenziójának, köztük a mélyszegénységnek a felszámolása a legnagyobb globális kihívás és egyúttal a fenntartható fejlődés elengedhetetlen előfeltétele, és hogy senkit sem szabad </w:t>
      </w:r>
      <w:proofErr w:type="spellStart"/>
      <w:r w:rsidRPr="003466B5">
        <w:t>hátrahagyni</w:t>
      </w:r>
      <w:proofErr w:type="spellEnd"/>
      <w:r w:rsidRPr="003466B5">
        <w:t xml:space="preserve">, és a leginkább </w:t>
      </w:r>
      <w:proofErr w:type="spellStart"/>
      <w:r w:rsidRPr="003466B5">
        <w:t>lemaradottakat</w:t>
      </w:r>
      <w:proofErr w:type="spellEnd"/>
      <w:r w:rsidRPr="003466B5">
        <w:t xml:space="preserve"> kell elsőként elérni; ezért holisztikus megközelítést szorgalmaz a szegénység felszámolása, a szociális védelem és a befogadás terén, valamint javaslatot egy olyan ambiciózus stratégiára, amelyet a következő MFF-ben megfelelő támogatás kísér, és amely a szegénység elleni uniós stratégiáról szóló, közelgő saját kezdeményezésű parlamenti jelentésen és a megfizethető lakhatásra vonatkozó, a lakhatási válság kezelését és a hajléktalanság elleni küzdelmet szolgáló ambiciózus terven alapul; hangsúlyozza, hogy ezeknek az új kezdeményezéseknek ki kell egészíteniük az egyéb kapcsolódó uniós stratégiákat a szegénység elleni küzdelem többdimenziós megközelítésének biztosítása érdekében; emlékeztet arra, hogy a Bizottság becslése szerint a szociális beruházások már 2020-ban is évente 192 milliárd EUR összeggel maradtak el a polgárok szükségleteinek kielégítéséhez szükséges összegektől; e tekintetben hangsúlyozza a vonatkozó európai alapok szerepét a szegénység és a társadalmi kirekesztés elleni küzdelemben, és kiemeli, hogy a következő MFF-ben erős, önálló eszközöket kell fenntartani a szegénység és a társadalmi kirekesztés leküzdése érdekében;</w:t>
      </w:r>
    </w:p>
    <w:p w14:paraId="735858B9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8.</w:t>
      </w:r>
      <w:r w:rsidRPr="003466B5">
        <w:tab/>
        <w:t xml:space="preserve">emlékeztet továbbá arra, hogy az EU szerepet játszik a harmadik országok társadalmi fejlődésében, többek között a Globális Európához hasonló források révén; mély sajnálatát fejezi ki amiatt, hogy számos ország visszavonta a fejlesztésre, többek között a társadalmi fejlődésre szánt finanszírozást, ami rendkívül súlyos következményekkel jár az emberek életére és megélhetésére; sürgeti az EU-t, hogy a stabilitás és a stabil forrásellátottság biztosítása érdekében a jelenlegi és a következő MFF-ben továbbra is határozottan kötelezze el magát a fejlődő országok társadalmi fejlődésének támogatása mellett és </w:t>
      </w:r>
      <w:proofErr w:type="spellStart"/>
      <w:r w:rsidRPr="003466B5">
        <w:t>működjön</w:t>
      </w:r>
      <w:proofErr w:type="spellEnd"/>
      <w:r w:rsidRPr="003466B5">
        <w:t xml:space="preserve"> együtt valamennyi érintett szereplővel annak érdekében, hogy világszerte biztosítsa a társadalmi fejlesztési célkitűzések iránti folyamatos elkötelezettséget;</w:t>
      </w:r>
    </w:p>
    <w:p w14:paraId="1F5096F6" w14:textId="1E12CACF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lastRenderedPageBreak/>
        <w:t>9.</w:t>
      </w:r>
      <w:r w:rsidRPr="003466B5">
        <w:tab/>
        <w:t xml:space="preserve">sürgeti a tagállamokat, hogy tegyenek további erőfeszítéseket a gyermekszegénység kezelésére az európai gyermekgaranciára vonatkozó nemzeti cselekvési tervük végrehajtása révén, és felszólítja a Bizottságot, hogy a következő MFF-ben </w:t>
      </w:r>
      <w:r w:rsidR="007F79E1" w:rsidRPr="007F79E1">
        <w:t xml:space="preserve">különítsen el jelentős költségvetési forrásokat </w:t>
      </w:r>
      <w:r w:rsidRPr="003466B5">
        <w:t>erre a célra;</w:t>
      </w:r>
    </w:p>
    <w:p w14:paraId="71BC289E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10.</w:t>
      </w:r>
      <w:r w:rsidRPr="003466B5">
        <w:tab/>
        <w:t>üdvözli a platformalapú munkavégzésről szóló irányelv</w:t>
      </w:r>
      <w:r w:rsidRPr="003466B5">
        <w:rPr>
          <w:rStyle w:val="FootnoteReference"/>
        </w:rPr>
        <w:footnoteReference w:id="10"/>
      </w:r>
      <w:r w:rsidRPr="003466B5">
        <w:t xml:space="preserve"> közelmúltbeli elfogadását, amely mérföldkő a digitális gazdaságban dolgozó munkavállalók védelme terén; hangsúlyozza, hogy a munkavállalókat a mesterséges intelligencia által érintett valamennyi ágazatban ugyanebben a védelemben kell részesíteni, biztosítva, hogy az „emberi ellenőrzés” elve kötelező </w:t>
      </w:r>
      <w:proofErr w:type="spellStart"/>
      <w:r w:rsidRPr="003466B5">
        <w:t>erejű</w:t>
      </w:r>
      <w:proofErr w:type="spellEnd"/>
      <w:r w:rsidRPr="003466B5">
        <w:t xml:space="preserve"> normává váljon, és megismétli a mesterséges intelligenciára és az algoritmikus munkahelyi irányításra vonatkozó új jogi kezdeményezésekre, valamint a lecsatlakozáshoz való jogra irányuló felhívást; emlékeztet arra, hogy az MI-rendszerek bevezetésének összhangban kell lennie a zöld átállással és az éghajlat-politikai célokkal; hangsúlyozza annak szükségességét, hogy fenntartható, minőségi munkahelyeket hozzanak létre a fejlődő vagy a kettős átállás során átalakult ágazatokban, és hogy megerősítsék az átállások kezelésére és a rájuk való felkészülésre szolgáló jogi keretet, és ugyanakkor előmozdítsák a szociális partnerek szerepét és részvételét, valamint az inkluzív munkaerőpiaci szakpolitikákat;</w:t>
      </w:r>
    </w:p>
    <w:p w14:paraId="5A6F19A7" w14:textId="77777777" w:rsidR="00B0382A" w:rsidRPr="003466B5" w:rsidRDefault="00B0382A" w:rsidP="00E5430A">
      <w:pPr>
        <w:pStyle w:val="NormalHanging12a"/>
        <w:widowControl/>
      </w:pPr>
      <w:r w:rsidRPr="003466B5">
        <w:t>11.</w:t>
      </w:r>
      <w:r w:rsidRPr="003466B5">
        <w:tab/>
        <w:t>kiemeli, hogy továbbra is biztosítani kell a minőségi, ingyenes állami oktatás, a minőségi képzési politikák és az egész életen át tartó tanulás általános hozzáférhetőségét, ami tisztességes béreket biztosító minőségi munkahelyek létrejöttét eredményezi; megjegyzi, hogy a képzési támogatással járó stratégiai továbbképzési, átképzési és képzési programoknak minden munkavállaló, köztük a fogyatékossággal élők számára is elérhetőknek kell lenniük, és a munkavállalók igényeihez és képességeihez kell igazodniuk; ezért kéri a munkavállalók képzéshez és továbbképzéshez való, személyhez fűződő jogának uniós szintű bevezetését;</w:t>
      </w:r>
    </w:p>
    <w:p w14:paraId="7337F701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12.</w:t>
      </w:r>
      <w:r w:rsidRPr="003466B5">
        <w:tab/>
        <w:t xml:space="preserve">hangsúlyozza, hogy tekintettel a klíma és a biológiai sokféleség válságára, valamint a gazdasági és demográfiai kihívásokra, az EU-n belül egyetlen nemzedéket vagy régiót sem szabad </w:t>
      </w:r>
      <w:proofErr w:type="spellStart"/>
      <w:r w:rsidRPr="003466B5">
        <w:t>hátrahagyni</w:t>
      </w:r>
      <w:proofErr w:type="spellEnd"/>
      <w:r w:rsidRPr="003466B5">
        <w:t xml:space="preserve">, sem most, sem a jövőben, valamint hogy mindenki számára egyetemes hozzáférést kell biztosítani az igazságos átmenethez; kéri fiatal és idős, valamint fogyatékossággal élő személyek támogatására irányuló kezdeményezések, valamint elnéptelenedő régiókat célzó intézkedések előterjesztését, például az infrastruktúrához való jobb és akadálymentes hozzáférés, többek között a tömegközlekedés, a digitális </w:t>
      </w:r>
      <w:proofErr w:type="spellStart"/>
      <w:r w:rsidRPr="003466B5">
        <w:t>konnektivitás</w:t>
      </w:r>
      <w:proofErr w:type="spellEnd"/>
      <w:r w:rsidRPr="003466B5">
        <w:t>, a megfizethető lakhatás, a közszolgáltatások, az egészségügyi ellátás, a hosszú távú és kisgyermekkori gondozás és az oktatás, valamint a jobb munkalehetőségekbe való beruházás terén az elnéptelenedés megelőzése céljából; felszólítja a tagállamokat, hogy garantálják a magas színvonalú közszolgáltatásokhoz való egyetemes, jogokon alapuló hozzáférést, és kéri, hogy fektessenek be ezekbe; felszólítja továbbá a Bizottságot és a tagállamokat, hogy maradéktalanul hajtsák végre az európai gondozási stratégiát a minőségi, megfizethető és akadálymentes gondozási szolgáltatások Unió-szerte való biztosítása céljából;</w:t>
      </w:r>
    </w:p>
    <w:p w14:paraId="450BCB50" w14:textId="51FB34AD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13.</w:t>
      </w:r>
      <w:r w:rsidRPr="003466B5">
        <w:tab/>
        <w:t xml:space="preserve">sürgeti az EU-t és a tagállamokat, hogy biztosítsák a társadalmilag igazságos zöld átállást, külön támogatást nyújtva a strukturális változások és az új munkaerőpiaci </w:t>
      </w:r>
      <w:r w:rsidRPr="003466B5">
        <w:lastRenderedPageBreak/>
        <w:t>követelmények által érintett munkavállalóknak, háztartásoknak, régióknak és vállalkozásoknak; megjegyzi, hogy az éghajlatváltozáshoz való alkalmazkodást és annak csökkentését célzó stratégiák – ha azokat alapos társadalmi párbeszéd keretében gondosan kidolgozzák – ellenálló gazdasági ökoszisztémákat, minőségi munkahelyeket, fenntartható vállalkozásokat és olyan inkluzívabb társadalmakat hozhatnak létre, amelyekben senkit sem hagynak hátra;</w:t>
      </w:r>
    </w:p>
    <w:p w14:paraId="70838FE8" w14:textId="77777777" w:rsidR="00B0382A" w:rsidRPr="003466B5" w:rsidRDefault="00B0382A" w:rsidP="00E5430A">
      <w:pPr>
        <w:pStyle w:val="NormalHanging12a"/>
        <w:widowControl/>
        <w:rPr>
          <w:szCs w:val="24"/>
        </w:rPr>
      </w:pPr>
      <w:r w:rsidRPr="003466B5">
        <w:t>14.</w:t>
      </w:r>
      <w:r w:rsidRPr="003466B5">
        <w:tab/>
        <w:t xml:space="preserve">arra kéri a Bizottságot és a tagállamokat, hogy támaszkodjanak a Szociális Klímaalapra, és uniós finanszírozási támogatással teremtsék meg a szociális védelmi rendszerek nemzeti szintű adaptációjának alapjait annak érdekében, hogy biztosítsák az éghajlatváltozás és a környezetkárosodás munkahelyekre és életkörülményekre gyakorolt hatásaival szembeni társadalmi </w:t>
      </w:r>
      <w:proofErr w:type="spellStart"/>
      <w:r w:rsidRPr="003466B5">
        <w:t>rezilienciát</w:t>
      </w:r>
      <w:proofErr w:type="spellEnd"/>
      <w:r w:rsidRPr="003466B5">
        <w:t>, valamint azt, hogy az érintett közösségek teljes mértékben felkészüljenek az új munkaerőpiacra;</w:t>
      </w:r>
    </w:p>
    <w:p w14:paraId="02349AF1" w14:textId="77777777" w:rsidR="00B0382A" w:rsidRPr="003466B5" w:rsidRDefault="00B0382A" w:rsidP="00E5430A">
      <w:pPr>
        <w:pStyle w:val="NormalHanging12a"/>
        <w:widowControl/>
      </w:pPr>
      <w:r w:rsidRPr="003466B5">
        <w:t>15.</w:t>
      </w:r>
      <w:r w:rsidRPr="003466B5">
        <w:tab/>
        <w:t>további támogatást kér a harmadik országbeli állampolgárok számára az uniós munkaerőpiacra való beilleszkedéshez és tehetségük teljes körű kiaknázásához, hatékony integrációs politika által megerősített minőségi munkahelyekkel és munkakörülményekkel, teljes mértékben kiegészítve az EU-n belüli tehetségek kiaknázását;</w:t>
      </w:r>
    </w:p>
    <w:p w14:paraId="3728B325" w14:textId="77777777" w:rsidR="00B0382A" w:rsidRPr="003466B5" w:rsidRDefault="00B0382A" w:rsidP="00E5430A">
      <w:pPr>
        <w:pStyle w:val="NormalHanging12a"/>
        <w:widowControl/>
      </w:pPr>
      <w:r w:rsidRPr="003466B5">
        <w:t>16.</w:t>
      </w:r>
      <w:r w:rsidRPr="003466B5">
        <w:tab/>
        <w:t>szorgalmazza az aktív munkaerőpiaci intézkedések szoros nyomon követését, valamint a megfelelő jövedelemtámogatást, a tisztességes és megfizethető lakhatáshoz való hozzáférést és az általános szociális biztonsági intézkedéseket a munkaerőpiacról leginkább kiszorult személyek, különösen a nők, a fogyatékossággal élők, a migránsok, az LGBTIQ+ közösség tagjai, a munkaerőpiacra belépő fiatalok, az idősek, a vidéki és távoli területeken élők, a tartósan munkanélküliek, valamint a romák és más kisebbségek egyenlő részvételének biztosítása érdekében; hangsúlyozza továbbá, hogy az önfoglalkoztatók számára is megfelelő szociális védelemre és támogatásra van szükség; ezzel összefüggésben emlékeztet arra, hogy a foglalkoztatást helyettesítő támogatások szintje az EU-ban többnyire jóval a nemzeti szegénységi küszöb alatt van; sürgeti a tagállamokat, hogy maradéktalanul hajtsák végre a megfelelő minimumjövedelemről szóló tanácsi ajánlást</w:t>
      </w:r>
      <w:r w:rsidRPr="003466B5">
        <w:rPr>
          <w:rStyle w:val="FootnoteReference"/>
        </w:rPr>
        <w:footnoteReference w:id="11"/>
      </w:r>
      <w:r w:rsidRPr="003466B5">
        <w:t>; emlékeztet arra, hogy a minimumjövedelem-rendszerek világszerte fontos szerepet játszanak az emberek szegénységből való kiemelésében;</w:t>
      </w:r>
    </w:p>
    <w:p w14:paraId="0FBB3E8E" w14:textId="5832BFC4" w:rsidR="00B0382A" w:rsidRPr="003466B5" w:rsidRDefault="007F79E1" w:rsidP="00E5430A">
      <w:pPr>
        <w:pStyle w:val="NormalHanging12a"/>
        <w:widowControl/>
        <w:rPr>
          <w:szCs w:val="24"/>
        </w:rPr>
      </w:pPr>
      <w:r>
        <w:t>17</w:t>
      </w:r>
      <w:r w:rsidR="00B0382A" w:rsidRPr="003466B5">
        <w:t>.</w:t>
      </w:r>
      <w:r w:rsidR="00B0382A" w:rsidRPr="003466B5">
        <w:tab/>
        <w:t>úgy véli, hogy a szociális gazdaság a szociális jogok európai pillére és célkitűzései végrehajtásának alapvető mozgatórugója, és gyakran biztosít foglalkoztatást és továbbképzést a veszélyeztetett és kirekesztett csoportok számára; felszólítja a Bizottságot és a tagállamokat, hogy a minőségi, tisztességes és inkluzív foglalkoztatás előmozdítása érdekében erősítsék meg a szociális vállalkozásoknak nyújtott támogatásukat; kiemeli, hogy a szociális gazdaság projektjei általában megkövetelik az állami szervezetekkel való szoros partnerséget, ezért arra kéri a Bizottságot és a tagállamokat, hogy dolgozzanak ki együttműködési keretet az állami hatóságok és a szociális gazdasági szervezetek számára;</w:t>
      </w:r>
    </w:p>
    <w:p w14:paraId="1D5B900D" w14:textId="2DF39F57" w:rsidR="00B0382A" w:rsidRPr="003466B5" w:rsidRDefault="007F79E1" w:rsidP="00E5430A">
      <w:pPr>
        <w:pStyle w:val="NormalHanging12a"/>
        <w:widowControl/>
        <w:rPr>
          <w:szCs w:val="24"/>
        </w:rPr>
      </w:pPr>
      <w:r>
        <w:t>18</w:t>
      </w:r>
      <w:r w:rsidR="00B0382A" w:rsidRPr="003466B5">
        <w:t>.</w:t>
      </w:r>
      <w:r w:rsidR="00B0382A" w:rsidRPr="003466B5">
        <w:tab/>
        <w:t xml:space="preserve">hangsúlyozza, hogy a 2030-as fenntartható fejlődési célok eléréséhez továbbá a jogállamiságon, a felelős intézményeken, a hatékony alkalmazáson, a nyomon követésen, a végrehajtáson és a jogbizonytalanság elkerülésén alapuló jó kormányzási </w:t>
      </w:r>
      <w:r w:rsidR="00B0382A" w:rsidRPr="003466B5">
        <w:lastRenderedPageBreak/>
        <w:t xml:space="preserve">elvek alkalmazására van szükség, az uniós tagságot kérelmező országok esetében is; kéri, hogy a második világ-csúcstalálkozó nyomán elfogadott politikai nyilatkozat tartalmazzon erős </w:t>
      </w:r>
      <w:proofErr w:type="spellStart"/>
      <w:r w:rsidR="00B0382A" w:rsidRPr="003466B5">
        <w:t>nyomonkövetési</w:t>
      </w:r>
      <w:proofErr w:type="spellEnd"/>
      <w:r w:rsidR="00B0382A" w:rsidRPr="003466B5">
        <w:t xml:space="preserve"> és felülvizsgálati mechanizmusokat, valamint érdemi kötelezettségvállalásokat a fenntartható fejlődési célok előmozdítására és a társadalmi fejlődés tartós hiányosságainak kezelésére; hangsúlyozza, hogy rendszeres és alapos felülvizsgálati folyamatra van szükség, beleértve a kétévenkénti miniszteri nyilatkozatokat; támogatja az ENSZ Szociális Fejlesztési Bizottságának újjáélesztését, valamint a munkaügyi minisztériumok és a szociális partnerek nagyobb mértékű bevonását, és felkéri az ILO-t, hogy járjon el az elsődleges nyomon követésért felelős szervezetként; </w:t>
      </w:r>
    </w:p>
    <w:p w14:paraId="5CB1FA9E" w14:textId="76349DFA" w:rsidR="00B0382A" w:rsidRPr="003466B5" w:rsidRDefault="007F79E1" w:rsidP="00E5430A">
      <w:pPr>
        <w:pStyle w:val="NormalHanging12a"/>
        <w:widowControl/>
        <w:rPr>
          <w:szCs w:val="24"/>
        </w:rPr>
      </w:pPr>
      <w:r>
        <w:t>19</w:t>
      </w:r>
      <w:r w:rsidR="00B0382A" w:rsidRPr="003466B5">
        <w:t>.</w:t>
      </w:r>
      <w:r w:rsidR="00B0382A" w:rsidRPr="003466B5">
        <w:tab/>
        <w:t xml:space="preserve">emlékeztet arra, hogy Európában és világszerte a béke és a globális együttműködés a fenntartható fejlődés elérésének alapvető feltétele; kiemeli, hogy az EU-nak vezető szerepet kell játszania a nemzetközi emberi jogok területén a nemzetközi emberi jogi eszközök teljes körű és hatékony végrehajtása révén; megjegyzi, hogy az emberi jogi eszközök iránti globális elkötelezettséget szintén meg kell erősíteni diplomáciai és gazdasági lehetőségek felhasználásával, valamint azáltal, hogy lehetővé teszik mások – például nem kormányzati szervezetek és szakszervezetek – számára, hogy szabadon munkálkodjanak az emberi jogok és szociális normák világszerte történő előmozdításán; sürgeti az ENSZ tagállamait, hogy támogassák és mozdítsák elő területükön a szociális partnerek és a civil társadalmi szervezetek szerepét, és biztosítsák érdemi bevonásukat a csúcstalálkozó előkészítésébe és nyomon követésébe; kiemeli, hogy a szakpolitikai döntéshozatalban és a hatékony kollektív tárgyalásokban való, több érdekelt felet bevonó erős szerepvállalás jelentősen hozzájárulhat a társadalmi fejlődés célkitűzései felé történő </w:t>
      </w:r>
      <w:proofErr w:type="spellStart"/>
      <w:r w:rsidR="00B0382A" w:rsidRPr="003466B5">
        <w:t>előrelépéshez</w:t>
      </w:r>
      <w:proofErr w:type="spellEnd"/>
      <w:r w:rsidR="00B0382A" w:rsidRPr="003466B5">
        <w:t>; emlékeztet arra, hogy az emberi jogokat és a szociális jogokat csak olyan országok tudják hitelesen előmozdítani, amelyek maguk is eleget tesznek kötelezettségeiknek;</w:t>
      </w:r>
    </w:p>
    <w:p w14:paraId="32E86C92" w14:textId="5B9D63B3" w:rsidR="00B0382A" w:rsidRPr="003466B5" w:rsidRDefault="007F79E1" w:rsidP="00E5430A">
      <w:pPr>
        <w:pStyle w:val="NormalHanging12a"/>
        <w:widowControl/>
      </w:pPr>
      <w:r>
        <w:t>20</w:t>
      </w:r>
      <w:r w:rsidR="00B0382A" w:rsidRPr="003466B5">
        <w:t>.</w:t>
      </w:r>
      <w:r w:rsidR="00B0382A" w:rsidRPr="003466B5">
        <w:tab/>
        <w:t xml:space="preserve">felszólítja az ENSZ-t és valamennyi részt vevő országot, és különösen a szociális csúcstalálkozónak otthont adó országokat, hogy teljes mértékben tartsák tiszteletben a munkavállalói és szociális jogokat, többek között az ILO alapvető egyezményeinek ratifikálása és a társadalmi igazságosságról szóló nyilatkozat értékei melletti elköteleződés révén; kiemeli, hogy a szociális jogok európai pillére, valamint a La </w:t>
      </w:r>
      <w:proofErr w:type="spellStart"/>
      <w:r w:rsidR="00B0382A" w:rsidRPr="003466B5">
        <w:t>Hulpe</w:t>
      </w:r>
      <w:proofErr w:type="spellEnd"/>
      <w:r w:rsidR="00B0382A" w:rsidRPr="003466B5">
        <w:t>-i nyilatkozat fontos szerepet tölt be az erős szociális Európa kiépítése szempontjából; hangsúlyozza, hogy meg kell újítani az uniós szociális célok és a fenntartható fejlődési célok 2030-ig történő elérése iránti elkötelezettséget Európában és világszerte;</w:t>
      </w:r>
    </w:p>
    <w:p w14:paraId="1999E978" w14:textId="4006A8D0" w:rsidR="00B0382A" w:rsidRPr="003466B5" w:rsidRDefault="007F79E1" w:rsidP="00E5430A">
      <w:pPr>
        <w:pStyle w:val="NormalHanging12a"/>
        <w:widowControl/>
      </w:pPr>
      <w:r>
        <w:t>21</w:t>
      </w:r>
      <w:r w:rsidR="00B0382A" w:rsidRPr="003466B5">
        <w:t>.</w:t>
      </w:r>
      <w:r w:rsidR="00B0382A" w:rsidRPr="003466B5">
        <w:tab/>
        <w:t xml:space="preserve">aggodalommal veszi tudomásul, hogy a fenntartható fejlődési célok elérése felé Unió-szerte lassú az előrehaladás, mivel az előrehaladás 2020 és 2023 közötti üteme nem érte el a 2016 és 2019 közötti előrehaladás ütemének felét; aggodalmát fejezi ki amiatt, hogy az Európai Bizottság jelenlegi elnökének politikai iránymutatása nem említi kifejezetten a fenntartható fejlődési célokat; hangsúlyozza, hogy az EU-nak meg kell erősítenie a társadalmi haladás és a fenntartható fejlődési célok elérése iránti elkötelezettségét; felszólítja a Bizottságot és a tagállamokat, hogy tartsák tiszteletben az EU közös céljaival és különösen az Európai Unióról szóló szerződés 3. cikkével kapcsolatos kötelezettségvállalásukat; e tekintetben felszólítja az EU-t, hogy konstruktívan vegyen részt az üzleti vállalkozások emberi jogi felelősségéről szóló ENSZ-szerződés elfogadásában annak érdekében, hogy szabályozza a transznacionális vállalatok és más üzleti vállalkozások tevékenységét, megerősítse a méltányos bérezési gyakorlatokat az </w:t>
      </w:r>
      <w:r w:rsidR="00B0382A" w:rsidRPr="003466B5">
        <w:lastRenderedPageBreak/>
        <w:t>EU-n kívül, és lehetővé tegye a tisztességtelen bérezési gyakorlatok áldozatai számára, hogy jogorvoslatért folyamodjanak;</w:t>
      </w:r>
    </w:p>
    <w:p w14:paraId="409E5E8F" w14:textId="5A8704C9" w:rsidR="00B0382A" w:rsidRPr="003466B5" w:rsidRDefault="007F79E1" w:rsidP="00E5430A">
      <w:pPr>
        <w:pStyle w:val="NormalHanging12a"/>
        <w:widowControl/>
      </w:pPr>
      <w:r>
        <w:t>22</w:t>
      </w:r>
      <w:r w:rsidR="00B0382A" w:rsidRPr="003466B5">
        <w:t>.</w:t>
      </w:r>
      <w:r w:rsidR="00B0382A" w:rsidRPr="003466B5">
        <w:tab/>
        <w:t>felszólítja az EU-t, hogy az ILO 204. számú ajánlásával összhangban támogassa az informális foglalkoztatásról a formális foglalkoztatásra való világszintű átállást a tisztességes munkaügyi normák, a tisztességes munka és a szociális védelemhez való hozzáférés előmozdítása révén; ösztönzi e cél beépítését az EU fejlesztési, kereskedelmi és külügyi szakpolitikáiba;</w:t>
      </w:r>
    </w:p>
    <w:p w14:paraId="169E761C" w14:textId="08CF68F7" w:rsidR="00CD6C07" w:rsidRPr="00CD6C07" w:rsidRDefault="007F79E1" w:rsidP="00E5430A">
      <w:pPr>
        <w:pStyle w:val="NormalHanging12a"/>
        <w:widowControl/>
      </w:pPr>
      <w:r>
        <w:t>23</w:t>
      </w:r>
      <w:r w:rsidR="00B0382A" w:rsidRPr="003466B5">
        <w:t>.</w:t>
      </w:r>
      <w:r w:rsidR="00B0382A" w:rsidRPr="003466B5">
        <w:tab/>
        <w:t>utasítja elnökét, hogy továbbítsa ezt az állásfoglalást a Tanácsnak és a Bizottságnak.</w:t>
      </w:r>
    </w:p>
    <w:p w14:paraId="0FA02B2F" w14:textId="4328585C" w:rsidR="00E365E1" w:rsidRPr="00CD6C07" w:rsidRDefault="00E365E1" w:rsidP="00E5430A">
      <w:pPr>
        <w:widowControl/>
        <w:spacing w:after="240"/>
        <w:ind w:left="567" w:hanging="567"/>
      </w:pPr>
    </w:p>
    <w:sectPr w:rsidR="00E365E1" w:rsidRPr="00CD6C07" w:rsidSect="00CD6C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61E62" w14:textId="77777777" w:rsidR="00220C9D" w:rsidRPr="00CD6C07" w:rsidRDefault="00220C9D">
      <w:r w:rsidRPr="00CD6C07">
        <w:separator/>
      </w:r>
    </w:p>
  </w:endnote>
  <w:endnote w:type="continuationSeparator" w:id="0">
    <w:p w14:paraId="7CE01BFF" w14:textId="77777777" w:rsidR="00220C9D" w:rsidRPr="00CD6C07" w:rsidRDefault="00220C9D">
      <w:r w:rsidRPr="00CD6C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CCF8" w14:textId="77777777" w:rsidR="00064002" w:rsidRPr="00CD6C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7895" w14:textId="77777777" w:rsidR="00064002" w:rsidRPr="00CD6C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AD2C" w14:textId="77777777" w:rsidR="00064002" w:rsidRPr="00CD6C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6830" w14:textId="77777777" w:rsidR="00220C9D" w:rsidRPr="00CD6C07" w:rsidRDefault="00220C9D">
      <w:r w:rsidRPr="00CD6C07">
        <w:separator/>
      </w:r>
    </w:p>
  </w:footnote>
  <w:footnote w:type="continuationSeparator" w:id="0">
    <w:p w14:paraId="6558E779" w14:textId="77777777" w:rsidR="00220C9D" w:rsidRPr="00CD6C07" w:rsidRDefault="00220C9D">
      <w:r w:rsidRPr="00CD6C07">
        <w:continuationSeparator/>
      </w:r>
    </w:p>
  </w:footnote>
  <w:footnote w:id="1">
    <w:p w14:paraId="3B84CC57" w14:textId="2F847B30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r w:rsidRPr="00E5430A">
        <w:rPr>
          <w:sz w:val="24"/>
          <w:szCs w:val="24"/>
          <w:lang w:val="hu-HU"/>
        </w:rPr>
        <w:t xml:space="preserve">Global </w:t>
      </w:r>
      <w:proofErr w:type="spellStart"/>
      <w:r w:rsidRPr="00E5430A">
        <w:rPr>
          <w:sz w:val="24"/>
          <w:szCs w:val="24"/>
          <w:lang w:val="hu-HU"/>
        </w:rPr>
        <w:t>Wealth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Report</w:t>
      </w:r>
      <w:proofErr w:type="spellEnd"/>
      <w:r w:rsidRPr="00E5430A">
        <w:rPr>
          <w:sz w:val="24"/>
          <w:szCs w:val="24"/>
          <w:lang w:val="hu-HU"/>
        </w:rPr>
        <w:t xml:space="preserve"> 2023, Credit Suisse AG.</w:t>
      </w:r>
    </w:p>
  </w:footnote>
  <w:footnote w:id="2">
    <w:p w14:paraId="709FF70D" w14:textId="680C6333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1" w:history="1">
        <w:proofErr w:type="spellStart"/>
        <w:r w:rsidRPr="003466B5">
          <w:rPr>
            <w:szCs w:val="24"/>
            <w:lang w:val="hu-HU"/>
          </w:rPr>
          <w:t>Living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conditions</w:t>
        </w:r>
        <w:proofErr w:type="spellEnd"/>
        <w:r w:rsidRPr="003466B5">
          <w:rPr>
            <w:szCs w:val="24"/>
            <w:lang w:val="hu-HU"/>
          </w:rPr>
          <w:t xml:space="preserve"> in Europe - </w:t>
        </w:r>
        <w:proofErr w:type="spellStart"/>
        <w:r w:rsidRPr="003466B5">
          <w:rPr>
            <w:szCs w:val="24"/>
            <w:lang w:val="hu-HU"/>
          </w:rPr>
          <w:t>income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distribution</w:t>
        </w:r>
        <w:proofErr w:type="spellEnd"/>
        <w:r w:rsidRPr="003466B5">
          <w:rPr>
            <w:szCs w:val="24"/>
            <w:lang w:val="hu-HU"/>
          </w:rPr>
          <w:t xml:space="preserve"> and </w:t>
        </w:r>
        <w:proofErr w:type="spellStart"/>
        <w:r w:rsidRPr="003466B5">
          <w:rPr>
            <w:szCs w:val="24"/>
            <w:lang w:val="hu-HU"/>
          </w:rPr>
          <w:t>income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inequality</w:t>
        </w:r>
        <w:proofErr w:type="spellEnd"/>
      </w:hyperlink>
      <w:r w:rsidRPr="00E5430A">
        <w:rPr>
          <w:sz w:val="24"/>
          <w:szCs w:val="24"/>
          <w:lang w:val="hu-HU"/>
        </w:rPr>
        <w:t xml:space="preserve"> (Életkörülmények Európában – jövedelemelosztás és jövedelmi egyenlőtlenség), Eurostat, 2024. november</w:t>
      </w:r>
      <w:r w:rsidR="003466B5">
        <w:rPr>
          <w:sz w:val="24"/>
          <w:szCs w:val="24"/>
          <w:lang w:val="hu-HU"/>
        </w:rPr>
        <w:t>.</w:t>
      </w:r>
    </w:p>
  </w:footnote>
  <w:footnote w:id="3">
    <w:p w14:paraId="43D59892" w14:textId="3DD109F4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2" w:history="1">
        <w:proofErr w:type="spellStart"/>
        <w:r w:rsidRPr="003466B5">
          <w:rPr>
            <w:szCs w:val="24"/>
            <w:lang w:val="hu-HU"/>
          </w:rPr>
          <w:t>Poverty</w:t>
        </w:r>
        <w:proofErr w:type="spellEnd"/>
        <w:r w:rsidRPr="003466B5">
          <w:rPr>
            <w:szCs w:val="24"/>
            <w:lang w:val="hu-HU"/>
          </w:rPr>
          <w:t xml:space="preserve">, </w:t>
        </w:r>
        <w:proofErr w:type="spellStart"/>
        <w:r w:rsidRPr="003466B5">
          <w:rPr>
            <w:szCs w:val="24"/>
            <w:lang w:val="hu-HU"/>
          </w:rPr>
          <w:t>Prosperity</w:t>
        </w:r>
        <w:proofErr w:type="spellEnd"/>
        <w:r w:rsidRPr="003466B5">
          <w:rPr>
            <w:szCs w:val="24"/>
            <w:lang w:val="hu-HU"/>
          </w:rPr>
          <w:t xml:space="preserve">, and </w:t>
        </w:r>
        <w:proofErr w:type="spellStart"/>
        <w:r w:rsidRPr="003466B5">
          <w:rPr>
            <w:szCs w:val="24"/>
            <w:lang w:val="hu-HU"/>
          </w:rPr>
          <w:t>Planet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Report</w:t>
        </w:r>
        <w:proofErr w:type="spellEnd"/>
        <w:r w:rsidRPr="003466B5">
          <w:rPr>
            <w:szCs w:val="24"/>
            <w:lang w:val="hu-HU"/>
          </w:rPr>
          <w:t xml:space="preserve"> 2024</w:t>
        </w:r>
      </w:hyperlink>
      <w:r w:rsidRPr="00E5430A">
        <w:rPr>
          <w:sz w:val="24"/>
          <w:szCs w:val="24"/>
          <w:lang w:val="hu-HU"/>
        </w:rPr>
        <w:t xml:space="preserve"> (A szegénységről, a jólétről és a bolygóról szóló 2024. évi jelentés), Világbank.</w:t>
      </w:r>
    </w:p>
  </w:footnote>
  <w:footnote w:id="4">
    <w:p w14:paraId="744AF3C6" w14:textId="6717E1E5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3" w:history="1">
        <w:r w:rsidRPr="003466B5">
          <w:rPr>
            <w:szCs w:val="24"/>
            <w:lang w:val="en-GB"/>
          </w:rPr>
          <w:t>Living and working in Europe 2024</w:t>
        </w:r>
      </w:hyperlink>
      <w:r w:rsidRPr="003466B5">
        <w:rPr>
          <w:sz w:val="24"/>
          <w:szCs w:val="24"/>
          <w:lang w:val="en-GB"/>
        </w:rPr>
        <w:t xml:space="preserve"> (</w:t>
      </w:r>
      <w:proofErr w:type="spellStart"/>
      <w:r w:rsidRPr="003466B5">
        <w:rPr>
          <w:sz w:val="24"/>
          <w:szCs w:val="24"/>
          <w:lang w:val="en-GB"/>
        </w:rPr>
        <w:t>Élet</w:t>
      </w:r>
      <w:proofErr w:type="spellEnd"/>
      <w:r w:rsidRPr="003466B5">
        <w:rPr>
          <w:sz w:val="24"/>
          <w:szCs w:val="24"/>
          <w:lang w:val="en-GB"/>
        </w:rPr>
        <w:t xml:space="preserve"> </w:t>
      </w:r>
      <w:proofErr w:type="spellStart"/>
      <w:r w:rsidRPr="003466B5">
        <w:rPr>
          <w:sz w:val="24"/>
          <w:szCs w:val="24"/>
          <w:lang w:val="en-GB"/>
        </w:rPr>
        <w:t>és</w:t>
      </w:r>
      <w:proofErr w:type="spellEnd"/>
      <w:r w:rsidRPr="003466B5">
        <w:rPr>
          <w:sz w:val="24"/>
          <w:szCs w:val="24"/>
          <w:lang w:val="en-GB"/>
        </w:rPr>
        <w:t xml:space="preserve"> m</w:t>
      </w:r>
      <w:r w:rsidRPr="00E5430A">
        <w:rPr>
          <w:sz w:val="24"/>
          <w:szCs w:val="24"/>
          <w:lang w:val="hu-HU"/>
        </w:rPr>
        <w:t xml:space="preserve">unka Európában 2024), </w:t>
      </w:r>
      <w:proofErr w:type="spellStart"/>
      <w:r w:rsidRPr="00E5430A">
        <w:rPr>
          <w:sz w:val="24"/>
          <w:szCs w:val="24"/>
          <w:lang w:val="hu-HU"/>
        </w:rPr>
        <w:t>Eurofound</w:t>
      </w:r>
      <w:proofErr w:type="spellEnd"/>
      <w:r w:rsidRPr="00E5430A">
        <w:rPr>
          <w:sz w:val="24"/>
          <w:szCs w:val="24"/>
          <w:lang w:val="hu-HU"/>
        </w:rPr>
        <w:t>, 2025.</w:t>
      </w:r>
    </w:p>
  </w:footnote>
  <w:footnote w:id="5">
    <w:p w14:paraId="7A76F1DB" w14:textId="4F88664B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4" w:history="1">
        <w:proofErr w:type="spellStart"/>
        <w:r w:rsidRPr="003466B5">
          <w:rPr>
            <w:szCs w:val="24"/>
            <w:lang w:val="hu-HU"/>
          </w:rPr>
          <w:t>Living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conditions</w:t>
        </w:r>
        <w:proofErr w:type="spellEnd"/>
        <w:r w:rsidRPr="003466B5">
          <w:rPr>
            <w:szCs w:val="24"/>
            <w:lang w:val="hu-HU"/>
          </w:rPr>
          <w:t xml:space="preserve"> in Europe - </w:t>
        </w:r>
        <w:proofErr w:type="spellStart"/>
        <w:r w:rsidRPr="003466B5">
          <w:rPr>
            <w:szCs w:val="24"/>
            <w:lang w:val="hu-HU"/>
          </w:rPr>
          <w:t>poverty</w:t>
        </w:r>
        <w:proofErr w:type="spellEnd"/>
        <w:r w:rsidRPr="003466B5">
          <w:rPr>
            <w:szCs w:val="24"/>
            <w:lang w:val="hu-HU"/>
          </w:rPr>
          <w:t xml:space="preserve"> and </w:t>
        </w:r>
        <w:proofErr w:type="spellStart"/>
        <w:r w:rsidRPr="003466B5">
          <w:rPr>
            <w:szCs w:val="24"/>
            <w:lang w:val="hu-HU"/>
          </w:rPr>
          <w:t>social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exclusion</w:t>
        </w:r>
        <w:proofErr w:type="spellEnd"/>
      </w:hyperlink>
      <w:r w:rsidRPr="003466B5">
        <w:rPr>
          <w:sz w:val="24"/>
          <w:szCs w:val="24"/>
          <w:lang w:val="hu-HU"/>
        </w:rPr>
        <w:t xml:space="preserve"> (É</w:t>
      </w:r>
      <w:r w:rsidRPr="00E5430A">
        <w:rPr>
          <w:sz w:val="24"/>
          <w:szCs w:val="24"/>
          <w:lang w:val="hu-HU"/>
        </w:rPr>
        <w:t>letkörülmények Európában – szegénység és társadalmi kirekesztés), Eurostat, 2025. április</w:t>
      </w:r>
      <w:r w:rsidR="00E5430A" w:rsidRPr="00E5430A">
        <w:rPr>
          <w:sz w:val="24"/>
          <w:szCs w:val="24"/>
          <w:lang w:val="hu-HU"/>
        </w:rPr>
        <w:t>.</w:t>
      </w:r>
    </w:p>
  </w:footnote>
  <w:footnote w:id="6">
    <w:p w14:paraId="4029535F" w14:textId="2A8F0666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proofErr w:type="spellStart"/>
      <w:r w:rsidRPr="00E5430A">
        <w:rPr>
          <w:sz w:val="24"/>
          <w:szCs w:val="24"/>
          <w:lang w:val="hu-HU"/>
        </w:rPr>
        <w:t>Mental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health</w:t>
      </w:r>
      <w:proofErr w:type="spellEnd"/>
      <w:r w:rsidRPr="00E5430A">
        <w:rPr>
          <w:sz w:val="24"/>
          <w:szCs w:val="24"/>
          <w:lang w:val="hu-HU"/>
        </w:rPr>
        <w:t xml:space="preserve"> in </w:t>
      </w:r>
      <w:proofErr w:type="spellStart"/>
      <w:r w:rsidRPr="00E5430A">
        <w:rPr>
          <w:sz w:val="24"/>
          <w:szCs w:val="24"/>
          <w:lang w:val="hu-HU"/>
        </w:rPr>
        <w:t>the</w:t>
      </w:r>
      <w:proofErr w:type="spellEnd"/>
      <w:r w:rsidRPr="00E5430A">
        <w:rPr>
          <w:sz w:val="24"/>
          <w:szCs w:val="24"/>
          <w:lang w:val="hu-HU"/>
        </w:rPr>
        <w:t xml:space="preserve"> European Union and </w:t>
      </w:r>
      <w:proofErr w:type="spellStart"/>
      <w:r w:rsidRPr="00E5430A">
        <w:rPr>
          <w:sz w:val="24"/>
          <w:szCs w:val="24"/>
          <w:lang w:val="hu-HU"/>
        </w:rPr>
        <w:t>Norway</w:t>
      </w:r>
      <w:proofErr w:type="spellEnd"/>
      <w:r w:rsidRPr="00E5430A">
        <w:rPr>
          <w:sz w:val="24"/>
          <w:szCs w:val="24"/>
          <w:lang w:val="hu-HU"/>
        </w:rPr>
        <w:t xml:space="preserve">: </w:t>
      </w:r>
      <w:proofErr w:type="spellStart"/>
      <w:r w:rsidRPr="00E5430A">
        <w:rPr>
          <w:sz w:val="24"/>
          <w:szCs w:val="24"/>
          <w:lang w:val="hu-HU"/>
        </w:rPr>
        <w:t>risk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groups</w:t>
      </w:r>
      <w:proofErr w:type="spellEnd"/>
      <w:r w:rsidRPr="00E5430A">
        <w:rPr>
          <w:sz w:val="24"/>
          <w:szCs w:val="24"/>
          <w:lang w:val="hu-HU"/>
        </w:rPr>
        <w:t xml:space="preserve">, </w:t>
      </w:r>
      <w:proofErr w:type="spellStart"/>
      <w:r w:rsidRPr="00E5430A">
        <w:rPr>
          <w:sz w:val="24"/>
          <w:szCs w:val="24"/>
          <w:lang w:val="hu-HU"/>
        </w:rPr>
        <w:t>trends</w:t>
      </w:r>
      <w:proofErr w:type="spellEnd"/>
      <w:r w:rsidRPr="00E5430A">
        <w:rPr>
          <w:sz w:val="24"/>
          <w:szCs w:val="24"/>
          <w:lang w:val="hu-HU"/>
        </w:rPr>
        <w:t xml:space="preserve">, </w:t>
      </w:r>
      <w:proofErr w:type="spellStart"/>
      <w:r w:rsidRPr="00E5430A">
        <w:rPr>
          <w:sz w:val="24"/>
          <w:szCs w:val="24"/>
          <w:lang w:val="hu-HU"/>
        </w:rPr>
        <w:t>services</w:t>
      </w:r>
      <w:proofErr w:type="spellEnd"/>
      <w:r w:rsidRPr="00E5430A">
        <w:rPr>
          <w:sz w:val="24"/>
          <w:szCs w:val="24"/>
          <w:lang w:val="hu-HU"/>
        </w:rPr>
        <w:t xml:space="preserve"> and </w:t>
      </w:r>
      <w:proofErr w:type="spellStart"/>
      <w:r w:rsidRPr="00E5430A">
        <w:rPr>
          <w:sz w:val="24"/>
          <w:szCs w:val="24"/>
          <w:lang w:val="hu-HU"/>
        </w:rPr>
        <w:t>policies</w:t>
      </w:r>
      <w:proofErr w:type="spellEnd"/>
      <w:r w:rsidRPr="00E5430A">
        <w:rPr>
          <w:sz w:val="24"/>
          <w:szCs w:val="24"/>
          <w:lang w:val="hu-HU"/>
        </w:rPr>
        <w:t xml:space="preserve"> (Mentális egészség az Európai Unióban és Norvégiában: kockázati csoportok, tendenciák, szolgáltatások és politikák), </w:t>
      </w:r>
      <w:proofErr w:type="spellStart"/>
      <w:r w:rsidRPr="00E5430A">
        <w:rPr>
          <w:sz w:val="24"/>
          <w:szCs w:val="24"/>
          <w:lang w:val="hu-HU"/>
        </w:rPr>
        <w:t>Eurofound</w:t>
      </w:r>
      <w:proofErr w:type="spellEnd"/>
      <w:r w:rsidRPr="00E5430A">
        <w:rPr>
          <w:sz w:val="24"/>
          <w:szCs w:val="24"/>
          <w:lang w:val="hu-HU"/>
        </w:rPr>
        <w:t>, megjelenés 2025-ben.</w:t>
      </w:r>
    </w:p>
  </w:footnote>
  <w:footnote w:id="7">
    <w:p w14:paraId="0C70443F" w14:textId="18398BE6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proofErr w:type="spellStart"/>
      <w:r w:rsidRPr="00E5430A">
        <w:rPr>
          <w:sz w:val="24"/>
          <w:szCs w:val="24"/>
          <w:lang w:val="hu-HU"/>
        </w:rPr>
        <w:t>Further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experiences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with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pay</w:t>
      </w:r>
      <w:proofErr w:type="spellEnd"/>
      <w:r w:rsidRPr="00E5430A">
        <w:rPr>
          <w:sz w:val="24"/>
          <w:szCs w:val="24"/>
          <w:lang w:val="hu-HU"/>
        </w:rPr>
        <w:t xml:space="preserve"> </w:t>
      </w:r>
      <w:proofErr w:type="spellStart"/>
      <w:r w:rsidRPr="00E5430A">
        <w:rPr>
          <w:sz w:val="24"/>
          <w:szCs w:val="24"/>
          <w:lang w:val="hu-HU"/>
        </w:rPr>
        <w:t>transparency</w:t>
      </w:r>
      <w:proofErr w:type="spellEnd"/>
      <w:r w:rsidRPr="00E5430A">
        <w:rPr>
          <w:sz w:val="24"/>
          <w:szCs w:val="24"/>
          <w:lang w:val="hu-HU"/>
        </w:rPr>
        <w:t xml:space="preserve"> (További tapasztalatok a bérek átláthatóságával kapcsolatban), </w:t>
      </w:r>
      <w:proofErr w:type="spellStart"/>
      <w:r w:rsidRPr="00E5430A">
        <w:rPr>
          <w:sz w:val="24"/>
          <w:szCs w:val="24"/>
          <w:lang w:val="hu-HU"/>
        </w:rPr>
        <w:t>Eurofound</w:t>
      </w:r>
      <w:proofErr w:type="spellEnd"/>
      <w:r w:rsidRPr="00E5430A">
        <w:rPr>
          <w:sz w:val="24"/>
          <w:szCs w:val="24"/>
          <w:lang w:val="hu-HU"/>
        </w:rPr>
        <w:t>, megjelenés 2025-ben.</w:t>
      </w:r>
    </w:p>
  </w:footnote>
  <w:footnote w:id="8">
    <w:p w14:paraId="49F6EB78" w14:textId="4034D546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5" w:history="1">
        <w:proofErr w:type="spellStart"/>
        <w:r w:rsidRPr="003466B5">
          <w:rPr>
            <w:szCs w:val="24"/>
            <w:lang w:val="hu-HU"/>
          </w:rPr>
          <w:t>Measuring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key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dimensions</w:t>
        </w:r>
        <w:proofErr w:type="spellEnd"/>
        <w:r w:rsidRPr="003466B5">
          <w:rPr>
            <w:szCs w:val="24"/>
            <w:lang w:val="hu-HU"/>
          </w:rPr>
          <w:t xml:space="preserve"> of </w:t>
        </w:r>
        <w:proofErr w:type="spellStart"/>
        <w:r w:rsidRPr="003466B5">
          <w:rPr>
            <w:szCs w:val="24"/>
            <w:lang w:val="hu-HU"/>
          </w:rPr>
          <w:t>industrial</w:t>
        </w:r>
        <w:proofErr w:type="spellEnd"/>
        <w:r w:rsidRPr="003466B5">
          <w:rPr>
            <w:szCs w:val="24"/>
            <w:lang w:val="hu-HU"/>
          </w:rPr>
          <w:t xml:space="preserve"> relations and </w:t>
        </w:r>
        <w:proofErr w:type="spellStart"/>
        <w:r w:rsidRPr="003466B5">
          <w:rPr>
            <w:szCs w:val="24"/>
            <w:lang w:val="hu-HU"/>
          </w:rPr>
          <w:t>industrial</w:t>
        </w:r>
        <w:proofErr w:type="spellEnd"/>
        <w:r w:rsidRPr="003466B5">
          <w:rPr>
            <w:szCs w:val="24"/>
            <w:lang w:val="hu-HU"/>
          </w:rPr>
          <w:t xml:space="preserve"> </w:t>
        </w:r>
        <w:proofErr w:type="spellStart"/>
        <w:r w:rsidRPr="003466B5">
          <w:rPr>
            <w:szCs w:val="24"/>
            <w:lang w:val="hu-HU"/>
          </w:rPr>
          <w:t>democracy</w:t>
        </w:r>
        <w:proofErr w:type="spellEnd"/>
      </w:hyperlink>
      <w:r w:rsidRPr="00E5430A">
        <w:rPr>
          <w:sz w:val="24"/>
          <w:szCs w:val="24"/>
          <w:lang w:val="hu-HU"/>
        </w:rPr>
        <w:t xml:space="preserve"> (A munkaügyi kapcsolatok és az ipari demokrácia kulcsfontosságú dimenzióinak mérése), </w:t>
      </w:r>
      <w:proofErr w:type="spellStart"/>
      <w:r w:rsidRPr="00E5430A">
        <w:rPr>
          <w:sz w:val="24"/>
          <w:szCs w:val="24"/>
          <w:lang w:val="hu-HU"/>
        </w:rPr>
        <w:t>Eurofound</w:t>
      </w:r>
      <w:proofErr w:type="spellEnd"/>
      <w:r w:rsidRPr="00E5430A">
        <w:rPr>
          <w:sz w:val="24"/>
          <w:szCs w:val="24"/>
          <w:lang w:val="hu-HU"/>
        </w:rPr>
        <w:t>, 2023. december</w:t>
      </w:r>
      <w:r w:rsidR="00E5430A" w:rsidRPr="00E5430A">
        <w:rPr>
          <w:sz w:val="24"/>
          <w:szCs w:val="24"/>
          <w:lang w:val="hu-HU"/>
        </w:rPr>
        <w:t>.</w:t>
      </w:r>
    </w:p>
  </w:footnote>
  <w:footnote w:id="9">
    <w:p w14:paraId="20B4387B" w14:textId="3F5FA324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hyperlink r:id="rId6" w:history="1">
        <w:proofErr w:type="spellStart"/>
        <w:r w:rsidRPr="003466B5">
          <w:rPr>
            <w:szCs w:val="24"/>
            <w:lang w:val="hu-HU"/>
          </w:rPr>
          <w:t>Living</w:t>
        </w:r>
        <w:proofErr w:type="spellEnd"/>
        <w:r w:rsidRPr="003466B5">
          <w:rPr>
            <w:szCs w:val="24"/>
            <w:lang w:val="hu-HU"/>
          </w:rPr>
          <w:t xml:space="preserve"> and </w:t>
        </w:r>
        <w:proofErr w:type="spellStart"/>
        <w:r w:rsidRPr="003466B5">
          <w:rPr>
            <w:szCs w:val="24"/>
            <w:lang w:val="hu-HU"/>
          </w:rPr>
          <w:t>Working</w:t>
        </w:r>
        <w:proofErr w:type="spellEnd"/>
        <w:r w:rsidRPr="003466B5">
          <w:rPr>
            <w:szCs w:val="24"/>
            <w:lang w:val="hu-HU"/>
          </w:rPr>
          <w:t xml:space="preserve"> in </w:t>
        </w:r>
        <w:proofErr w:type="spellStart"/>
        <w:r w:rsidRPr="003466B5">
          <w:rPr>
            <w:szCs w:val="24"/>
            <w:lang w:val="hu-HU"/>
          </w:rPr>
          <w:t>the</w:t>
        </w:r>
        <w:proofErr w:type="spellEnd"/>
        <w:r w:rsidRPr="003466B5">
          <w:rPr>
            <w:szCs w:val="24"/>
            <w:lang w:val="hu-HU"/>
          </w:rPr>
          <w:t xml:space="preserve"> EU e-</w:t>
        </w:r>
        <w:proofErr w:type="spellStart"/>
        <w:r w:rsidRPr="003466B5">
          <w:rPr>
            <w:szCs w:val="24"/>
            <w:lang w:val="hu-HU"/>
          </w:rPr>
          <w:t>survey</w:t>
        </w:r>
        <w:proofErr w:type="spellEnd"/>
        <w:r w:rsidRPr="003466B5">
          <w:rPr>
            <w:szCs w:val="24"/>
            <w:lang w:val="hu-HU"/>
          </w:rPr>
          <w:t xml:space="preserve"> 2024</w:t>
        </w:r>
      </w:hyperlink>
      <w:r w:rsidRPr="003466B5">
        <w:rPr>
          <w:sz w:val="24"/>
          <w:szCs w:val="24"/>
          <w:lang w:val="hu-HU"/>
        </w:rPr>
        <w:t xml:space="preserve"> (Él</w:t>
      </w:r>
      <w:r w:rsidRPr="00E5430A">
        <w:rPr>
          <w:sz w:val="24"/>
          <w:szCs w:val="24"/>
          <w:lang w:val="hu-HU"/>
        </w:rPr>
        <w:t xml:space="preserve">et és munka az EU-ban, 2024. évi elektronikus felmérés), </w:t>
      </w:r>
      <w:proofErr w:type="spellStart"/>
      <w:r w:rsidRPr="00E5430A">
        <w:rPr>
          <w:sz w:val="24"/>
          <w:szCs w:val="24"/>
          <w:lang w:val="hu-HU"/>
        </w:rPr>
        <w:t>Eurofound</w:t>
      </w:r>
      <w:proofErr w:type="spellEnd"/>
      <w:r w:rsidRPr="00E5430A">
        <w:rPr>
          <w:sz w:val="24"/>
          <w:szCs w:val="24"/>
          <w:lang w:val="hu-HU"/>
        </w:rPr>
        <w:t>, 2024.</w:t>
      </w:r>
    </w:p>
  </w:footnote>
  <w:footnote w:id="10">
    <w:p w14:paraId="3CE79103" w14:textId="1DD7A80D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r w:rsidRPr="00E5430A">
        <w:rPr>
          <w:sz w:val="24"/>
          <w:szCs w:val="24"/>
          <w:lang w:val="hu-HU"/>
        </w:rPr>
        <w:t>Az Európai Parlament és a Tanács (EU) 2024/2831 irányelve (2024. október 23.) a platformalapú munkavégzés munkafeltételeinek javításáról (HL L, 2024/2831, 2024.11.11., ELI: </w:t>
      </w:r>
      <w:hyperlink r:id="rId7" w:history="1">
        <w:r w:rsidRPr="00E5430A">
          <w:rPr>
            <w:rStyle w:val="Hyperlink"/>
            <w:sz w:val="24"/>
            <w:szCs w:val="24"/>
            <w:lang w:val="hu-HU"/>
          </w:rPr>
          <w:t>http://data.europa.eu/eli/dir/2024/2831/oj</w:t>
        </w:r>
      </w:hyperlink>
      <w:r w:rsidRPr="00E5430A">
        <w:rPr>
          <w:sz w:val="24"/>
          <w:szCs w:val="24"/>
          <w:lang w:val="hu-HU"/>
        </w:rPr>
        <w:t>).</w:t>
      </w:r>
    </w:p>
  </w:footnote>
  <w:footnote w:id="11">
    <w:p w14:paraId="1AB30120" w14:textId="18E17227" w:rsidR="00B0382A" w:rsidRPr="00E5430A" w:rsidRDefault="00B0382A" w:rsidP="00CD6C07">
      <w:pPr>
        <w:pStyle w:val="FootnoteText"/>
        <w:ind w:left="567" w:hanging="567"/>
        <w:rPr>
          <w:sz w:val="24"/>
          <w:szCs w:val="24"/>
          <w:lang w:val="hu-HU"/>
        </w:rPr>
      </w:pPr>
      <w:r w:rsidRPr="00E5430A">
        <w:rPr>
          <w:rStyle w:val="FootnoteReference"/>
          <w:sz w:val="24"/>
          <w:szCs w:val="24"/>
          <w:lang w:val="hu-HU"/>
        </w:rPr>
        <w:footnoteRef/>
      </w:r>
      <w:r w:rsidR="00CD6C07" w:rsidRPr="00E5430A">
        <w:rPr>
          <w:sz w:val="24"/>
          <w:szCs w:val="24"/>
          <w:lang w:val="hu-HU"/>
        </w:rPr>
        <w:t xml:space="preserve"> </w:t>
      </w:r>
      <w:r w:rsidR="00CD6C07" w:rsidRPr="00E5430A">
        <w:rPr>
          <w:sz w:val="24"/>
          <w:szCs w:val="24"/>
          <w:lang w:val="hu-HU"/>
        </w:rPr>
        <w:tab/>
      </w:r>
      <w:r w:rsidRPr="00E5430A">
        <w:rPr>
          <w:sz w:val="24"/>
          <w:szCs w:val="24"/>
          <w:lang w:val="hu-HU"/>
        </w:rPr>
        <w:t>A Tanács ajánlása (2023. január 30.) az aktív befogadást biztosító megfelelő minimumjövedelemről (</w:t>
      </w:r>
      <w:hyperlink r:id="rId8" w:history="1">
        <w:r w:rsidRPr="003466B5">
          <w:rPr>
            <w:szCs w:val="24"/>
            <w:lang w:val="hu-HU"/>
          </w:rPr>
          <w:t>HL C 41., 2023.2.3., 1. o.</w:t>
        </w:r>
      </w:hyperlink>
      <w:r w:rsidRPr="00E5430A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A3E8" w14:textId="77777777" w:rsidR="00064002" w:rsidRPr="00CD6C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CC7F" w14:textId="77777777" w:rsidR="00064002" w:rsidRPr="00CD6C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D32C" w14:textId="77777777" w:rsidR="00064002" w:rsidRPr="00CD6C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7560864">
    <w:abstractNumId w:val="9"/>
  </w:num>
  <w:num w:numId="2" w16cid:durableId="1803041462">
    <w:abstractNumId w:val="9"/>
  </w:num>
  <w:num w:numId="3" w16cid:durableId="1215315460">
    <w:abstractNumId w:val="7"/>
  </w:num>
  <w:num w:numId="4" w16cid:durableId="595092605">
    <w:abstractNumId w:val="7"/>
  </w:num>
  <w:num w:numId="5" w16cid:durableId="1556500248">
    <w:abstractNumId w:val="6"/>
  </w:num>
  <w:num w:numId="6" w16cid:durableId="107241970">
    <w:abstractNumId w:val="6"/>
  </w:num>
  <w:num w:numId="7" w16cid:durableId="1171137897">
    <w:abstractNumId w:val="5"/>
  </w:num>
  <w:num w:numId="8" w16cid:durableId="1992514088">
    <w:abstractNumId w:val="5"/>
  </w:num>
  <w:num w:numId="9" w16cid:durableId="1949965225">
    <w:abstractNumId w:val="4"/>
  </w:num>
  <w:num w:numId="10" w16cid:durableId="955256233">
    <w:abstractNumId w:val="4"/>
  </w:num>
  <w:num w:numId="11" w16cid:durableId="911040887">
    <w:abstractNumId w:val="8"/>
  </w:num>
  <w:num w:numId="12" w16cid:durableId="1827621491">
    <w:abstractNumId w:val="8"/>
  </w:num>
  <w:num w:numId="13" w16cid:durableId="1936940699">
    <w:abstractNumId w:val="3"/>
  </w:num>
  <w:num w:numId="14" w16cid:durableId="92283197">
    <w:abstractNumId w:val="3"/>
  </w:num>
  <w:num w:numId="15" w16cid:durableId="775254955">
    <w:abstractNumId w:val="2"/>
  </w:num>
  <w:num w:numId="16" w16cid:durableId="914777113">
    <w:abstractNumId w:val="2"/>
  </w:num>
  <w:num w:numId="17" w16cid:durableId="2044358733">
    <w:abstractNumId w:val="1"/>
  </w:num>
  <w:num w:numId="18" w16cid:durableId="1600797725">
    <w:abstractNumId w:val="1"/>
  </w:num>
  <w:num w:numId="19" w16cid:durableId="1300957981">
    <w:abstractNumId w:val="0"/>
  </w:num>
  <w:num w:numId="20" w16cid:durableId="1065840112">
    <w:abstractNumId w:val="0"/>
  </w:num>
  <w:num w:numId="21" w16cid:durableId="603849211">
    <w:abstractNumId w:val="9"/>
  </w:num>
  <w:num w:numId="22" w16cid:durableId="1791894806">
    <w:abstractNumId w:val="7"/>
  </w:num>
  <w:num w:numId="23" w16cid:durableId="902183390">
    <w:abstractNumId w:val="6"/>
  </w:num>
  <w:num w:numId="24" w16cid:durableId="339165289">
    <w:abstractNumId w:val="5"/>
  </w:num>
  <w:num w:numId="25" w16cid:durableId="267585543">
    <w:abstractNumId w:val="4"/>
  </w:num>
  <w:num w:numId="26" w16cid:durableId="1488980454">
    <w:abstractNumId w:val="8"/>
  </w:num>
  <w:num w:numId="27" w16cid:durableId="152526143">
    <w:abstractNumId w:val="3"/>
  </w:num>
  <w:num w:numId="28" w16cid:durableId="444036827">
    <w:abstractNumId w:val="2"/>
  </w:num>
  <w:num w:numId="29" w16cid:durableId="1033186495">
    <w:abstractNumId w:val="1"/>
  </w:num>
  <w:num w:numId="30" w16cid:durableId="918096729">
    <w:abstractNumId w:val="0"/>
  </w:num>
  <w:num w:numId="31" w16cid:durableId="105126153">
    <w:abstractNumId w:val="9"/>
  </w:num>
  <w:num w:numId="32" w16cid:durableId="64841361">
    <w:abstractNumId w:val="7"/>
  </w:num>
  <w:num w:numId="33" w16cid:durableId="799304051">
    <w:abstractNumId w:val="6"/>
  </w:num>
  <w:num w:numId="34" w16cid:durableId="1323972557">
    <w:abstractNumId w:val="5"/>
  </w:num>
  <w:num w:numId="35" w16cid:durableId="804587617">
    <w:abstractNumId w:val="4"/>
  </w:num>
  <w:num w:numId="36" w16cid:durableId="898979786">
    <w:abstractNumId w:val="8"/>
  </w:num>
  <w:num w:numId="37" w16cid:durableId="2078630917">
    <w:abstractNumId w:val="3"/>
  </w:num>
  <w:num w:numId="38" w16cid:durableId="1463108102">
    <w:abstractNumId w:val="2"/>
  </w:num>
  <w:num w:numId="39" w16cid:durableId="575091302">
    <w:abstractNumId w:val="1"/>
  </w:num>
  <w:num w:numId="40" w16cid:durableId="1752727091">
    <w:abstractNumId w:val="0"/>
  </w:num>
  <w:num w:numId="41" w16cid:durableId="714231245">
    <w:abstractNumId w:val="10"/>
  </w:num>
  <w:num w:numId="42" w16cid:durableId="690881110">
    <w:abstractNumId w:val="10"/>
  </w:num>
  <w:num w:numId="43" w16cid:durableId="694962547">
    <w:abstractNumId w:val="10"/>
  </w:num>
  <w:num w:numId="44" w16cid:durableId="219827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8/2025"/>
    <w:docVar w:name="dvlangue" w:val="HU"/>
    <w:docVar w:name="dvnumam" w:val="0"/>
    <w:docVar w:name="dvpe" w:val="772.196"/>
    <w:docVar w:name="dvtitre" w:val="Az Európai Parlament 2025.  ...-i állásfoglalása a társadalmi fejlődésről szóló második világ-csúcstalálkozóról(2025/2654(RSP))"/>
  </w:docVars>
  <w:rsids>
    <w:rsidRoot w:val="00220C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C9D"/>
    <w:rsid w:val="002767FF"/>
    <w:rsid w:val="002B18FE"/>
    <w:rsid w:val="002B5493"/>
    <w:rsid w:val="00343214"/>
    <w:rsid w:val="003466B5"/>
    <w:rsid w:val="00361C00"/>
    <w:rsid w:val="00395FA1"/>
    <w:rsid w:val="003E15D4"/>
    <w:rsid w:val="00411CCE"/>
    <w:rsid w:val="0041666E"/>
    <w:rsid w:val="00416ADC"/>
    <w:rsid w:val="00421060"/>
    <w:rsid w:val="00467D75"/>
    <w:rsid w:val="00471C19"/>
    <w:rsid w:val="004867E3"/>
    <w:rsid w:val="00494A28"/>
    <w:rsid w:val="004C0004"/>
    <w:rsid w:val="004C5D52"/>
    <w:rsid w:val="004D5D6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9E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82A"/>
    <w:rsid w:val="00B12E95"/>
    <w:rsid w:val="00B22876"/>
    <w:rsid w:val="00B558F0"/>
    <w:rsid w:val="00BD1932"/>
    <w:rsid w:val="00BD48FE"/>
    <w:rsid w:val="00BD7BD8"/>
    <w:rsid w:val="00BE6ADC"/>
    <w:rsid w:val="00C05BFE"/>
    <w:rsid w:val="00C23CD4"/>
    <w:rsid w:val="00C61C0C"/>
    <w:rsid w:val="00C941CB"/>
    <w:rsid w:val="00CC2357"/>
    <w:rsid w:val="00CD6C07"/>
    <w:rsid w:val="00CF071A"/>
    <w:rsid w:val="00D058B8"/>
    <w:rsid w:val="00D56C11"/>
    <w:rsid w:val="00D834A0"/>
    <w:rsid w:val="00D872DF"/>
    <w:rsid w:val="00D91E21"/>
    <w:rsid w:val="00DA7FCD"/>
    <w:rsid w:val="00E365E1"/>
    <w:rsid w:val="00E5430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1E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1EEE7F"/>
  <w15:chartTrackingRefBased/>
  <w15:docId w15:val="{C4934ED2-4CFB-4F17-9A48-E7B4CE67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382A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0382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0382A"/>
    <w:rPr>
      <w:sz w:val="24"/>
      <w:lang w:val="hu-HU"/>
    </w:rPr>
  </w:style>
  <w:style w:type="character" w:styleId="Hyperlink">
    <w:name w:val="Hyperlink"/>
    <w:basedOn w:val="DefaultParagraphFont"/>
    <w:rsid w:val="00B0382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5430A"/>
    <w:rPr>
      <w:sz w:val="24"/>
      <w:lang w:val="hu-HU"/>
    </w:rPr>
  </w:style>
  <w:style w:type="character" w:styleId="CommentReference">
    <w:name w:val="annotation reference"/>
    <w:basedOn w:val="DefaultParagraphFont"/>
    <w:rsid w:val="00E543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43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430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54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430A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HU/TXT/?uri=oj:JOC_2023_041_R_0001" TargetMode="External"/><Relationship Id="rId3" Type="http://schemas.openxmlformats.org/officeDocument/2006/relationships/hyperlink" Target="https://www.eurofound.europa.eu/en/publications/all/living-and-working-europe-2024" TargetMode="External"/><Relationship Id="rId7" Type="http://schemas.openxmlformats.org/officeDocument/2006/relationships/hyperlink" Target="http://data.europa.eu/eli/dir/2024/2831/oj" TargetMode="External"/><Relationship Id="rId2" Type="http://schemas.openxmlformats.org/officeDocument/2006/relationships/hyperlink" Target="https://www.worldbank.org/en/publication/poverty-prosperity-and-planet" TargetMode="External"/><Relationship Id="rId1" Type="http://schemas.openxmlformats.org/officeDocument/2006/relationships/hyperlink" Target="https://ec.europa.eu/eurostat/statistics-explained/index.php?title=Living_conditions_in_Europe_-_income_distribution_and_income_inequality" TargetMode="External"/><Relationship Id="rId6" Type="http://schemas.openxmlformats.org/officeDocument/2006/relationships/hyperlink" Target="https://www.eurofound.europa.eu/en/surveys-and-data/surveys/living-and-working-in-the-eu-e-survey/e-survey-2024" TargetMode="External"/><Relationship Id="rId5" Type="http://schemas.openxmlformats.org/officeDocument/2006/relationships/hyperlink" Target="https://www.eurofound.europa.eu/en/publications/all/measuring-key-dimensions-industrial-relations-and-industrial-democracy" TargetMode="External"/><Relationship Id="rId4" Type="http://schemas.openxmlformats.org/officeDocument/2006/relationships/hyperlink" Target="https://ec.europa.eu/eurostat/statistics-explained/index.php?title=Living_conditions_in_Europe_-_poverty_and_social_exclu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3553</Words>
  <Characters>25079</Characters>
  <Application>Microsoft Office Word</Application>
  <DocSecurity>0</DocSecurity>
  <Lines>208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2025-10-09T12:26:00Z</dcterms:created>
  <dcterms:modified xsi:type="dcterms:W3CDTF">2025-10-09T12:26:00Z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B10-0408/2025</vt:lpwstr>
  </property>
  <property fmtid="{D5CDD505-2E9C-101B-9397-08002B2CF9AE}" pid="4" name="&lt;Type&gt;">
    <vt:lpwstr>RR</vt:lpwstr>
  </property>
</Properties>
</file>