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51E2" w14:paraId="3A6520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3747E8" w14:textId="77777777" w:rsidR="00751A4A" w:rsidRPr="006651E2" w:rsidRDefault="00BC7F3C" w:rsidP="0010095E">
            <w:pPr>
              <w:pStyle w:val="EPName"/>
            </w:pPr>
            <w:r w:rsidRPr="006651E2">
              <w:t>Evropský parlament</w:t>
            </w:r>
          </w:p>
          <w:p w14:paraId="6FCE7E06" w14:textId="77777777" w:rsidR="00751A4A" w:rsidRPr="006651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51E2">
              <w:t>2024</w:t>
            </w:r>
            <w:r w:rsidR="00817416" w:rsidRPr="006651E2">
              <w:t>-202</w:t>
            </w:r>
            <w:r w:rsidRPr="006651E2">
              <w:t>9</w:t>
            </w:r>
          </w:p>
        </w:tc>
        <w:tc>
          <w:tcPr>
            <w:tcW w:w="2268" w:type="dxa"/>
            <w:shd w:val="clear" w:color="auto" w:fill="auto"/>
          </w:tcPr>
          <w:p w14:paraId="5FC59800" w14:textId="77777777" w:rsidR="00751A4A" w:rsidRPr="006651E2" w:rsidRDefault="00187494" w:rsidP="0010095E">
            <w:pPr>
              <w:pStyle w:val="EPLogo"/>
            </w:pPr>
            <w:r w:rsidRPr="006651E2">
              <w:rPr>
                <w:noProof/>
                <w:lang w:eastAsia="ja-JP"/>
              </w:rPr>
              <w:drawing>
                <wp:inline distT="0" distB="0" distL="0" distR="0" wp14:anchorId="06737605" wp14:editId="168349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9D9D6E" w14:textId="77777777" w:rsidR="00D058B8" w:rsidRPr="006651E2" w:rsidRDefault="00D058B8" w:rsidP="004C5D52">
      <w:pPr>
        <w:pStyle w:val="LineTop"/>
      </w:pPr>
    </w:p>
    <w:p w14:paraId="3DAD5C41" w14:textId="77777777" w:rsidR="00680577" w:rsidRPr="006651E2" w:rsidRDefault="00BC7F3C" w:rsidP="00680577">
      <w:pPr>
        <w:pStyle w:val="EPBodyTA1"/>
      </w:pPr>
      <w:r w:rsidRPr="006651E2">
        <w:t>PŘIJATÉ TEXTY</w:t>
      </w:r>
    </w:p>
    <w:p w14:paraId="3EB8F48B" w14:textId="77777777" w:rsidR="00D058B8" w:rsidRPr="006651E2" w:rsidRDefault="00D058B8" w:rsidP="00D058B8">
      <w:pPr>
        <w:pStyle w:val="LineBottom"/>
      </w:pPr>
    </w:p>
    <w:p w14:paraId="588A448C" w14:textId="2F32F498" w:rsidR="00BC7F3C" w:rsidRPr="006651E2" w:rsidRDefault="00BC7F3C" w:rsidP="00BC7F3C">
      <w:pPr>
        <w:pStyle w:val="ATHeading1"/>
      </w:pPr>
      <w:bookmarkStart w:id="0" w:name="TANumber"/>
      <w:r w:rsidRPr="006651E2">
        <w:t>P10_</w:t>
      </w:r>
      <w:proofErr w:type="gramStart"/>
      <w:r w:rsidRPr="006651E2">
        <w:t>TA(</w:t>
      </w:r>
      <w:proofErr w:type="gramEnd"/>
      <w:r w:rsidRPr="006651E2">
        <w:t>2025)0</w:t>
      </w:r>
      <w:r w:rsidR="005F15C7">
        <w:t>233</w:t>
      </w:r>
      <w:bookmarkEnd w:id="0"/>
    </w:p>
    <w:p w14:paraId="4B7496B6" w14:textId="77777777" w:rsidR="00BC7F3C" w:rsidRPr="006651E2" w:rsidRDefault="00BC7F3C" w:rsidP="00BC7F3C">
      <w:pPr>
        <w:pStyle w:val="ATHeading2"/>
      </w:pPr>
      <w:bookmarkStart w:id="1" w:name="title"/>
      <w:r w:rsidRPr="006651E2">
        <w:t>Celounijní účinek některých zákazů řízení</w:t>
      </w:r>
      <w:bookmarkEnd w:id="1"/>
    </w:p>
    <w:p w14:paraId="52C69484" w14:textId="77777777" w:rsidR="00BC7F3C" w:rsidRPr="006651E2" w:rsidRDefault="00BC7F3C" w:rsidP="00BC7F3C">
      <w:pPr>
        <w:rPr>
          <w:i/>
          <w:vanish/>
        </w:rPr>
      </w:pPr>
      <w:r w:rsidRPr="006651E2">
        <w:rPr>
          <w:i/>
        </w:rPr>
        <w:fldChar w:fldCharType="begin"/>
      </w:r>
      <w:r w:rsidRPr="006651E2">
        <w:rPr>
          <w:i/>
        </w:rPr>
        <w:instrText xml:space="preserve"> TC"(</w:instrText>
      </w:r>
      <w:bookmarkStart w:id="2" w:name="DocNumber"/>
      <w:r w:rsidRPr="006651E2">
        <w:rPr>
          <w:i/>
        </w:rPr>
        <w:instrText>A10-0193/2025</w:instrText>
      </w:r>
      <w:bookmarkEnd w:id="2"/>
      <w:r w:rsidRPr="006651E2">
        <w:rPr>
          <w:i/>
        </w:rPr>
        <w:instrText xml:space="preserve"> - Zpravodaj: Matteo Ricci)"\l3 \n&gt; \* MERGEFORMAT </w:instrText>
      </w:r>
      <w:r w:rsidRPr="006651E2">
        <w:rPr>
          <w:i/>
        </w:rPr>
        <w:fldChar w:fldCharType="end"/>
      </w:r>
    </w:p>
    <w:p w14:paraId="273C61F9" w14:textId="77777777" w:rsidR="00BC7F3C" w:rsidRPr="006651E2" w:rsidRDefault="00BC7F3C" w:rsidP="00BC7F3C">
      <w:pPr>
        <w:rPr>
          <w:vanish/>
        </w:rPr>
      </w:pPr>
      <w:bookmarkStart w:id="3" w:name="Commission"/>
      <w:r w:rsidRPr="006651E2">
        <w:rPr>
          <w:vanish/>
        </w:rPr>
        <w:t>Výbor pro dopravu a cestovní ruch</w:t>
      </w:r>
      <w:bookmarkEnd w:id="3"/>
    </w:p>
    <w:p w14:paraId="52875503" w14:textId="77777777" w:rsidR="00BC7F3C" w:rsidRPr="006651E2" w:rsidRDefault="00BC7F3C" w:rsidP="00BC7F3C">
      <w:pPr>
        <w:rPr>
          <w:vanish/>
        </w:rPr>
      </w:pPr>
      <w:bookmarkStart w:id="4" w:name="PE"/>
      <w:r w:rsidRPr="006651E2">
        <w:rPr>
          <w:vanish/>
        </w:rPr>
        <w:t>PE778.059</w:t>
      </w:r>
      <w:bookmarkEnd w:id="4"/>
    </w:p>
    <w:p w14:paraId="2CD53FD7" w14:textId="1EEB1037" w:rsidR="00BC7F3C" w:rsidRPr="006651E2" w:rsidRDefault="00BC7F3C" w:rsidP="00BC7F3C">
      <w:pPr>
        <w:pStyle w:val="ATHeading3"/>
      </w:pPr>
      <w:bookmarkStart w:id="5" w:name="Sujet"/>
      <w:r w:rsidRPr="006651E2">
        <w:t>Legislativní usnesení Evropského parlamentu ze dne</w:t>
      </w:r>
      <w:r w:rsidR="00F41AF6">
        <w:t xml:space="preserve"> 21. října</w:t>
      </w:r>
      <w:r w:rsidRPr="006651E2">
        <w:t xml:space="preserve"> 2025 k postoji Rady v prvním čtení k přijetí směrnice Evropského parlamentu a Rady, kterou se mění směrnice (EU) 2025/..., pokud jde o některé zákazy řízení</w:t>
      </w:r>
      <w:bookmarkEnd w:id="5"/>
      <w:r w:rsidRPr="006651E2">
        <w:t xml:space="preserve"> </w:t>
      </w:r>
      <w:bookmarkStart w:id="6" w:name="References"/>
      <w:r w:rsidRPr="006651E2">
        <w:t>(08351/1/2025 – C10-0231/</w:t>
      </w:r>
      <w:proofErr w:type="gramStart"/>
      <w:r w:rsidRPr="006651E2">
        <w:t>2025 – 2023</w:t>
      </w:r>
      <w:proofErr w:type="gramEnd"/>
      <w:r w:rsidRPr="006651E2">
        <w:t>/0055(COD))</w:t>
      </w:r>
      <w:bookmarkEnd w:id="6"/>
    </w:p>
    <w:p w14:paraId="0BFED63A" w14:textId="77777777" w:rsidR="00BC7F3C" w:rsidRPr="006651E2" w:rsidRDefault="00BC7F3C" w:rsidP="00BC7F3C"/>
    <w:p w14:paraId="1979D47C" w14:textId="77777777" w:rsidR="000908E7" w:rsidRPr="006651E2" w:rsidRDefault="000908E7" w:rsidP="000908E7">
      <w:pPr>
        <w:pStyle w:val="NormalBold"/>
      </w:pPr>
      <w:bookmarkStart w:id="7" w:name="TextBodyBegin"/>
      <w:bookmarkEnd w:id="7"/>
      <w:r w:rsidRPr="006651E2">
        <w:t>(Řádný legislativní postup: druhé čtení)</w:t>
      </w:r>
    </w:p>
    <w:p w14:paraId="71D9494C" w14:textId="77777777" w:rsidR="000908E7" w:rsidRPr="006651E2" w:rsidRDefault="000908E7" w:rsidP="000908E7">
      <w:pPr>
        <w:pStyle w:val="EPComma"/>
      </w:pPr>
      <w:r w:rsidRPr="006651E2">
        <w:rPr>
          <w:i/>
        </w:rPr>
        <w:t>Evropský parlament</w:t>
      </w:r>
      <w:r w:rsidRPr="006651E2">
        <w:t>,</w:t>
      </w:r>
    </w:p>
    <w:p w14:paraId="37DDE7EA" w14:textId="77777777" w:rsidR="000908E7" w:rsidRPr="006651E2" w:rsidRDefault="000908E7" w:rsidP="000908E7">
      <w:pPr>
        <w:pStyle w:val="NormalHanging12a"/>
      </w:pPr>
      <w:r w:rsidRPr="006651E2">
        <w:t>–</w:t>
      </w:r>
      <w:r w:rsidRPr="006651E2">
        <w:tab/>
        <w:t>s ohledem na postoj Rady v prvním čtení (08351/1/2025 – C10-0231/2025),</w:t>
      </w:r>
    </w:p>
    <w:p w14:paraId="5716C6DC" w14:textId="2F006E02" w:rsidR="000908E7" w:rsidRPr="006651E2" w:rsidRDefault="000908E7" w:rsidP="000908E7">
      <w:pPr>
        <w:pStyle w:val="NormalHanging12a"/>
      </w:pPr>
      <w:r w:rsidRPr="006651E2">
        <w:t>–</w:t>
      </w:r>
      <w:r w:rsidRPr="006651E2">
        <w:tab/>
        <w:t>s ohledem na stanovisko Evropského hospodářského a sociálního výboru ze dne 14. června 2023</w:t>
      </w:r>
      <w:r w:rsidRPr="006651E2">
        <w:rPr>
          <w:rStyle w:val="FootnoteReference"/>
        </w:rPr>
        <w:footnoteReference w:id="1"/>
      </w:r>
      <w:r w:rsidRPr="006651E2">
        <w:t>,</w:t>
      </w:r>
    </w:p>
    <w:p w14:paraId="1FD7D15F" w14:textId="77777777" w:rsidR="000908E7" w:rsidRPr="006651E2" w:rsidRDefault="000908E7" w:rsidP="000908E7">
      <w:pPr>
        <w:pStyle w:val="NormalHanging12a"/>
      </w:pPr>
      <w:r w:rsidRPr="006651E2">
        <w:t>–</w:t>
      </w:r>
      <w:r w:rsidRPr="006651E2">
        <w:tab/>
        <w:t>po konzultaci s Výborem regionů,</w:t>
      </w:r>
    </w:p>
    <w:p w14:paraId="3587EF1F" w14:textId="3FA9760A" w:rsidR="000908E7" w:rsidRPr="006651E2" w:rsidRDefault="000908E7" w:rsidP="000908E7">
      <w:pPr>
        <w:pStyle w:val="NormalHanging12a"/>
      </w:pPr>
      <w:r w:rsidRPr="006651E2">
        <w:t>–</w:t>
      </w:r>
      <w:r w:rsidRPr="006651E2">
        <w:tab/>
        <w:t>s ohledem na svůj postoj v prvním čtení</w:t>
      </w:r>
      <w:r w:rsidRPr="006651E2">
        <w:rPr>
          <w:rStyle w:val="FootnoteReference"/>
        </w:rPr>
        <w:footnoteReference w:id="2"/>
      </w:r>
      <w:r w:rsidRPr="006651E2">
        <w:t xml:space="preserve"> k návrhu Komise </w:t>
      </w:r>
      <w:r w:rsidR="00A17D46">
        <w:t xml:space="preserve">předloženému </w:t>
      </w:r>
      <w:r w:rsidRPr="006651E2">
        <w:t>Evropskému parlamentu a Radě (</w:t>
      </w:r>
      <w:proofErr w:type="gramStart"/>
      <w:r w:rsidRPr="006651E2">
        <w:t>COM(</w:t>
      </w:r>
      <w:proofErr w:type="gramEnd"/>
      <w:r w:rsidRPr="006651E2">
        <w:t>2023)0128),</w:t>
      </w:r>
    </w:p>
    <w:p w14:paraId="3AED4849" w14:textId="77777777" w:rsidR="000908E7" w:rsidRPr="006651E2" w:rsidRDefault="000908E7" w:rsidP="000908E7">
      <w:pPr>
        <w:pStyle w:val="NormalHanging12a"/>
      </w:pPr>
      <w:r w:rsidRPr="006651E2">
        <w:t>–</w:t>
      </w:r>
      <w:r w:rsidRPr="006651E2">
        <w:tab/>
        <w:t>s ohledem na čl. 294 odst. 7 Smlouvy o fungování Evropské unie,</w:t>
      </w:r>
    </w:p>
    <w:p w14:paraId="3BFAF20F" w14:textId="77777777" w:rsidR="000908E7" w:rsidRPr="006651E2" w:rsidRDefault="000908E7" w:rsidP="000908E7">
      <w:pPr>
        <w:pStyle w:val="NormalHanging12a"/>
      </w:pPr>
      <w:r w:rsidRPr="006651E2">
        <w:t>–</w:t>
      </w:r>
      <w:r w:rsidRPr="006651E2">
        <w:tab/>
        <w:t>s ohledem na předběžnou dohodu přijatou příslušným výborem podle čl. 75 odst. 4 jednacího řádu,</w:t>
      </w:r>
    </w:p>
    <w:p w14:paraId="2525059D" w14:textId="77777777" w:rsidR="000908E7" w:rsidRPr="006651E2" w:rsidRDefault="000908E7" w:rsidP="000908E7">
      <w:pPr>
        <w:pStyle w:val="NormalHanging12a"/>
      </w:pPr>
      <w:r w:rsidRPr="006651E2">
        <w:t>–</w:t>
      </w:r>
      <w:r w:rsidRPr="006651E2">
        <w:tab/>
        <w:t>s ohledem na článek 68 jednacího řádu,</w:t>
      </w:r>
    </w:p>
    <w:p w14:paraId="18551B8C" w14:textId="77777777" w:rsidR="000908E7" w:rsidRPr="006651E2" w:rsidRDefault="000908E7" w:rsidP="000908E7">
      <w:pPr>
        <w:pStyle w:val="NormalHanging12a"/>
      </w:pPr>
      <w:r w:rsidRPr="006651E2">
        <w:t>–</w:t>
      </w:r>
      <w:r w:rsidRPr="006651E2">
        <w:tab/>
        <w:t>s ohledem na doporučení pro druhé čtení předložené Výborem pro dopravu a cestovní ruch (A10</w:t>
      </w:r>
      <w:r w:rsidRPr="006651E2">
        <w:noBreakHyphen/>
        <w:t>0193/2025),</w:t>
      </w:r>
    </w:p>
    <w:p w14:paraId="140E9697" w14:textId="77777777" w:rsidR="000908E7" w:rsidRPr="006651E2" w:rsidRDefault="000908E7" w:rsidP="000908E7">
      <w:pPr>
        <w:pStyle w:val="NormalHanging12a"/>
      </w:pPr>
      <w:r w:rsidRPr="006651E2">
        <w:t>1.</w:t>
      </w:r>
      <w:r w:rsidRPr="006651E2">
        <w:tab/>
        <w:t>schvaluje postoj Rady v prvním čtení;</w:t>
      </w:r>
    </w:p>
    <w:p w14:paraId="0EB3D256" w14:textId="77777777" w:rsidR="000908E7" w:rsidRPr="006651E2" w:rsidRDefault="000908E7" w:rsidP="000908E7">
      <w:pPr>
        <w:pStyle w:val="NormalHanging12a"/>
      </w:pPr>
      <w:r w:rsidRPr="006651E2">
        <w:lastRenderedPageBreak/>
        <w:t>2.</w:t>
      </w:r>
      <w:r w:rsidRPr="006651E2">
        <w:tab/>
        <w:t>konstatuje, že akt je přijat v souladu s postojem Rady;</w:t>
      </w:r>
    </w:p>
    <w:p w14:paraId="2398D88E" w14:textId="77777777" w:rsidR="000908E7" w:rsidRPr="006651E2" w:rsidRDefault="000908E7" w:rsidP="000908E7">
      <w:pPr>
        <w:pStyle w:val="NormalHanging12a"/>
      </w:pPr>
      <w:r w:rsidRPr="006651E2">
        <w:t>3.</w:t>
      </w:r>
      <w:r w:rsidRPr="006651E2">
        <w:tab/>
        <w:t>pověřuje svou předsedkyni, aby společně s předsedou Rady podepsala akt podle čl. 297 odst. 1 Smlouvy o fungování Evropské unie;</w:t>
      </w:r>
    </w:p>
    <w:p w14:paraId="39B8729D" w14:textId="77777777" w:rsidR="000908E7" w:rsidRPr="006651E2" w:rsidRDefault="000908E7" w:rsidP="000908E7">
      <w:pPr>
        <w:pStyle w:val="NormalHanging12a"/>
      </w:pPr>
      <w:r w:rsidRPr="006651E2">
        <w:t>4.</w:t>
      </w:r>
      <w:r w:rsidRPr="006651E2">
        <w:tab/>
        <w:t xml:space="preserve">pověřuje svého generálního tajemníka, aby akt podepsal poté, co </w:t>
      </w:r>
      <w:proofErr w:type="gramStart"/>
      <w:r w:rsidRPr="006651E2">
        <w:t>ověří</w:t>
      </w:r>
      <w:proofErr w:type="gramEnd"/>
      <w:r w:rsidRPr="006651E2">
        <w:t>, že všechny postupy byly řádně ukončeny, a aby společně s generálním tajemníkem Rady zajistil jeho zveřejnění v </w:t>
      </w:r>
      <w:r w:rsidRPr="006651E2">
        <w:rPr>
          <w:i/>
        </w:rPr>
        <w:t>Úředním věstníku Evropské unie</w:t>
      </w:r>
      <w:r w:rsidRPr="006651E2">
        <w:t>;</w:t>
      </w:r>
    </w:p>
    <w:p w14:paraId="7411BF42" w14:textId="2C1998A4" w:rsidR="006651E2" w:rsidRPr="006651E2" w:rsidRDefault="000908E7" w:rsidP="006651E2">
      <w:pPr>
        <w:pStyle w:val="NormalHanging12a"/>
      </w:pPr>
      <w:r w:rsidRPr="006651E2">
        <w:t>5.</w:t>
      </w:r>
      <w:r w:rsidRPr="006651E2">
        <w:tab/>
        <w:t>pověřuje svou předsedkyni, aby předala postoj Parlamentu Radě a Komisi, jakož i vnitrostátním parlamentům.</w:t>
      </w:r>
    </w:p>
    <w:p w14:paraId="59A1F1B5" w14:textId="251C7DAE" w:rsidR="00E365E1" w:rsidRPr="006651E2" w:rsidRDefault="00E365E1" w:rsidP="00BC7F3C"/>
    <w:sectPr w:rsidR="00E365E1" w:rsidRPr="006651E2" w:rsidSect="006651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7186E" w14:textId="77777777" w:rsidR="00BC7F3C" w:rsidRPr="006651E2" w:rsidRDefault="00BC7F3C">
      <w:r w:rsidRPr="006651E2">
        <w:separator/>
      </w:r>
    </w:p>
  </w:endnote>
  <w:endnote w:type="continuationSeparator" w:id="0">
    <w:p w14:paraId="2B7755B6" w14:textId="77777777" w:rsidR="00BC7F3C" w:rsidRPr="006651E2" w:rsidRDefault="00BC7F3C">
      <w:r w:rsidRPr="006651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7754A" w14:textId="77777777" w:rsidR="00064002" w:rsidRPr="006651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D7BE3" w14:textId="77777777" w:rsidR="00064002" w:rsidRPr="006651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3FF2C" w14:textId="77777777" w:rsidR="00064002" w:rsidRPr="006651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7513D" w14:textId="77777777" w:rsidR="00BC7F3C" w:rsidRPr="006651E2" w:rsidRDefault="00BC7F3C">
      <w:r w:rsidRPr="006651E2">
        <w:separator/>
      </w:r>
    </w:p>
  </w:footnote>
  <w:footnote w:type="continuationSeparator" w:id="0">
    <w:p w14:paraId="7626842E" w14:textId="77777777" w:rsidR="00BC7F3C" w:rsidRPr="006651E2" w:rsidRDefault="00BC7F3C">
      <w:r w:rsidRPr="006651E2">
        <w:continuationSeparator/>
      </w:r>
    </w:p>
  </w:footnote>
  <w:footnote w:id="1">
    <w:p w14:paraId="3873826B" w14:textId="0413D184" w:rsidR="000908E7" w:rsidRPr="006651E2" w:rsidRDefault="000908E7" w:rsidP="006651E2">
      <w:pPr>
        <w:pStyle w:val="FootnoteText"/>
        <w:ind w:left="567" w:hanging="567"/>
        <w:rPr>
          <w:sz w:val="24"/>
          <w:lang w:val="cs-CZ"/>
        </w:rPr>
      </w:pPr>
      <w:r w:rsidRPr="006651E2">
        <w:rPr>
          <w:rStyle w:val="FootnoteReference"/>
          <w:sz w:val="24"/>
          <w:lang w:val="cs-CZ"/>
        </w:rPr>
        <w:footnoteRef/>
      </w:r>
      <w:r w:rsidR="006651E2" w:rsidRPr="006651E2">
        <w:rPr>
          <w:sz w:val="24"/>
          <w:lang w:val="cs-CZ"/>
        </w:rPr>
        <w:t xml:space="preserve"> </w:t>
      </w:r>
      <w:r w:rsidR="006651E2" w:rsidRPr="006651E2">
        <w:rPr>
          <w:sz w:val="24"/>
          <w:lang w:val="cs-CZ"/>
        </w:rPr>
        <w:tab/>
      </w:r>
      <w:proofErr w:type="spellStart"/>
      <w:r w:rsidRPr="006651E2">
        <w:rPr>
          <w:sz w:val="24"/>
          <w:lang w:val="cs-CZ"/>
        </w:rPr>
        <w:t>Úř</w:t>
      </w:r>
      <w:proofErr w:type="spellEnd"/>
      <w:r w:rsidRPr="006651E2">
        <w:rPr>
          <w:sz w:val="24"/>
          <w:lang w:val="cs-CZ"/>
        </w:rPr>
        <w:t xml:space="preserve">. </w:t>
      </w:r>
      <w:proofErr w:type="spellStart"/>
      <w:r w:rsidRPr="006651E2">
        <w:rPr>
          <w:sz w:val="24"/>
          <w:lang w:val="cs-CZ"/>
        </w:rPr>
        <w:t>věst</w:t>
      </w:r>
      <w:proofErr w:type="spellEnd"/>
      <w:r w:rsidRPr="006651E2">
        <w:rPr>
          <w:sz w:val="24"/>
          <w:lang w:val="cs-CZ"/>
        </w:rPr>
        <w:t>. C 293, 18.8.2023, s. 133.</w:t>
      </w:r>
    </w:p>
  </w:footnote>
  <w:footnote w:id="2">
    <w:p w14:paraId="425F1345" w14:textId="4BFC7424" w:rsidR="000908E7" w:rsidRPr="006651E2" w:rsidRDefault="000908E7" w:rsidP="006651E2">
      <w:pPr>
        <w:pStyle w:val="FootnoteText"/>
        <w:ind w:left="567" w:hanging="567"/>
        <w:rPr>
          <w:sz w:val="24"/>
          <w:lang w:val="cs-CZ"/>
        </w:rPr>
      </w:pPr>
      <w:r w:rsidRPr="006651E2">
        <w:rPr>
          <w:rStyle w:val="FootnoteReference"/>
          <w:sz w:val="24"/>
          <w:lang w:val="cs-CZ"/>
        </w:rPr>
        <w:footnoteRef/>
      </w:r>
      <w:r w:rsidR="006651E2" w:rsidRPr="006651E2">
        <w:rPr>
          <w:sz w:val="24"/>
          <w:lang w:val="cs-CZ"/>
        </w:rPr>
        <w:t xml:space="preserve"> </w:t>
      </w:r>
      <w:r w:rsidR="006651E2" w:rsidRPr="006651E2">
        <w:rPr>
          <w:sz w:val="24"/>
          <w:lang w:val="cs-CZ"/>
        </w:rPr>
        <w:tab/>
      </w:r>
      <w:proofErr w:type="spellStart"/>
      <w:r w:rsidRPr="006651E2">
        <w:rPr>
          <w:sz w:val="24"/>
          <w:lang w:val="cs-CZ"/>
        </w:rPr>
        <w:t>Úř</w:t>
      </w:r>
      <w:proofErr w:type="spellEnd"/>
      <w:r w:rsidRPr="006651E2">
        <w:rPr>
          <w:sz w:val="24"/>
          <w:lang w:val="cs-CZ"/>
        </w:rPr>
        <w:t xml:space="preserve">. </w:t>
      </w:r>
      <w:proofErr w:type="spellStart"/>
      <w:r w:rsidRPr="006651E2">
        <w:rPr>
          <w:sz w:val="24"/>
          <w:lang w:val="cs-CZ"/>
        </w:rPr>
        <w:t>věst</w:t>
      </w:r>
      <w:proofErr w:type="spellEnd"/>
      <w:r w:rsidRPr="006651E2">
        <w:rPr>
          <w:sz w:val="24"/>
          <w:lang w:val="cs-CZ"/>
        </w:rPr>
        <w:t xml:space="preserve">. </w:t>
      </w:r>
      <w:r w:rsidR="00A84425">
        <w:rPr>
          <w:sz w:val="24"/>
          <w:lang w:val="cs-CZ"/>
        </w:rPr>
        <w:t xml:space="preserve">C, </w:t>
      </w:r>
      <w:r w:rsidRPr="006651E2">
        <w:rPr>
          <w:sz w:val="24"/>
          <w:lang w:val="cs-CZ"/>
        </w:rPr>
        <w:t xml:space="preserve">C/2024/6348, 7.11.2024, ELI: </w:t>
      </w:r>
      <w:hyperlink r:id="rId1" w:history="1">
        <w:r w:rsidRPr="006651E2">
          <w:rPr>
            <w:rStyle w:val="Hyperlink"/>
            <w:sz w:val="24"/>
            <w:lang w:val="cs-CZ"/>
          </w:rPr>
          <w:t>https://eur-lex.europa.eu/eli/C/2024/6348/oj</w:t>
        </w:r>
      </w:hyperlink>
      <w:r w:rsidRPr="006651E2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32953" w14:textId="77777777" w:rsidR="00064002" w:rsidRPr="006651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E1760" w14:textId="77777777" w:rsidR="00064002" w:rsidRPr="006651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C45EE" w14:textId="77777777" w:rsidR="00064002" w:rsidRPr="006651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5526410">
    <w:abstractNumId w:val="9"/>
  </w:num>
  <w:num w:numId="2" w16cid:durableId="1413887569">
    <w:abstractNumId w:val="9"/>
  </w:num>
  <w:num w:numId="3" w16cid:durableId="1973250798">
    <w:abstractNumId w:val="7"/>
  </w:num>
  <w:num w:numId="4" w16cid:durableId="546726775">
    <w:abstractNumId w:val="7"/>
  </w:num>
  <w:num w:numId="5" w16cid:durableId="651715971">
    <w:abstractNumId w:val="6"/>
  </w:num>
  <w:num w:numId="6" w16cid:durableId="288319668">
    <w:abstractNumId w:val="6"/>
  </w:num>
  <w:num w:numId="7" w16cid:durableId="1170028156">
    <w:abstractNumId w:val="5"/>
  </w:num>
  <w:num w:numId="8" w16cid:durableId="866991324">
    <w:abstractNumId w:val="5"/>
  </w:num>
  <w:num w:numId="9" w16cid:durableId="1164392664">
    <w:abstractNumId w:val="4"/>
  </w:num>
  <w:num w:numId="10" w16cid:durableId="1696300468">
    <w:abstractNumId w:val="4"/>
  </w:num>
  <w:num w:numId="11" w16cid:durableId="775446804">
    <w:abstractNumId w:val="8"/>
  </w:num>
  <w:num w:numId="12" w16cid:durableId="726956059">
    <w:abstractNumId w:val="8"/>
  </w:num>
  <w:num w:numId="13" w16cid:durableId="292642775">
    <w:abstractNumId w:val="3"/>
  </w:num>
  <w:num w:numId="14" w16cid:durableId="141850005">
    <w:abstractNumId w:val="3"/>
  </w:num>
  <w:num w:numId="15" w16cid:durableId="500582495">
    <w:abstractNumId w:val="2"/>
  </w:num>
  <w:num w:numId="16" w16cid:durableId="549732535">
    <w:abstractNumId w:val="2"/>
  </w:num>
  <w:num w:numId="17" w16cid:durableId="1151795705">
    <w:abstractNumId w:val="1"/>
  </w:num>
  <w:num w:numId="18" w16cid:durableId="1140224434">
    <w:abstractNumId w:val="1"/>
  </w:num>
  <w:num w:numId="19" w16cid:durableId="559363460">
    <w:abstractNumId w:val="0"/>
  </w:num>
  <w:num w:numId="20" w16cid:durableId="1579289555">
    <w:abstractNumId w:val="0"/>
  </w:num>
  <w:num w:numId="21" w16cid:durableId="573009651">
    <w:abstractNumId w:val="9"/>
  </w:num>
  <w:num w:numId="22" w16cid:durableId="1219590396">
    <w:abstractNumId w:val="7"/>
  </w:num>
  <w:num w:numId="23" w16cid:durableId="348606736">
    <w:abstractNumId w:val="6"/>
  </w:num>
  <w:num w:numId="24" w16cid:durableId="587159878">
    <w:abstractNumId w:val="5"/>
  </w:num>
  <w:num w:numId="25" w16cid:durableId="1072969658">
    <w:abstractNumId w:val="4"/>
  </w:num>
  <w:num w:numId="26" w16cid:durableId="77337711">
    <w:abstractNumId w:val="8"/>
  </w:num>
  <w:num w:numId="27" w16cid:durableId="1722905132">
    <w:abstractNumId w:val="3"/>
  </w:num>
  <w:num w:numId="28" w16cid:durableId="1790778690">
    <w:abstractNumId w:val="2"/>
  </w:num>
  <w:num w:numId="29" w16cid:durableId="172956778">
    <w:abstractNumId w:val="1"/>
  </w:num>
  <w:num w:numId="30" w16cid:durableId="1330720151">
    <w:abstractNumId w:val="0"/>
  </w:num>
  <w:num w:numId="31" w16cid:durableId="2012295748">
    <w:abstractNumId w:val="9"/>
  </w:num>
  <w:num w:numId="32" w16cid:durableId="501627231">
    <w:abstractNumId w:val="7"/>
  </w:num>
  <w:num w:numId="33" w16cid:durableId="1986468200">
    <w:abstractNumId w:val="6"/>
  </w:num>
  <w:num w:numId="34" w16cid:durableId="1053502810">
    <w:abstractNumId w:val="5"/>
  </w:num>
  <w:num w:numId="35" w16cid:durableId="831602576">
    <w:abstractNumId w:val="4"/>
  </w:num>
  <w:num w:numId="36" w16cid:durableId="2063016625">
    <w:abstractNumId w:val="8"/>
  </w:num>
  <w:num w:numId="37" w16cid:durableId="2140604421">
    <w:abstractNumId w:val="3"/>
  </w:num>
  <w:num w:numId="38" w16cid:durableId="1868567371">
    <w:abstractNumId w:val="2"/>
  </w:num>
  <w:num w:numId="39" w16cid:durableId="161704366">
    <w:abstractNumId w:val="1"/>
  </w:num>
  <w:num w:numId="40" w16cid:durableId="200823291">
    <w:abstractNumId w:val="0"/>
  </w:num>
  <w:num w:numId="41" w16cid:durableId="102965205">
    <w:abstractNumId w:val="10"/>
  </w:num>
  <w:num w:numId="42" w16cid:durableId="1779063597">
    <w:abstractNumId w:val="10"/>
  </w:num>
  <w:num w:numId="43" w16cid:durableId="484668098">
    <w:abstractNumId w:val="10"/>
  </w:num>
  <w:num w:numId="44" w16cid:durableId="1607083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CS"/>
    <w:docVar w:name="dvnumam" w:val="0"/>
    <w:docVar w:name="dvpe" w:val="778.059"/>
    <w:docVar w:name="dvrapporteur" w:val="Zpravodaj: "/>
    <w:docVar w:name="dvstar" w:val="***II"/>
    <w:docVar w:name="dvtitre" w:val="Legislativní usnesení Evropského parlamentu ze dne.... 2025 k postoji Rady v prvním čtení k přijetí směrnice Evropského parlamentu a Rady, kterou se mění směrnice (EU) 2025/..., pokud jde o některé zákazy řízení(08351/1/2025 – C10-0231/2025 – 2023/0055(COD))"/>
  </w:docVars>
  <w:rsids>
    <w:rsidRoot w:val="00BC7F3C"/>
    <w:rsid w:val="00002272"/>
    <w:rsid w:val="00064002"/>
    <w:rsid w:val="000677B9"/>
    <w:rsid w:val="000831BA"/>
    <w:rsid w:val="000908E7"/>
    <w:rsid w:val="000A42CC"/>
    <w:rsid w:val="000E7DD9"/>
    <w:rsid w:val="0010095E"/>
    <w:rsid w:val="00125B37"/>
    <w:rsid w:val="00187494"/>
    <w:rsid w:val="001F32AE"/>
    <w:rsid w:val="001F5B3E"/>
    <w:rsid w:val="002767FF"/>
    <w:rsid w:val="00287A34"/>
    <w:rsid w:val="002B18FE"/>
    <w:rsid w:val="002B5493"/>
    <w:rsid w:val="00311FA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E18"/>
    <w:rsid w:val="005C2568"/>
    <w:rsid w:val="005F15C7"/>
    <w:rsid w:val="005F1B17"/>
    <w:rsid w:val="005F6AD7"/>
    <w:rsid w:val="006037C0"/>
    <w:rsid w:val="006631B6"/>
    <w:rsid w:val="006651E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D46"/>
    <w:rsid w:val="00A43E52"/>
    <w:rsid w:val="00A4678D"/>
    <w:rsid w:val="00A778C7"/>
    <w:rsid w:val="00A84425"/>
    <w:rsid w:val="00AB441E"/>
    <w:rsid w:val="00AB6293"/>
    <w:rsid w:val="00AE0928"/>
    <w:rsid w:val="00AF3B82"/>
    <w:rsid w:val="00B03EB5"/>
    <w:rsid w:val="00B12E95"/>
    <w:rsid w:val="00B22876"/>
    <w:rsid w:val="00B558F0"/>
    <w:rsid w:val="00BC7F3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AF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F7C387"/>
  <w15:chartTrackingRefBased/>
  <w15:docId w15:val="{EB9FB644-5952-4D16-93F9-F265249D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08E7"/>
    <w:pPr>
      <w:spacing w:before="480" w:after="240"/>
    </w:pPr>
  </w:style>
  <w:style w:type="paragraph" w:customStyle="1" w:styleId="NormalBold">
    <w:name w:val="NormalBold"/>
    <w:basedOn w:val="Normal"/>
    <w:rsid w:val="000908E7"/>
    <w:rPr>
      <w:b/>
    </w:rPr>
  </w:style>
  <w:style w:type="paragraph" w:customStyle="1" w:styleId="NormalHanging12a">
    <w:name w:val="NormalHanging12a"/>
    <w:basedOn w:val="Normal"/>
    <w:rsid w:val="000908E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908E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F6AD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2026-01-06T08:59:00Z</dcterms:created>
  <dcterms:modified xsi:type="dcterms:W3CDTF">2026-01-06T08:59:00Z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