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5A32" w14:paraId="73CADE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214C6D" w14:textId="77777777" w:rsidR="00751A4A" w:rsidRPr="00BA5A32" w:rsidRDefault="005E2659" w:rsidP="0010095E">
            <w:pPr>
              <w:pStyle w:val="EPName"/>
            </w:pPr>
            <w:r w:rsidRPr="00BA5A32">
              <w:t>Evropski parlament</w:t>
            </w:r>
          </w:p>
          <w:p w14:paraId="127DB94F" w14:textId="77777777" w:rsidR="00751A4A" w:rsidRPr="00BA5A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5A32">
              <w:t>2024</w:t>
            </w:r>
            <w:r w:rsidR="00817416" w:rsidRPr="00BA5A32">
              <w:t>-202</w:t>
            </w:r>
            <w:r w:rsidRPr="00BA5A32">
              <w:t>9</w:t>
            </w:r>
          </w:p>
        </w:tc>
        <w:tc>
          <w:tcPr>
            <w:tcW w:w="2268" w:type="dxa"/>
            <w:shd w:val="clear" w:color="auto" w:fill="auto"/>
          </w:tcPr>
          <w:p w14:paraId="7C3AB8A7" w14:textId="77777777" w:rsidR="00751A4A" w:rsidRPr="00BA5A32" w:rsidRDefault="00187494" w:rsidP="0010095E">
            <w:pPr>
              <w:pStyle w:val="EPLogo"/>
            </w:pPr>
            <w:r w:rsidRPr="00BA5A32">
              <w:rPr>
                <w:noProof/>
                <w:lang w:eastAsia="ja-JP"/>
              </w:rPr>
              <w:drawing>
                <wp:inline distT="0" distB="0" distL="0" distR="0" wp14:anchorId="22D48669" wp14:editId="4E3521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BDE3CB" w14:textId="77777777" w:rsidR="00D058B8" w:rsidRPr="00BA5A32" w:rsidRDefault="00D058B8" w:rsidP="004C5D52">
      <w:pPr>
        <w:pStyle w:val="LineTop"/>
      </w:pPr>
    </w:p>
    <w:p w14:paraId="37D8BDC9" w14:textId="77777777" w:rsidR="00680577" w:rsidRPr="00BA5A32" w:rsidRDefault="005E2659" w:rsidP="00680577">
      <w:pPr>
        <w:pStyle w:val="EPBodyTA1"/>
      </w:pPr>
      <w:r w:rsidRPr="00BA5A32">
        <w:t>SPREJETA BESEDILA</w:t>
      </w:r>
    </w:p>
    <w:p w14:paraId="10F59619" w14:textId="77777777" w:rsidR="00D058B8" w:rsidRPr="00BA5A32" w:rsidRDefault="00D058B8" w:rsidP="00D058B8">
      <w:pPr>
        <w:pStyle w:val="LineBottom"/>
      </w:pPr>
    </w:p>
    <w:p w14:paraId="388BFAE6" w14:textId="0242E9B1" w:rsidR="005E2659" w:rsidRPr="00BA5A32" w:rsidRDefault="005E2659" w:rsidP="005E2659">
      <w:pPr>
        <w:pStyle w:val="ATHeading1"/>
      </w:pPr>
      <w:bookmarkStart w:id="0" w:name="TANumber"/>
      <w:r w:rsidRPr="00BA5A32">
        <w:t>P10_TA(2025)0</w:t>
      </w:r>
      <w:r w:rsidR="00F31B12" w:rsidRPr="00BA5A32">
        <w:t>233</w:t>
      </w:r>
      <w:bookmarkEnd w:id="0"/>
    </w:p>
    <w:p w14:paraId="6D251DC6" w14:textId="77777777" w:rsidR="005E2659" w:rsidRPr="00BA5A32" w:rsidRDefault="005E2659" w:rsidP="005E2659">
      <w:pPr>
        <w:pStyle w:val="ATHeading2"/>
      </w:pPr>
      <w:bookmarkStart w:id="1" w:name="title"/>
      <w:r w:rsidRPr="00BA5A32">
        <w:t>Učinek določenih prepovedi vožnje po vsej Uniji</w:t>
      </w:r>
      <w:bookmarkEnd w:id="1"/>
    </w:p>
    <w:p w14:paraId="43F41510" w14:textId="77777777" w:rsidR="005E2659" w:rsidRPr="00BA5A32" w:rsidRDefault="005E2659" w:rsidP="005E2659">
      <w:pPr>
        <w:rPr>
          <w:i/>
          <w:vanish/>
        </w:rPr>
      </w:pPr>
      <w:r w:rsidRPr="00BA5A32">
        <w:rPr>
          <w:i/>
        </w:rPr>
        <w:fldChar w:fldCharType="begin"/>
      </w:r>
      <w:r w:rsidRPr="00BA5A32">
        <w:rPr>
          <w:i/>
        </w:rPr>
        <w:instrText xml:space="preserve"> TC"(</w:instrText>
      </w:r>
      <w:bookmarkStart w:id="2" w:name="DocNumber"/>
      <w:r w:rsidRPr="00BA5A32">
        <w:rPr>
          <w:i/>
        </w:rPr>
        <w:instrText>A10-0193/2025</w:instrText>
      </w:r>
      <w:bookmarkEnd w:id="2"/>
      <w:r w:rsidRPr="00BA5A32">
        <w:rPr>
          <w:i/>
        </w:rPr>
        <w:instrText xml:space="preserve"> - Poročevalec: </w:instrText>
      </w:r>
      <w:proofErr w:type="spellStart"/>
      <w:r w:rsidRPr="00BA5A32">
        <w:rPr>
          <w:i/>
        </w:rPr>
        <w:instrText>Matteo</w:instrText>
      </w:r>
      <w:proofErr w:type="spellEnd"/>
      <w:r w:rsidRPr="00BA5A32">
        <w:rPr>
          <w:i/>
        </w:rPr>
        <w:instrText xml:space="preserve"> </w:instrText>
      </w:r>
      <w:proofErr w:type="spellStart"/>
      <w:r w:rsidRPr="00BA5A32">
        <w:rPr>
          <w:i/>
        </w:rPr>
        <w:instrText>Ricci</w:instrText>
      </w:r>
      <w:proofErr w:type="spellEnd"/>
      <w:r w:rsidRPr="00BA5A32">
        <w:rPr>
          <w:i/>
        </w:rPr>
        <w:instrText xml:space="preserve">)"\l3 \n&gt; \* MERGEFORMAT </w:instrText>
      </w:r>
      <w:r w:rsidRPr="00BA5A32">
        <w:rPr>
          <w:i/>
        </w:rPr>
        <w:fldChar w:fldCharType="end"/>
      </w:r>
    </w:p>
    <w:p w14:paraId="05D8E274" w14:textId="77777777" w:rsidR="005E2659" w:rsidRPr="00BA5A32" w:rsidRDefault="005E2659" w:rsidP="005E2659">
      <w:pPr>
        <w:rPr>
          <w:vanish/>
        </w:rPr>
      </w:pPr>
      <w:bookmarkStart w:id="3" w:name="Commission"/>
      <w:r w:rsidRPr="00BA5A32">
        <w:rPr>
          <w:vanish/>
        </w:rPr>
        <w:t>Odbor za promet in turizem</w:t>
      </w:r>
      <w:bookmarkEnd w:id="3"/>
    </w:p>
    <w:p w14:paraId="6C74353C" w14:textId="77777777" w:rsidR="005E2659" w:rsidRPr="00BA5A32" w:rsidRDefault="005E2659" w:rsidP="005E2659">
      <w:pPr>
        <w:rPr>
          <w:vanish/>
        </w:rPr>
      </w:pPr>
      <w:bookmarkStart w:id="4" w:name="PE"/>
      <w:r w:rsidRPr="00BA5A32">
        <w:rPr>
          <w:vanish/>
        </w:rPr>
        <w:t>PE778.059</w:t>
      </w:r>
      <w:bookmarkEnd w:id="4"/>
    </w:p>
    <w:p w14:paraId="412B285F" w14:textId="738F1304" w:rsidR="005E2659" w:rsidRPr="00BA5A32" w:rsidRDefault="005E2659" w:rsidP="005E2659">
      <w:pPr>
        <w:pStyle w:val="ATHeading3"/>
      </w:pPr>
      <w:bookmarkStart w:id="5" w:name="Sujet"/>
      <w:r w:rsidRPr="00BA5A32">
        <w:t xml:space="preserve">Zakonodajna resolucija Evropskega parlamenta z dne 21. oktobra 2025 o stališču Sveta v prvi obravnavi z namenom sprejetja direktive Evropskega parlamenta in Sveta o spremembi Direktive (EU) 2025/... glede določenih prepovedi vožnje </w:t>
      </w:r>
      <w:bookmarkStart w:id="6" w:name="References"/>
      <w:bookmarkEnd w:id="5"/>
      <w:r w:rsidRPr="00BA5A32">
        <w:t>(08351/1/2025 – C10</w:t>
      </w:r>
      <w:r w:rsidR="007F0F80">
        <w:t>-</w:t>
      </w:r>
      <w:r w:rsidRPr="00BA5A32">
        <w:t>0231/2025 – 2023/0055(COD))</w:t>
      </w:r>
      <w:bookmarkEnd w:id="6"/>
    </w:p>
    <w:p w14:paraId="6E1AC3CE" w14:textId="77777777" w:rsidR="00806D4D" w:rsidRPr="00BA5A32" w:rsidRDefault="00806D4D" w:rsidP="00806D4D">
      <w:pPr>
        <w:pStyle w:val="NormalBold"/>
      </w:pPr>
      <w:r w:rsidRPr="00BA5A32">
        <w:t>(Redni zakonodajni postopek: druga obravnava)</w:t>
      </w:r>
    </w:p>
    <w:p w14:paraId="13D6997E" w14:textId="77777777" w:rsidR="00806D4D" w:rsidRPr="00BA5A32" w:rsidRDefault="00806D4D" w:rsidP="00806D4D">
      <w:pPr>
        <w:pStyle w:val="EPComma"/>
      </w:pPr>
      <w:r w:rsidRPr="00BA5A32">
        <w:rPr>
          <w:i/>
        </w:rPr>
        <w:t>Evropski parlament</w:t>
      </w:r>
      <w:r w:rsidRPr="00BA5A32">
        <w:t>,</w:t>
      </w:r>
    </w:p>
    <w:p w14:paraId="2ACB40BB" w14:textId="0087DD5A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ob upoštevanju stališča Sveta v prvi obravnavi (08351/1/2025 – C10</w:t>
      </w:r>
      <w:r w:rsidR="007F0F80">
        <w:t>-</w:t>
      </w:r>
      <w:r w:rsidRPr="00BA5A32">
        <w:t>0231/2025),</w:t>
      </w:r>
    </w:p>
    <w:p w14:paraId="527F0420" w14:textId="77777777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ob upoštevanju mnenja Evropskega ekonomsko-socialnega odbora z dne 14. junija 2023</w:t>
      </w:r>
      <w:r w:rsidRPr="00BA5A32">
        <w:rPr>
          <w:rStyle w:val="FootnoteReference"/>
        </w:rPr>
        <w:footnoteReference w:id="1"/>
      </w:r>
      <w:r w:rsidRPr="00BA5A32">
        <w:t>,</w:t>
      </w:r>
    </w:p>
    <w:p w14:paraId="6DCE1052" w14:textId="77777777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po posvetovanju z Odborom regij,</w:t>
      </w:r>
    </w:p>
    <w:p w14:paraId="15550BAF" w14:textId="77777777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ob upoštevanju svojega stališča v prvi obravnavi</w:t>
      </w:r>
      <w:r w:rsidRPr="00BA5A32">
        <w:rPr>
          <w:rStyle w:val="FootnoteReference"/>
        </w:rPr>
        <w:footnoteReference w:id="2"/>
      </w:r>
      <w:r w:rsidRPr="00BA5A32">
        <w:t xml:space="preserve"> o predlogu Komisije Evropskemu parlamentu in Svetu (COM(2023)0128),</w:t>
      </w:r>
    </w:p>
    <w:p w14:paraId="7AADEFA5" w14:textId="77777777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ob upoštevanju člena 294(7) Pogodbe o delovanju Evropske unije,</w:t>
      </w:r>
    </w:p>
    <w:p w14:paraId="7DCF7A2F" w14:textId="77777777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ob upoštevanju začasnega dogovora, ki ga je odobril pristojni odbor v skladu s členom 75(4) Poslovnika,</w:t>
      </w:r>
    </w:p>
    <w:p w14:paraId="1B8F56FC" w14:textId="77777777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ob upoštevanju člena 68 Poslovnika,</w:t>
      </w:r>
    </w:p>
    <w:p w14:paraId="6508C967" w14:textId="77777777" w:rsidR="00806D4D" w:rsidRPr="00BA5A32" w:rsidRDefault="00806D4D" w:rsidP="00806D4D">
      <w:pPr>
        <w:pStyle w:val="NormalHanging12a"/>
      </w:pPr>
      <w:r w:rsidRPr="00BA5A32">
        <w:t>–</w:t>
      </w:r>
      <w:r w:rsidRPr="00BA5A32">
        <w:tab/>
        <w:t>ob upoštevanju priporočila za drugo obravnavo Odbora za promet in turizem (A10</w:t>
      </w:r>
      <w:r w:rsidRPr="00BA5A32">
        <w:noBreakHyphen/>
        <w:t>0193/2025),</w:t>
      </w:r>
    </w:p>
    <w:p w14:paraId="1D2355AD" w14:textId="77777777" w:rsidR="00806D4D" w:rsidRPr="00BA5A32" w:rsidRDefault="00806D4D" w:rsidP="00806D4D">
      <w:pPr>
        <w:pStyle w:val="NormalHanging12a"/>
      </w:pPr>
      <w:r w:rsidRPr="00BA5A32">
        <w:t>1.</w:t>
      </w:r>
      <w:r w:rsidRPr="00BA5A32">
        <w:tab/>
        <w:t>odobri stališče Sveta v prvi obravnavi;</w:t>
      </w:r>
    </w:p>
    <w:p w14:paraId="6F9A9ED8" w14:textId="77777777" w:rsidR="00806D4D" w:rsidRPr="00BA5A32" w:rsidRDefault="00806D4D" w:rsidP="00806D4D">
      <w:pPr>
        <w:pStyle w:val="NormalHanging12a"/>
      </w:pPr>
      <w:r w:rsidRPr="00BA5A32">
        <w:t>2.</w:t>
      </w:r>
      <w:r w:rsidRPr="00BA5A32">
        <w:tab/>
        <w:t>ugotavlja, da je akt sprejet v skladu s stališčem Sveta;</w:t>
      </w:r>
    </w:p>
    <w:p w14:paraId="19CCABDF" w14:textId="736FC8AE" w:rsidR="00806D4D" w:rsidRPr="00BA5A32" w:rsidRDefault="00806D4D" w:rsidP="00806D4D">
      <w:pPr>
        <w:pStyle w:val="NormalHanging12a"/>
      </w:pPr>
      <w:r w:rsidRPr="00BA5A32">
        <w:lastRenderedPageBreak/>
        <w:t>3.</w:t>
      </w:r>
      <w:r w:rsidRPr="00BA5A32">
        <w:tab/>
        <w:t xml:space="preserve">naroči svoji predsednici, naj skupaj s predsednikom Sveta podpiše akt </w:t>
      </w:r>
      <w:r w:rsidR="00FB480E" w:rsidRPr="00BA5A32">
        <w:t>v skladu s</w:t>
      </w:r>
      <w:r w:rsidRPr="00BA5A32">
        <w:t xml:space="preserve"> člen</w:t>
      </w:r>
      <w:r w:rsidR="00FB480E" w:rsidRPr="00BA5A32">
        <w:t>om</w:t>
      </w:r>
      <w:r w:rsidRPr="00BA5A32">
        <w:t xml:space="preserve"> 297(1) Pogodbe o delovanju Evropske unije;</w:t>
      </w:r>
    </w:p>
    <w:p w14:paraId="5BEA56F6" w14:textId="77777777" w:rsidR="00806D4D" w:rsidRPr="00BA5A32" w:rsidRDefault="00806D4D" w:rsidP="00806D4D">
      <w:pPr>
        <w:pStyle w:val="NormalHanging12a"/>
      </w:pPr>
      <w:r w:rsidRPr="00BA5A32">
        <w:t>4.</w:t>
      </w:r>
      <w:r w:rsidRPr="00BA5A32">
        <w:tab/>
        <w:t xml:space="preserve">naroči svojemu generalnemu sekretarju, naj, potem ko je bilo preverjeno, da so bili vsi postopki pravilno zaključeni, podpiše akt in ga v soglasju z generalnim sekretarjem Sveta da objaviti v </w:t>
      </w:r>
      <w:r w:rsidRPr="00BA5A32">
        <w:rPr>
          <w:i/>
        </w:rPr>
        <w:t>Uradnem listu Evropske unije</w:t>
      </w:r>
      <w:r w:rsidRPr="00BA5A32">
        <w:t>;</w:t>
      </w:r>
    </w:p>
    <w:p w14:paraId="5C7D4341" w14:textId="2475FB50" w:rsidR="00E365E1" w:rsidRPr="00BA5A32" w:rsidRDefault="00806D4D" w:rsidP="006359DD">
      <w:pPr>
        <w:pStyle w:val="NormalHanging12a"/>
      </w:pPr>
      <w:r w:rsidRPr="00BA5A32">
        <w:t>5.</w:t>
      </w:r>
      <w:r w:rsidRPr="00BA5A32">
        <w:tab/>
        <w:t>naroči svoji predsednici, naj stališče Parlamenta posreduje Svetu</w:t>
      </w:r>
      <w:r w:rsidR="00F4387B" w:rsidRPr="00BA5A32">
        <w:t>,</w:t>
      </w:r>
      <w:r w:rsidRPr="00BA5A32">
        <w:t xml:space="preserve"> Komisiji </w:t>
      </w:r>
      <w:r w:rsidR="00F4387B" w:rsidRPr="00BA5A32">
        <w:t>in</w:t>
      </w:r>
      <w:r w:rsidRPr="00BA5A32">
        <w:t xml:space="preserve"> nacionalnim parlamentom.</w:t>
      </w:r>
    </w:p>
    <w:sectPr w:rsidR="00E365E1" w:rsidRPr="00BA5A32" w:rsidSect="00B758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A2503" w14:textId="77777777" w:rsidR="005E2659" w:rsidRPr="00B758AC" w:rsidRDefault="005E2659">
      <w:r w:rsidRPr="00B758AC">
        <w:separator/>
      </w:r>
    </w:p>
  </w:endnote>
  <w:endnote w:type="continuationSeparator" w:id="0">
    <w:p w14:paraId="3E458CB5" w14:textId="77777777" w:rsidR="005E2659" w:rsidRPr="00B758AC" w:rsidRDefault="005E2659">
      <w:r w:rsidRPr="00B758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AF7F" w14:textId="77777777" w:rsidR="00064002" w:rsidRPr="00B758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A9A6" w14:textId="77777777" w:rsidR="00064002" w:rsidRPr="00B758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59878" w14:textId="77777777" w:rsidR="00064002" w:rsidRPr="00B758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8F1B3" w14:textId="77777777" w:rsidR="005E2659" w:rsidRPr="00B758AC" w:rsidRDefault="005E2659">
      <w:r w:rsidRPr="00B758AC">
        <w:separator/>
      </w:r>
    </w:p>
  </w:footnote>
  <w:footnote w:type="continuationSeparator" w:id="0">
    <w:p w14:paraId="308ABBCD" w14:textId="77777777" w:rsidR="005E2659" w:rsidRPr="00B758AC" w:rsidRDefault="005E2659">
      <w:r w:rsidRPr="00B758AC">
        <w:continuationSeparator/>
      </w:r>
    </w:p>
  </w:footnote>
  <w:footnote w:id="1">
    <w:p w14:paraId="0D2B9BFC" w14:textId="3B9588E9" w:rsidR="00806D4D" w:rsidRPr="00B758AC" w:rsidRDefault="00806D4D" w:rsidP="00B758AC">
      <w:pPr>
        <w:pStyle w:val="FootnoteText"/>
        <w:ind w:left="567" w:hanging="567"/>
        <w:rPr>
          <w:sz w:val="24"/>
          <w:lang w:val="sl-SI"/>
        </w:rPr>
      </w:pPr>
      <w:r w:rsidRPr="00B758AC">
        <w:rPr>
          <w:rStyle w:val="FootnoteReference"/>
          <w:sz w:val="24"/>
          <w:lang w:val="sl-SI"/>
        </w:rPr>
        <w:footnoteRef/>
      </w:r>
      <w:r w:rsidR="00B758AC" w:rsidRPr="00B758AC">
        <w:rPr>
          <w:sz w:val="24"/>
          <w:lang w:val="sl-SI"/>
        </w:rPr>
        <w:t xml:space="preserve"> </w:t>
      </w:r>
      <w:r w:rsidR="00B758AC" w:rsidRPr="00B758AC">
        <w:rPr>
          <w:sz w:val="24"/>
          <w:lang w:val="sl-SI"/>
        </w:rPr>
        <w:tab/>
      </w:r>
      <w:r w:rsidRPr="00B758AC">
        <w:rPr>
          <w:sz w:val="24"/>
          <w:lang w:val="sl-SI"/>
        </w:rPr>
        <w:t>UL C 293, 18.8.2023, str. 133</w:t>
      </w:r>
      <w:r w:rsidR="00F4387B">
        <w:rPr>
          <w:sz w:val="24"/>
          <w:lang w:val="sl-SI"/>
        </w:rPr>
        <w:t>.</w:t>
      </w:r>
    </w:p>
  </w:footnote>
  <w:footnote w:id="2">
    <w:p w14:paraId="5D0BD635" w14:textId="77044DE1" w:rsidR="00806D4D" w:rsidRPr="00B758AC" w:rsidRDefault="00806D4D" w:rsidP="00B758AC">
      <w:pPr>
        <w:pStyle w:val="FootnoteText"/>
        <w:ind w:left="567" w:hanging="567"/>
        <w:rPr>
          <w:sz w:val="24"/>
          <w:lang w:val="sl-SI"/>
        </w:rPr>
      </w:pPr>
      <w:r w:rsidRPr="00B758AC">
        <w:rPr>
          <w:rStyle w:val="FootnoteReference"/>
          <w:sz w:val="24"/>
          <w:lang w:val="sl-SI"/>
        </w:rPr>
        <w:footnoteRef/>
      </w:r>
      <w:r w:rsidR="00B758AC" w:rsidRPr="00B758AC">
        <w:rPr>
          <w:sz w:val="24"/>
          <w:lang w:val="sl-SI"/>
        </w:rPr>
        <w:t xml:space="preserve"> </w:t>
      </w:r>
      <w:r w:rsidR="00B758AC" w:rsidRPr="00B758AC">
        <w:rPr>
          <w:sz w:val="24"/>
          <w:lang w:val="sl-SI"/>
        </w:rPr>
        <w:tab/>
      </w:r>
      <w:r w:rsidRPr="00B758AC">
        <w:rPr>
          <w:sz w:val="24"/>
          <w:lang w:val="sl-SI"/>
        </w:rPr>
        <w:t>UL C</w:t>
      </w:r>
      <w:r w:rsidR="00F4387B">
        <w:rPr>
          <w:sz w:val="24"/>
          <w:lang w:val="sl-SI"/>
        </w:rPr>
        <w:t>,</w:t>
      </w:r>
      <w:r w:rsidRPr="00B758AC">
        <w:rPr>
          <w:sz w:val="24"/>
          <w:lang w:val="sl-SI"/>
        </w:rPr>
        <w:t xml:space="preserve"> </w:t>
      </w:r>
      <w:r w:rsidR="00F4387B">
        <w:rPr>
          <w:sz w:val="24"/>
          <w:lang w:val="sl-SI"/>
        </w:rPr>
        <w:t>C</w:t>
      </w:r>
      <w:r w:rsidRPr="00B758AC">
        <w:rPr>
          <w:sz w:val="24"/>
          <w:lang w:val="sl-SI"/>
        </w:rPr>
        <w:t xml:space="preserve">/2024/6348, 7.11.2024, ELI: </w:t>
      </w:r>
      <w:hyperlink r:id="rId1" w:history="1">
        <w:r w:rsidRPr="00B758AC">
          <w:rPr>
            <w:rStyle w:val="Hyperlink"/>
            <w:sz w:val="24"/>
            <w:lang w:val="sl-SI"/>
          </w:rPr>
          <w:t>https://eur-lex.europa.eu/eli/C/2024/6348/oj</w:t>
        </w:r>
      </w:hyperlink>
      <w:r w:rsidRPr="00B758AC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EA60" w14:textId="77777777" w:rsidR="00064002" w:rsidRPr="00B758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CBFE6" w14:textId="77777777" w:rsidR="00064002" w:rsidRPr="00B758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FB8F1" w14:textId="77777777" w:rsidR="00064002" w:rsidRPr="00B758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1566888">
    <w:abstractNumId w:val="9"/>
  </w:num>
  <w:num w:numId="2" w16cid:durableId="705179572">
    <w:abstractNumId w:val="9"/>
  </w:num>
  <w:num w:numId="3" w16cid:durableId="313682211">
    <w:abstractNumId w:val="7"/>
  </w:num>
  <w:num w:numId="4" w16cid:durableId="1513491561">
    <w:abstractNumId w:val="7"/>
  </w:num>
  <w:num w:numId="5" w16cid:durableId="676734150">
    <w:abstractNumId w:val="6"/>
  </w:num>
  <w:num w:numId="6" w16cid:durableId="2060397208">
    <w:abstractNumId w:val="6"/>
  </w:num>
  <w:num w:numId="7" w16cid:durableId="452942374">
    <w:abstractNumId w:val="5"/>
  </w:num>
  <w:num w:numId="8" w16cid:durableId="1383869761">
    <w:abstractNumId w:val="5"/>
  </w:num>
  <w:num w:numId="9" w16cid:durableId="1525316939">
    <w:abstractNumId w:val="4"/>
  </w:num>
  <w:num w:numId="10" w16cid:durableId="801460195">
    <w:abstractNumId w:val="4"/>
  </w:num>
  <w:num w:numId="11" w16cid:durableId="2105028523">
    <w:abstractNumId w:val="8"/>
  </w:num>
  <w:num w:numId="12" w16cid:durableId="845632291">
    <w:abstractNumId w:val="8"/>
  </w:num>
  <w:num w:numId="13" w16cid:durableId="2092659890">
    <w:abstractNumId w:val="3"/>
  </w:num>
  <w:num w:numId="14" w16cid:durableId="491335536">
    <w:abstractNumId w:val="3"/>
  </w:num>
  <w:num w:numId="15" w16cid:durableId="900403249">
    <w:abstractNumId w:val="2"/>
  </w:num>
  <w:num w:numId="16" w16cid:durableId="175658600">
    <w:abstractNumId w:val="2"/>
  </w:num>
  <w:num w:numId="17" w16cid:durableId="92553411">
    <w:abstractNumId w:val="1"/>
  </w:num>
  <w:num w:numId="18" w16cid:durableId="1208566670">
    <w:abstractNumId w:val="1"/>
  </w:num>
  <w:num w:numId="19" w16cid:durableId="2005206706">
    <w:abstractNumId w:val="0"/>
  </w:num>
  <w:num w:numId="20" w16cid:durableId="1130200191">
    <w:abstractNumId w:val="0"/>
  </w:num>
  <w:num w:numId="21" w16cid:durableId="497694366">
    <w:abstractNumId w:val="9"/>
  </w:num>
  <w:num w:numId="22" w16cid:durableId="537935185">
    <w:abstractNumId w:val="7"/>
  </w:num>
  <w:num w:numId="23" w16cid:durableId="670840722">
    <w:abstractNumId w:val="6"/>
  </w:num>
  <w:num w:numId="24" w16cid:durableId="347951131">
    <w:abstractNumId w:val="5"/>
  </w:num>
  <w:num w:numId="25" w16cid:durableId="951668886">
    <w:abstractNumId w:val="4"/>
  </w:num>
  <w:num w:numId="26" w16cid:durableId="1480078855">
    <w:abstractNumId w:val="8"/>
  </w:num>
  <w:num w:numId="27" w16cid:durableId="170728651">
    <w:abstractNumId w:val="3"/>
  </w:num>
  <w:num w:numId="28" w16cid:durableId="375854322">
    <w:abstractNumId w:val="2"/>
  </w:num>
  <w:num w:numId="29" w16cid:durableId="199054693">
    <w:abstractNumId w:val="1"/>
  </w:num>
  <w:num w:numId="30" w16cid:durableId="157699690">
    <w:abstractNumId w:val="0"/>
  </w:num>
  <w:num w:numId="31" w16cid:durableId="1873224856">
    <w:abstractNumId w:val="9"/>
  </w:num>
  <w:num w:numId="32" w16cid:durableId="783160490">
    <w:abstractNumId w:val="7"/>
  </w:num>
  <w:num w:numId="33" w16cid:durableId="367529982">
    <w:abstractNumId w:val="6"/>
  </w:num>
  <w:num w:numId="34" w16cid:durableId="162474886">
    <w:abstractNumId w:val="5"/>
  </w:num>
  <w:num w:numId="35" w16cid:durableId="779682034">
    <w:abstractNumId w:val="4"/>
  </w:num>
  <w:num w:numId="36" w16cid:durableId="673263932">
    <w:abstractNumId w:val="8"/>
  </w:num>
  <w:num w:numId="37" w16cid:durableId="860388285">
    <w:abstractNumId w:val="3"/>
  </w:num>
  <w:num w:numId="38" w16cid:durableId="923150799">
    <w:abstractNumId w:val="2"/>
  </w:num>
  <w:num w:numId="39" w16cid:durableId="1502236593">
    <w:abstractNumId w:val="1"/>
  </w:num>
  <w:num w:numId="40" w16cid:durableId="407964763">
    <w:abstractNumId w:val="0"/>
  </w:num>
  <w:num w:numId="41" w16cid:durableId="1399405727">
    <w:abstractNumId w:val="10"/>
  </w:num>
  <w:num w:numId="42" w16cid:durableId="2141413700">
    <w:abstractNumId w:val="10"/>
  </w:num>
  <w:num w:numId="43" w16cid:durableId="1605501583">
    <w:abstractNumId w:val="10"/>
  </w:num>
  <w:num w:numId="44" w16cid:durableId="10888932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SL"/>
    <w:docVar w:name="dvnumam" w:val="0"/>
    <w:docVar w:name="dvpe" w:val="778.059"/>
    <w:docVar w:name="dvrapporteur" w:val="Poročevalec: "/>
    <w:docVar w:name="dvstar" w:val="***II"/>
    <w:docVar w:name="dvtitre" w:val="Zakonodajna resolucija Evropskega parlamenta z dne 21. oktobra 2025 o stališču Sveta v prvi obravnavi z namenom sprejetja direktive Evropskega parlamenta in Sveta o spremembi Direktive (EU) 2025/... glede določenih prepovedi vožnje (08351/1/2025 – C10-0231/2025 – 2023/0055(COD))"/>
  </w:docVars>
  <w:rsids>
    <w:rsidRoot w:val="005E26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9FD"/>
    <w:rsid w:val="005C2568"/>
    <w:rsid w:val="005E2659"/>
    <w:rsid w:val="005F1B17"/>
    <w:rsid w:val="006037C0"/>
    <w:rsid w:val="006359DD"/>
    <w:rsid w:val="006631B6"/>
    <w:rsid w:val="00680577"/>
    <w:rsid w:val="006F74FA"/>
    <w:rsid w:val="00731ADD"/>
    <w:rsid w:val="00734777"/>
    <w:rsid w:val="00742F21"/>
    <w:rsid w:val="00747932"/>
    <w:rsid w:val="00751A4A"/>
    <w:rsid w:val="00756632"/>
    <w:rsid w:val="00762C74"/>
    <w:rsid w:val="00786EC0"/>
    <w:rsid w:val="007D1690"/>
    <w:rsid w:val="007E22AD"/>
    <w:rsid w:val="007F0F80"/>
    <w:rsid w:val="00806D4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8AC"/>
    <w:rsid w:val="00BA5A3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A4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B12"/>
    <w:rsid w:val="00F4387B"/>
    <w:rsid w:val="00F5134D"/>
    <w:rsid w:val="00F74202"/>
    <w:rsid w:val="00F87713"/>
    <w:rsid w:val="00FB4360"/>
    <w:rsid w:val="00FB480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C7C7E"/>
  <w15:chartTrackingRefBased/>
  <w15:docId w15:val="{A526017F-6CE8-4F18-98CA-752FC5F4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6D4D"/>
    <w:pPr>
      <w:spacing w:before="480" w:after="240"/>
    </w:pPr>
  </w:style>
  <w:style w:type="paragraph" w:customStyle="1" w:styleId="NormalBold">
    <w:name w:val="NormalBold"/>
    <w:basedOn w:val="Normal"/>
    <w:rsid w:val="00806D4D"/>
    <w:rPr>
      <w:b/>
    </w:rPr>
  </w:style>
  <w:style w:type="paragraph" w:customStyle="1" w:styleId="NormalHanging12a">
    <w:name w:val="NormalHanging12a"/>
    <w:basedOn w:val="Normal"/>
    <w:rsid w:val="00806D4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06D4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4387B"/>
    <w:rPr>
      <w:sz w:val="24"/>
      <w:lang w:val="sl-SI"/>
    </w:rPr>
  </w:style>
  <w:style w:type="character" w:styleId="FollowedHyperlink">
    <w:name w:val="FollowedHyperlink"/>
    <w:basedOn w:val="DefaultParagraphFont"/>
    <w:rsid w:val="00F438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2025-10-21T08:54:00Z</dcterms:created>
  <dcterms:modified xsi:type="dcterms:W3CDTF">2025-10-21T08:54:00Z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