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1351" w14:paraId="6DF9CA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C33B6C" w14:textId="77777777" w:rsidR="00751A4A" w:rsidRPr="00F01351" w:rsidRDefault="00656557" w:rsidP="0010095E">
            <w:pPr>
              <w:pStyle w:val="EPName"/>
            </w:pPr>
            <w:r w:rsidRPr="00F01351">
              <w:t>Europski parlament</w:t>
            </w:r>
          </w:p>
          <w:p w14:paraId="51CB925F" w14:textId="77777777" w:rsidR="00751A4A" w:rsidRPr="00F013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1351">
              <w:t>2024</w:t>
            </w:r>
            <w:r w:rsidR="00817416" w:rsidRPr="00F01351">
              <w:t>-202</w:t>
            </w:r>
            <w:r w:rsidRPr="00F01351">
              <w:t>9</w:t>
            </w:r>
          </w:p>
        </w:tc>
        <w:tc>
          <w:tcPr>
            <w:tcW w:w="2268" w:type="dxa"/>
            <w:shd w:val="clear" w:color="auto" w:fill="auto"/>
          </w:tcPr>
          <w:p w14:paraId="09BB3556" w14:textId="77777777" w:rsidR="00751A4A" w:rsidRPr="00F01351" w:rsidRDefault="00187494" w:rsidP="0010095E">
            <w:pPr>
              <w:pStyle w:val="EPLogo"/>
            </w:pPr>
            <w:r w:rsidRPr="00F01351">
              <w:rPr>
                <w:noProof/>
                <w:lang w:eastAsia="ja-JP"/>
              </w:rPr>
              <w:drawing>
                <wp:inline distT="0" distB="0" distL="0" distR="0" wp14:anchorId="2D98A25E" wp14:editId="5399A8F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CD36ED" w14:textId="77777777" w:rsidR="00D058B8" w:rsidRPr="00F01351" w:rsidRDefault="00D058B8" w:rsidP="004C5D52">
      <w:pPr>
        <w:pStyle w:val="LineTop"/>
      </w:pPr>
    </w:p>
    <w:p w14:paraId="35C0E635" w14:textId="77777777" w:rsidR="00680577" w:rsidRPr="00F01351" w:rsidRDefault="00656557" w:rsidP="00680577">
      <w:pPr>
        <w:pStyle w:val="EPBodyTA1"/>
      </w:pPr>
      <w:r w:rsidRPr="00F01351">
        <w:t>USVOJENI TEKSTOVI</w:t>
      </w:r>
    </w:p>
    <w:p w14:paraId="444C5D5D" w14:textId="77777777" w:rsidR="00D058B8" w:rsidRPr="00F01351" w:rsidRDefault="00D058B8" w:rsidP="00D058B8">
      <w:pPr>
        <w:pStyle w:val="LineBottom"/>
      </w:pPr>
    </w:p>
    <w:p w14:paraId="40A69805" w14:textId="77154A4F" w:rsidR="00656557" w:rsidRPr="00F01351" w:rsidRDefault="00656557" w:rsidP="00656557">
      <w:pPr>
        <w:pStyle w:val="ATHeading1"/>
      </w:pPr>
      <w:bookmarkStart w:id="0" w:name="TANumber"/>
      <w:r w:rsidRPr="00F01351">
        <w:t>P10_TA(2025)0</w:t>
      </w:r>
      <w:r w:rsidR="00393ACE">
        <w:t>236</w:t>
      </w:r>
      <w:bookmarkEnd w:id="0"/>
    </w:p>
    <w:p w14:paraId="5222CC7C" w14:textId="77777777" w:rsidR="00656557" w:rsidRPr="00F01351" w:rsidRDefault="00656557" w:rsidP="00656557">
      <w:pPr>
        <w:pStyle w:val="ATHeading2"/>
      </w:pPr>
      <w:bookmarkStart w:id="1" w:name="title"/>
      <w:r w:rsidRPr="00F01351">
        <w:t>Preraspodjela znanstvenih i tehničkih zadaća Europskoj agenciji za kemikalije</w:t>
      </w:r>
      <w:bookmarkEnd w:id="1"/>
    </w:p>
    <w:p w14:paraId="1C0B94A1" w14:textId="77777777" w:rsidR="00656557" w:rsidRPr="00F01351" w:rsidRDefault="00656557" w:rsidP="00656557">
      <w:pPr>
        <w:rPr>
          <w:i/>
          <w:vanish/>
        </w:rPr>
      </w:pPr>
      <w:r w:rsidRPr="00F01351">
        <w:rPr>
          <w:i/>
        </w:rPr>
        <w:fldChar w:fldCharType="begin"/>
      </w:r>
      <w:r w:rsidRPr="00F01351">
        <w:rPr>
          <w:i/>
        </w:rPr>
        <w:instrText xml:space="preserve"> TC"(</w:instrText>
      </w:r>
      <w:bookmarkStart w:id="2" w:name="DocNumber"/>
      <w:r w:rsidRPr="00F01351">
        <w:rPr>
          <w:i/>
        </w:rPr>
        <w:instrText>A10-0019/2025</w:instrText>
      </w:r>
      <w:bookmarkEnd w:id="2"/>
      <w:r w:rsidRPr="00F01351">
        <w:rPr>
          <w:i/>
        </w:rPr>
        <w:instrText xml:space="preserve"> - Izvjestitelj: </w:instrText>
      </w:r>
      <w:proofErr w:type="spellStart"/>
      <w:r w:rsidRPr="00F01351">
        <w:rPr>
          <w:i/>
        </w:rPr>
        <w:instrText>Dimitris</w:instrText>
      </w:r>
      <w:proofErr w:type="spellEnd"/>
      <w:r w:rsidRPr="00F01351">
        <w:rPr>
          <w:i/>
        </w:rPr>
        <w:instrText xml:space="preserve"> </w:instrText>
      </w:r>
      <w:proofErr w:type="spellStart"/>
      <w:r w:rsidRPr="00F01351">
        <w:rPr>
          <w:i/>
        </w:rPr>
        <w:instrText>Tsiodras</w:instrText>
      </w:r>
      <w:proofErr w:type="spellEnd"/>
      <w:r w:rsidRPr="00F01351">
        <w:rPr>
          <w:i/>
        </w:rPr>
        <w:instrText xml:space="preserve">)"\l3 \n&gt; \* MERGEFORMAT </w:instrText>
      </w:r>
      <w:r w:rsidRPr="00F01351">
        <w:rPr>
          <w:i/>
        </w:rPr>
        <w:fldChar w:fldCharType="end"/>
      </w:r>
    </w:p>
    <w:p w14:paraId="0351A754" w14:textId="77777777" w:rsidR="00656557" w:rsidRPr="00F01351" w:rsidRDefault="00656557" w:rsidP="00656557">
      <w:pPr>
        <w:rPr>
          <w:vanish/>
        </w:rPr>
      </w:pPr>
      <w:bookmarkStart w:id="3" w:name="Commission"/>
      <w:r w:rsidRPr="00F01351">
        <w:rPr>
          <w:vanish/>
        </w:rPr>
        <w:t>Odbor za okoliš, klimu i sigurnost hrane</w:t>
      </w:r>
      <w:bookmarkEnd w:id="3"/>
    </w:p>
    <w:p w14:paraId="6E8CF5E3" w14:textId="77777777" w:rsidR="00656557" w:rsidRPr="00F01351" w:rsidRDefault="00656557" w:rsidP="00656557">
      <w:pPr>
        <w:rPr>
          <w:vanish/>
        </w:rPr>
      </w:pPr>
      <w:bookmarkStart w:id="4" w:name="PE"/>
      <w:r w:rsidRPr="00F01351">
        <w:rPr>
          <w:vanish/>
        </w:rPr>
        <w:t>PE763.254</w:t>
      </w:r>
      <w:bookmarkEnd w:id="4"/>
    </w:p>
    <w:p w14:paraId="30C20466" w14:textId="4229684E" w:rsidR="00656557" w:rsidRPr="00F01351" w:rsidRDefault="00656557" w:rsidP="00656557">
      <w:pPr>
        <w:pStyle w:val="ATHeading3"/>
      </w:pPr>
      <w:bookmarkStart w:id="5" w:name="Sujet"/>
      <w:r w:rsidRPr="00F01351">
        <w:t xml:space="preserve">Zakonodavna rezolucija Europskog parlamenta od </w:t>
      </w:r>
      <w:r w:rsidR="00F01351">
        <w:t>21</w:t>
      </w:r>
      <w:r w:rsidRPr="00F01351">
        <w:t xml:space="preserve">. </w:t>
      </w:r>
      <w:r w:rsidR="00F01351">
        <w:t xml:space="preserve">listopada </w:t>
      </w:r>
      <w:r w:rsidRPr="00F01351">
        <w:t>2025. o Prijedlogu direktive Europskog parlamenta i Vijeća o izmjeni Direktive 2011/65/EU Europskog parlamenta i Vijeća u pogledu preraspodjele znanstvenih i tehničkih zadaća Europskoj agenciji za kemikalije</w:t>
      </w:r>
      <w:bookmarkEnd w:id="5"/>
      <w:r w:rsidRPr="00F01351">
        <w:t xml:space="preserve"> </w:t>
      </w:r>
      <w:bookmarkStart w:id="6" w:name="References"/>
      <w:r w:rsidRPr="00F01351">
        <w:t>(COM(2023)0781 – C9-0448/2023 – 2023/0454(COD))</w:t>
      </w:r>
      <w:bookmarkEnd w:id="6"/>
    </w:p>
    <w:p w14:paraId="118BA7E2" w14:textId="77777777" w:rsidR="003E4EC7" w:rsidRPr="00F01351" w:rsidRDefault="003E4EC7" w:rsidP="003E4EC7">
      <w:pPr>
        <w:pStyle w:val="NormalBold"/>
      </w:pPr>
      <w:r w:rsidRPr="00F01351">
        <w:t>(Redovni zakonodavni postupak: prvo čitanje)</w:t>
      </w:r>
    </w:p>
    <w:p w14:paraId="35B44D83" w14:textId="77777777" w:rsidR="003E4EC7" w:rsidRPr="00F01351" w:rsidRDefault="003E4EC7" w:rsidP="003E4EC7">
      <w:pPr>
        <w:pStyle w:val="EPComma"/>
      </w:pPr>
      <w:r w:rsidRPr="00F01351">
        <w:rPr>
          <w:i/>
        </w:rPr>
        <w:t>Europski parlament</w:t>
      </w:r>
      <w:r w:rsidRPr="00F01351">
        <w:t>,</w:t>
      </w:r>
    </w:p>
    <w:p w14:paraId="610E6E35" w14:textId="77777777" w:rsidR="003E4EC7" w:rsidRPr="00F01351" w:rsidRDefault="003E4EC7" w:rsidP="003E4EC7">
      <w:pPr>
        <w:pStyle w:val="NormalHanging12a"/>
      </w:pPr>
      <w:r w:rsidRPr="00F01351">
        <w:t>–</w:t>
      </w:r>
      <w:r w:rsidRPr="00F01351">
        <w:tab/>
        <w:t>uzimajući u obzir Prijedlog Komisije upućen Europskom parlamentu i Vijeću (COM(2023)0781),</w:t>
      </w:r>
    </w:p>
    <w:p w14:paraId="01A6DC5F" w14:textId="77777777" w:rsidR="003E4EC7" w:rsidRPr="00F01351" w:rsidRDefault="003E4EC7" w:rsidP="003E4EC7">
      <w:pPr>
        <w:pStyle w:val="NormalHanging12a"/>
      </w:pPr>
      <w:r w:rsidRPr="00F01351">
        <w:t>–</w:t>
      </w:r>
      <w:r w:rsidRPr="00F01351">
        <w:tab/>
        <w:t>uzimajući u obzir članak 294. stavak 2. i članak 114. Ugovora o funkcioniranju Europske unije, u skladu s kojima je Komisija podnijela Prijedlog Parlamentu (C9</w:t>
      </w:r>
      <w:r w:rsidRPr="00F01351">
        <w:noBreakHyphen/>
        <w:t>0448/2023),</w:t>
      </w:r>
    </w:p>
    <w:p w14:paraId="7960D850" w14:textId="77777777" w:rsidR="003E4EC7" w:rsidRPr="00F01351" w:rsidRDefault="003E4EC7" w:rsidP="003E4EC7">
      <w:pPr>
        <w:pStyle w:val="NormalHanging12a"/>
      </w:pPr>
      <w:r w:rsidRPr="00F01351">
        <w:t>–</w:t>
      </w:r>
      <w:r w:rsidRPr="00F01351">
        <w:tab/>
        <w:t>uzimajući u obzir članak 294. stavak 3. Ugovora o funkcioniranju Europske unije,</w:t>
      </w:r>
    </w:p>
    <w:p w14:paraId="135770EC" w14:textId="66D189D4" w:rsidR="003E4EC7" w:rsidRDefault="003E4EC7" w:rsidP="003E4EC7">
      <w:pPr>
        <w:pStyle w:val="NormalHanging12a"/>
      </w:pPr>
      <w:r w:rsidRPr="00F01351">
        <w:t>–</w:t>
      </w:r>
      <w:r w:rsidRPr="00F01351">
        <w:tab/>
        <w:t>uzimajući u obzir mišljenje Europskog</w:t>
      </w:r>
      <w:r w:rsidR="003473E9">
        <w:t>a</w:t>
      </w:r>
      <w:r w:rsidRPr="00F01351">
        <w:t xml:space="preserve"> gospodarskog i socijalnog odbora od 20. ožujka 2024.</w:t>
      </w:r>
      <w:r w:rsidRPr="00F01351">
        <w:rPr>
          <w:rStyle w:val="FootnoteReference"/>
        </w:rPr>
        <w:footnoteReference w:id="1"/>
      </w:r>
      <w:r w:rsidRPr="00F01351">
        <w:t>,</w:t>
      </w:r>
    </w:p>
    <w:p w14:paraId="0B29310B" w14:textId="1ECF7BC2" w:rsidR="003473E9" w:rsidRPr="00F01351" w:rsidRDefault="003473E9" w:rsidP="003E4EC7">
      <w:pPr>
        <w:pStyle w:val="NormalHanging12a"/>
      </w:pPr>
      <w:r w:rsidRPr="007B36D8">
        <w:t>–</w:t>
      </w:r>
      <w:r w:rsidRPr="007B36D8"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 u skladu s člankom 75</w:t>
      </w:r>
      <w:r w:rsidRPr="009A1596">
        <w:rPr>
          <w:szCs w:val="24"/>
        </w:rPr>
        <w:t xml:space="preserve">. stavkom 4. Poslovnika </w:t>
      </w:r>
      <w:r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</w:t>
      </w:r>
      <w:r>
        <w:rPr>
          <w:szCs w:val="24"/>
        </w:rPr>
        <w:t xml:space="preserve">25. lipnja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>
        <w:rPr>
          <w:szCs w:val="24"/>
        </w:rPr>
        <w:t>,</w:t>
      </w:r>
    </w:p>
    <w:p w14:paraId="1C93D67E" w14:textId="77777777" w:rsidR="003E4EC7" w:rsidRPr="00F01351" w:rsidRDefault="003E4EC7" w:rsidP="003E4EC7">
      <w:pPr>
        <w:pStyle w:val="NormalHanging12a"/>
      </w:pPr>
      <w:r w:rsidRPr="00F01351">
        <w:t>–</w:t>
      </w:r>
      <w:r w:rsidRPr="00F01351">
        <w:tab/>
        <w:t>uzimajući u obzir članak 60. Poslovnika,</w:t>
      </w:r>
    </w:p>
    <w:p w14:paraId="6E98618F" w14:textId="77777777" w:rsidR="003E4EC7" w:rsidRPr="00F01351" w:rsidRDefault="003E4EC7" w:rsidP="003E4EC7">
      <w:pPr>
        <w:pStyle w:val="NormalHanging12a"/>
      </w:pPr>
      <w:r w:rsidRPr="00F01351">
        <w:t>–</w:t>
      </w:r>
      <w:r w:rsidRPr="00F01351">
        <w:tab/>
        <w:t>uzimajući u obzir izvješće Odbora za okoliš, klimu i sigurnost hrane (A10</w:t>
      </w:r>
      <w:r w:rsidRPr="00F01351">
        <w:noBreakHyphen/>
        <w:t>0019/2025),</w:t>
      </w:r>
    </w:p>
    <w:p w14:paraId="66E39738" w14:textId="232470D1" w:rsidR="003E4EC7" w:rsidRPr="00F01351" w:rsidRDefault="003E4EC7" w:rsidP="003E4EC7">
      <w:pPr>
        <w:pStyle w:val="NormalHanging12a"/>
      </w:pPr>
      <w:r w:rsidRPr="00F01351">
        <w:lastRenderedPageBreak/>
        <w:t>1.</w:t>
      </w:r>
      <w:r w:rsidRPr="00F01351">
        <w:tab/>
        <w:t xml:space="preserve">usvaja </w:t>
      </w:r>
      <w:r w:rsidR="003473E9">
        <w:t>niže navedeno</w:t>
      </w:r>
      <w:r w:rsidRPr="00F01351">
        <w:t xml:space="preserve"> stajalište u prvom čitanju</w:t>
      </w:r>
      <w:r w:rsidR="003473E9">
        <w:rPr>
          <w:rStyle w:val="FootnoteReference"/>
        </w:rPr>
        <w:footnoteReference w:id="2"/>
      </w:r>
      <w:r w:rsidRPr="00F01351">
        <w:t>;</w:t>
      </w:r>
    </w:p>
    <w:p w14:paraId="442D2B51" w14:textId="77777777" w:rsidR="003E4EC7" w:rsidRPr="00F01351" w:rsidRDefault="003E4EC7" w:rsidP="003E4EC7">
      <w:pPr>
        <w:pStyle w:val="NormalHanging12a"/>
      </w:pPr>
      <w:r w:rsidRPr="00F01351">
        <w:t>2.</w:t>
      </w:r>
      <w:r w:rsidRPr="00F01351">
        <w:tab/>
        <w:t>poziva Komisiju da predmet ponovno uputi Parlamentu ako zamijeni, bitno izmijeni ili namjerava bitno izmijeniti svoj Prijedlog;</w:t>
      </w:r>
    </w:p>
    <w:p w14:paraId="13E39274" w14:textId="77777777" w:rsidR="003E4EC7" w:rsidRPr="00F01351" w:rsidRDefault="003E4EC7" w:rsidP="003E4EC7">
      <w:pPr>
        <w:pStyle w:val="NormalHanging12a"/>
      </w:pPr>
      <w:r w:rsidRPr="00F01351">
        <w:t>3.</w:t>
      </w:r>
      <w:r w:rsidRPr="00F01351">
        <w:tab/>
        <w:t>nalaže svojoj predsjednici da stajalište Parlamenta proslijedi Vijeću, Komisiji i nacionalnim parlamentima.</w:t>
      </w:r>
    </w:p>
    <w:p w14:paraId="1C761F52" w14:textId="77777777" w:rsidR="003E4EC7" w:rsidRPr="00F01351" w:rsidRDefault="003E4EC7" w:rsidP="003E4EC7"/>
    <w:p w14:paraId="7A9C4296" w14:textId="77777777" w:rsidR="003E4EC7" w:rsidRPr="00F01351" w:rsidRDefault="003E4EC7" w:rsidP="003E4EC7"/>
    <w:p w14:paraId="49933E2B" w14:textId="77777777" w:rsidR="00F01351" w:rsidRDefault="00F01351" w:rsidP="003E4EC7">
      <w:pPr>
        <w:pStyle w:val="AmNumberTabs"/>
        <w:sectPr w:rsidR="00F01351" w:rsidSect="002E31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355A8F8" w14:textId="77777777" w:rsidR="003473E9" w:rsidRPr="00CB19E9" w:rsidRDefault="003473E9" w:rsidP="003473E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B19E9">
        <w:rPr>
          <w:b/>
          <w:bCs/>
          <w:color w:val="000000"/>
        </w:rPr>
        <w:lastRenderedPageBreak/>
        <w:t>P10_TC1-COD(2023)0454</w:t>
      </w:r>
    </w:p>
    <w:p w14:paraId="391A3489" w14:textId="77777777" w:rsidR="003473E9" w:rsidRDefault="003473E9" w:rsidP="003473E9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B50414">
        <w:rPr>
          <w:b/>
          <w:bCs/>
        </w:rPr>
        <w:t xml:space="preserve">Stajalište Europskog parlamenta usvojeno u prvom čitanju </w:t>
      </w:r>
      <w:r w:rsidRPr="00591D68">
        <w:rPr>
          <w:b/>
        </w:rPr>
        <w:t>21</w:t>
      </w:r>
      <w:r w:rsidRPr="00B50414">
        <w:rPr>
          <w:b/>
          <w:bCs/>
        </w:rPr>
        <w:t xml:space="preserve">. </w:t>
      </w:r>
      <w:r>
        <w:rPr>
          <w:b/>
          <w:bCs/>
        </w:rPr>
        <w:t>listopada</w:t>
      </w:r>
      <w:r w:rsidRPr="00B50414">
        <w:rPr>
          <w:b/>
          <w:bCs/>
        </w:rPr>
        <w:t xml:space="preserve"> 2025. radi donošenja</w:t>
      </w:r>
      <w:r>
        <w:rPr>
          <w:b/>
          <w:bCs/>
        </w:rPr>
        <w:t xml:space="preserve"> </w:t>
      </w:r>
      <w:r w:rsidRPr="003473E9">
        <w:rPr>
          <w:b/>
          <w:bCs/>
          <w:szCs w:val="24"/>
          <w:lang w:eastAsia="en-US"/>
        </w:rPr>
        <w:t xml:space="preserve">Direktive </w:t>
      </w:r>
      <w:r w:rsidRPr="00E70AA1">
        <w:rPr>
          <w:b/>
          <w:szCs w:val="24"/>
          <w:lang w:eastAsia="en-US"/>
        </w:rPr>
        <w:t xml:space="preserve">(EU) 2025/... </w:t>
      </w:r>
      <w:r>
        <w:rPr>
          <w:b/>
          <w:szCs w:val="24"/>
          <w:lang w:eastAsia="en-US"/>
        </w:rPr>
        <w:t>E</w:t>
      </w:r>
      <w:r w:rsidRPr="00E70AA1">
        <w:rPr>
          <w:b/>
          <w:szCs w:val="24"/>
          <w:lang w:eastAsia="en-US"/>
        </w:rPr>
        <w:t xml:space="preserve">uropskog parlamenta </w:t>
      </w:r>
      <w:r>
        <w:rPr>
          <w:b/>
          <w:szCs w:val="24"/>
          <w:lang w:eastAsia="en-US"/>
        </w:rPr>
        <w:t>i</w:t>
      </w:r>
      <w:r w:rsidRPr="00E70AA1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V</w:t>
      </w:r>
      <w:r w:rsidRPr="00E70AA1">
        <w:rPr>
          <w:b/>
          <w:szCs w:val="24"/>
          <w:lang w:eastAsia="en-US"/>
        </w:rPr>
        <w:t>ijeća</w:t>
      </w:r>
      <w:r>
        <w:rPr>
          <w:szCs w:val="24"/>
          <w:lang w:eastAsia="en-US"/>
        </w:rPr>
        <w:t xml:space="preserve"> </w:t>
      </w:r>
      <w:r w:rsidRPr="00591D68">
        <w:rPr>
          <w:b/>
          <w:szCs w:val="24"/>
          <w:lang w:eastAsia="en-US"/>
        </w:rPr>
        <w:t xml:space="preserve">o </w:t>
      </w:r>
      <w:r w:rsidRPr="003473E9">
        <w:rPr>
          <w:rFonts w:eastAsia="Calibri"/>
          <w:b/>
          <w:szCs w:val="22"/>
          <w:lang w:eastAsia="en-US"/>
        </w:rPr>
        <w:t>izmjeni Direktive 2011/65/EU u pogledu preraspodjele znanstvenih i tehničkih zadaća Europskoj agenciji za kemikalije</w:t>
      </w:r>
    </w:p>
    <w:p w14:paraId="085DF7F5" w14:textId="598C167D" w:rsidR="00917D3C" w:rsidRPr="003473E9" w:rsidRDefault="00917D3C" w:rsidP="003473E9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82D8F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 w:rsidRPr="00917D3C">
        <w:rPr>
          <w:rFonts w:eastAsia="Calibri"/>
          <w:i/>
          <w:szCs w:val="24"/>
          <w:lang w:eastAsia="en-US"/>
        </w:rPr>
        <w:t>Direktiv</w:t>
      </w:r>
      <w:r w:rsidRPr="00917D3C">
        <w:rPr>
          <w:rFonts w:eastAsia="Calibri"/>
          <w:i/>
          <w:szCs w:val="24"/>
          <w:lang w:eastAsia="en-US"/>
        </w:rPr>
        <w:t xml:space="preserve">i </w:t>
      </w:r>
      <w:r w:rsidRPr="00917D3C">
        <w:rPr>
          <w:rFonts w:eastAsia="Calibri"/>
          <w:i/>
          <w:szCs w:val="24"/>
          <w:lang w:eastAsia="en-US"/>
        </w:rPr>
        <w:t>(EU) 2025/2456.</w:t>
      </w:r>
      <w:r>
        <w:rPr>
          <w:rFonts w:eastAsia="Calibri"/>
          <w:i/>
          <w:szCs w:val="24"/>
          <w:lang w:eastAsia="en-US"/>
        </w:rPr>
        <w:t>)</w:t>
      </w:r>
    </w:p>
    <w:sectPr w:rsidR="00917D3C" w:rsidRPr="003473E9" w:rsidSect="002E31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74DD6" w14:textId="77777777" w:rsidR="00656557" w:rsidRPr="002E3170" w:rsidRDefault="00656557">
      <w:r w:rsidRPr="002E3170">
        <w:separator/>
      </w:r>
    </w:p>
  </w:endnote>
  <w:endnote w:type="continuationSeparator" w:id="0">
    <w:p w14:paraId="281D7EB3" w14:textId="77777777" w:rsidR="00656557" w:rsidRPr="002E3170" w:rsidRDefault="00656557">
      <w:r w:rsidRPr="002E31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E948" w14:textId="77777777" w:rsidR="00064002" w:rsidRPr="002E31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CFEC" w14:textId="77777777" w:rsidR="00064002" w:rsidRPr="002E31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E600" w14:textId="77777777" w:rsidR="00064002" w:rsidRPr="002E31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A83BD" w14:textId="77777777" w:rsidR="00656557" w:rsidRPr="002E3170" w:rsidRDefault="00656557">
      <w:r w:rsidRPr="002E3170">
        <w:separator/>
      </w:r>
    </w:p>
  </w:footnote>
  <w:footnote w:type="continuationSeparator" w:id="0">
    <w:p w14:paraId="4C33FF85" w14:textId="77777777" w:rsidR="00656557" w:rsidRPr="002E3170" w:rsidRDefault="00656557">
      <w:r w:rsidRPr="002E3170">
        <w:continuationSeparator/>
      </w:r>
    </w:p>
  </w:footnote>
  <w:footnote w:id="1">
    <w:p w14:paraId="7616C434" w14:textId="56096B5B" w:rsidR="003E4EC7" w:rsidRPr="003473E9" w:rsidRDefault="003E4EC7" w:rsidP="002E3170">
      <w:pPr>
        <w:pStyle w:val="FootnoteText"/>
        <w:ind w:left="567" w:hanging="567"/>
        <w:rPr>
          <w:sz w:val="24"/>
          <w:lang w:val="hr-HR"/>
        </w:rPr>
      </w:pPr>
      <w:r w:rsidRPr="003473E9">
        <w:rPr>
          <w:rStyle w:val="FootnoteReference"/>
          <w:sz w:val="24"/>
          <w:lang w:val="hr-HR"/>
        </w:rPr>
        <w:footnoteRef/>
      </w:r>
      <w:r w:rsidR="002E3170" w:rsidRPr="003473E9">
        <w:rPr>
          <w:sz w:val="24"/>
          <w:lang w:val="hr-HR"/>
        </w:rPr>
        <w:t xml:space="preserve"> </w:t>
      </w:r>
      <w:r w:rsidR="002E3170" w:rsidRPr="003473E9">
        <w:rPr>
          <w:sz w:val="24"/>
          <w:lang w:val="hr-HR"/>
        </w:rPr>
        <w:tab/>
      </w:r>
      <w:r w:rsidR="003473E9">
        <w:rPr>
          <w:sz w:val="24"/>
          <w:lang w:val="hr-HR"/>
        </w:rPr>
        <w:t>SL</w:t>
      </w:r>
      <w:r w:rsidRPr="003473E9">
        <w:rPr>
          <w:sz w:val="24"/>
          <w:lang w:val="hr-HR"/>
        </w:rPr>
        <w:t xml:space="preserve"> C, C/2024/3381, 31.5.2024., ELI: </w:t>
      </w:r>
      <w:hyperlink r:id="rId1" w:history="1">
        <w:r w:rsidRPr="003473E9">
          <w:rPr>
            <w:rStyle w:val="Hyperlink"/>
            <w:sz w:val="24"/>
            <w:lang w:val="hr-HR"/>
          </w:rPr>
          <w:t>http://data.europa.eu/eli/C/2024/3381/oj</w:t>
        </w:r>
      </w:hyperlink>
      <w:r w:rsidRPr="003473E9">
        <w:rPr>
          <w:sz w:val="24"/>
          <w:lang w:val="hr-HR"/>
        </w:rPr>
        <w:t>.</w:t>
      </w:r>
    </w:p>
  </w:footnote>
  <w:footnote w:id="2">
    <w:p w14:paraId="4E9E643D" w14:textId="0973E8D3" w:rsidR="003473E9" w:rsidRPr="00393ACE" w:rsidRDefault="003473E9" w:rsidP="00393ACE">
      <w:pPr>
        <w:pStyle w:val="FootnoteText"/>
        <w:ind w:left="567" w:hanging="567"/>
        <w:rPr>
          <w:sz w:val="24"/>
          <w:szCs w:val="24"/>
          <w:lang w:val="hr-HR"/>
        </w:rPr>
      </w:pPr>
      <w:r w:rsidRPr="00393ACE">
        <w:rPr>
          <w:rStyle w:val="FootnoteReference"/>
          <w:sz w:val="24"/>
          <w:szCs w:val="24"/>
        </w:rPr>
        <w:footnoteRef/>
      </w:r>
      <w:r w:rsidRPr="00393ACE">
        <w:rPr>
          <w:sz w:val="24"/>
          <w:szCs w:val="24"/>
          <w:lang w:val="hr-HR"/>
        </w:rPr>
        <w:t xml:space="preserve"> </w:t>
      </w:r>
      <w:r w:rsidRPr="00393ACE">
        <w:rPr>
          <w:sz w:val="24"/>
          <w:szCs w:val="24"/>
          <w:lang w:val="hr-HR"/>
        </w:rPr>
        <w:tab/>
      </w:r>
      <w:r w:rsidRPr="003473E9">
        <w:rPr>
          <w:sz w:val="24"/>
          <w:szCs w:val="24"/>
          <w:lang w:val="hr-HR"/>
        </w:rPr>
        <w:t>Ovo stajalište zamjenjuje amandmane usvojene na sjednici 1. travnja 2025. (Usvojeni tekstovi,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F355" w14:textId="77777777" w:rsidR="00064002" w:rsidRPr="002E31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DC21" w14:textId="77777777" w:rsidR="00064002" w:rsidRPr="002E31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B110" w14:textId="77777777" w:rsidR="00064002" w:rsidRPr="002E31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0234759">
    <w:abstractNumId w:val="9"/>
  </w:num>
  <w:num w:numId="2" w16cid:durableId="1368673961">
    <w:abstractNumId w:val="9"/>
  </w:num>
  <w:num w:numId="3" w16cid:durableId="1327367614">
    <w:abstractNumId w:val="7"/>
  </w:num>
  <w:num w:numId="4" w16cid:durableId="1463883687">
    <w:abstractNumId w:val="7"/>
  </w:num>
  <w:num w:numId="5" w16cid:durableId="1876456196">
    <w:abstractNumId w:val="6"/>
  </w:num>
  <w:num w:numId="6" w16cid:durableId="216666900">
    <w:abstractNumId w:val="6"/>
  </w:num>
  <w:num w:numId="7" w16cid:durableId="1319073981">
    <w:abstractNumId w:val="5"/>
  </w:num>
  <w:num w:numId="8" w16cid:durableId="1269850581">
    <w:abstractNumId w:val="5"/>
  </w:num>
  <w:num w:numId="9" w16cid:durableId="550272165">
    <w:abstractNumId w:val="4"/>
  </w:num>
  <w:num w:numId="10" w16cid:durableId="649483852">
    <w:abstractNumId w:val="4"/>
  </w:num>
  <w:num w:numId="11" w16cid:durableId="1499690681">
    <w:abstractNumId w:val="8"/>
  </w:num>
  <w:num w:numId="12" w16cid:durableId="1855194607">
    <w:abstractNumId w:val="8"/>
  </w:num>
  <w:num w:numId="13" w16cid:durableId="1409888469">
    <w:abstractNumId w:val="3"/>
  </w:num>
  <w:num w:numId="14" w16cid:durableId="1792170323">
    <w:abstractNumId w:val="3"/>
  </w:num>
  <w:num w:numId="15" w16cid:durableId="1458794261">
    <w:abstractNumId w:val="2"/>
  </w:num>
  <w:num w:numId="16" w16cid:durableId="1650744952">
    <w:abstractNumId w:val="2"/>
  </w:num>
  <w:num w:numId="17" w16cid:durableId="144585966">
    <w:abstractNumId w:val="1"/>
  </w:num>
  <w:num w:numId="18" w16cid:durableId="1667511750">
    <w:abstractNumId w:val="1"/>
  </w:num>
  <w:num w:numId="19" w16cid:durableId="471337437">
    <w:abstractNumId w:val="0"/>
  </w:num>
  <w:num w:numId="20" w16cid:durableId="363749884">
    <w:abstractNumId w:val="0"/>
  </w:num>
  <w:num w:numId="21" w16cid:durableId="826287253">
    <w:abstractNumId w:val="9"/>
  </w:num>
  <w:num w:numId="22" w16cid:durableId="575090311">
    <w:abstractNumId w:val="7"/>
  </w:num>
  <w:num w:numId="23" w16cid:durableId="1901675117">
    <w:abstractNumId w:val="6"/>
  </w:num>
  <w:num w:numId="24" w16cid:durableId="1640069388">
    <w:abstractNumId w:val="5"/>
  </w:num>
  <w:num w:numId="25" w16cid:durableId="1941525012">
    <w:abstractNumId w:val="4"/>
  </w:num>
  <w:num w:numId="26" w16cid:durableId="1352561816">
    <w:abstractNumId w:val="8"/>
  </w:num>
  <w:num w:numId="27" w16cid:durableId="1836653643">
    <w:abstractNumId w:val="3"/>
  </w:num>
  <w:num w:numId="28" w16cid:durableId="1969386899">
    <w:abstractNumId w:val="2"/>
  </w:num>
  <w:num w:numId="29" w16cid:durableId="340543702">
    <w:abstractNumId w:val="1"/>
  </w:num>
  <w:num w:numId="30" w16cid:durableId="1794471963">
    <w:abstractNumId w:val="0"/>
  </w:num>
  <w:num w:numId="31" w16cid:durableId="951084921">
    <w:abstractNumId w:val="9"/>
  </w:num>
  <w:num w:numId="32" w16cid:durableId="764616056">
    <w:abstractNumId w:val="7"/>
  </w:num>
  <w:num w:numId="33" w16cid:durableId="303435107">
    <w:abstractNumId w:val="6"/>
  </w:num>
  <w:num w:numId="34" w16cid:durableId="178617269">
    <w:abstractNumId w:val="5"/>
  </w:num>
  <w:num w:numId="35" w16cid:durableId="940575546">
    <w:abstractNumId w:val="4"/>
  </w:num>
  <w:num w:numId="36" w16cid:durableId="2013802145">
    <w:abstractNumId w:val="8"/>
  </w:num>
  <w:num w:numId="37" w16cid:durableId="1596671999">
    <w:abstractNumId w:val="3"/>
  </w:num>
  <w:num w:numId="38" w16cid:durableId="2017613630">
    <w:abstractNumId w:val="2"/>
  </w:num>
  <w:num w:numId="39" w16cid:durableId="993604399">
    <w:abstractNumId w:val="1"/>
  </w:num>
  <w:num w:numId="40" w16cid:durableId="204297147">
    <w:abstractNumId w:val="0"/>
  </w:num>
  <w:num w:numId="41" w16cid:durableId="297994623">
    <w:abstractNumId w:val="10"/>
  </w:num>
  <w:num w:numId="42" w16cid:durableId="520054076">
    <w:abstractNumId w:val="10"/>
  </w:num>
  <w:num w:numId="43" w16cid:durableId="1357999000">
    <w:abstractNumId w:val="10"/>
  </w:num>
  <w:num w:numId="44" w16cid:durableId="611861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HR"/>
    <w:docVar w:name="dvnumam" w:val="19"/>
    <w:docVar w:name="dvpe" w:val="763.254"/>
    <w:docVar w:name="dvrapporteur" w:val="Izvjestitelj: "/>
    <w:docVar w:name="dvstar" w:val="***I"/>
    <w:docVar w:name="dvtitre" w:val="Zakonodavna rezolucija Europskog parlamenta od .... 2025. o Prijedlogu direktive Europskog parlamenta i Vijeća o izmjeni Direktive 2011/65/EU Europskog parlamenta i Vijeća u pogledu preraspodjele znanstvenih i tehničkih zadaća Europskoj agenciji za kemikalije(COM(2023)0781 – C9-0448/2023 – 2023/0454(COD))"/>
  </w:docVars>
  <w:rsids>
    <w:rsidRoot w:val="006565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170"/>
    <w:rsid w:val="00343214"/>
    <w:rsid w:val="003473E9"/>
    <w:rsid w:val="00361C00"/>
    <w:rsid w:val="00393ACE"/>
    <w:rsid w:val="00395FA1"/>
    <w:rsid w:val="003E15D4"/>
    <w:rsid w:val="003E4EC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14A"/>
    <w:rsid w:val="005C2568"/>
    <w:rsid w:val="005F1B17"/>
    <w:rsid w:val="006037C0"/>
    <w:rsid w:val="0065655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60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D3C"/>
    <w:rsid w:val="00930C23"/>
    <w:rsid w:val="0093193B"/>
    <w:rsid w:val="009509D8"/>
    <w:rsid w:val="00950B64"/>
    <w:rsid w:val="00957F8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1B6"/>
    <w:rsid w:val="00D058B8"/>
    <w:rsid w:val="00D56C11"/>
    <w:rsid w:val="00D834A0"/>
    <w:rsid w:val="00D872DF"/>
    <w:rsid w:val="00D91E21"/>
    <w:rsid w:val="00DA7FCD"/>
    <w:rsid w:val="00E21786"/>
    <w:rsid w:val="00E365E1"/>
    <w:rsid w:val="00E820A4"/>
    <w:rsid w:val="00EB006A"/>
    <w:rsid w:val="00EB4772"/>
    <w:rsid w:val="00ED169E"/>
    <w:rsid w:val="00ED4235"/>
    <w:rsid w:val="00F01351"/>
    <w:rsid w:val="00F04346"/>
    <w:rsid w:val="00F075DC"/>
    <w:rsid w:val="00F149E9"/>
    <w:rsid w:val="00F47448"/>
    <w:rsid w:val="00F5134D"/>
    <w:rsid w:val="00F74202"/>
    <w:rsid w:val="00F87713"/>
    <w:rsid w:val="00F920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A393F"/>
  <w15:chartTrackingRefBased/>
  <w15:docId w15:val="{0A2934E5-781C-4762-AB08-5431206A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E4EC7"/>
    <w:rPr>
      <w:b/>
    </w:rPr>
  </w:style>
  <w:style w:type="paragraph" w:customStyle="1" w:styleId="NormalHanging12a">
    <w:name w:val="NormalHanging12a"/>
    <w:basedOn w:val="Normal"/>
    <w:rsid w:val="003E4EC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E4E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E4EC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E4EC7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3E4EC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E4EC7"/>
    <w:rPr>
      <w:b/>
      <w:sz w:val="24"/>
      <w:lang w:val="hr-HR"/>
    </w:rPr>
  </w:style>
  <w:style w:type="paragraph" w:customStyle="1" w:styleId="ColumnHeading">
    <w:name w:val="ColumnHeading"/>
    <w:basedOn w:val="Normal"/>
    <w:rsid w:val="003E4EC7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E4EC7"/>
    <w:pPr>
      <w:spacing w:before="240"/>
      <w:jc w:val="center"/>
    </w:pPr>
    <w:rPr>
      <w:i/>
    </w:rPr>
  </w:style>
  <w:style w:type="character" w:customStyle="1" w:styleId="Hyperlink1">
    <w:name w:val="Hyperlink1"/>
    <w:basedOn w:val="DefaultParagraphFont"/>
    <w:uiPriority w:val="99"/>
    <w:unhideWhenUsed/>
    <w:rsid w:val="003473E9"/>
    <w:rPr>
      <w:color w:val="0563C1"/>
      <w:u w:val="single"/>
    </w:rPr>
  </w:style>
  <w:style w:type="paragraph" w:customStyle="1" w:styleId="FootnoteTextForceStyle">
    <w:name w:val="Footnote Text ForceStyle"/>
    <w:rsid w:val="003473E9"/>
    <w:pPr>
      <w:keepLines/>
      <w:widowControl w:val="0"/>
      <w:spacing w:line="240" w:lineRule="exact"/>
      <w:ind w:left="850" w:hanging="850"/>
    </w:pPr>
    <w:rPr>
      <w:sz w:val="24"/>
      <w:lang w:val="hr-HR" w:eastAsia="en-US"/>
    </w:rPr>
  </w:style>
  <w:style w:type="paragraph" w:styleId="Revision">
    <w:name w:val="Revision"/>
    <w:hidden/>
    <w:uiPriority w:val="99"/>
    <w:semiHidden/>
    <w:rsid w:val="003473E9"/>
    <w:rPr>
      <w:sz w:val="24"/>
      <w:lang w:val="hr-HR"/>
    </w:rPr>
  </w:style>
  <w:style w:type="character" w:styleId="Hyperlink">
    <w:name w:val="Hyperlink"/>
    <w:basedOn w:val="DefaultParagraphFont"/>
    <w:rsid w:val="00347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278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2026-01-06T13:59:00Z</dcterms:created>
  <dcterms:modified xsi:type="dcterms:W3CDTF">2026-01-06T13:59:00Z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