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5C02" w14:paraId="03D5C2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DED0B0" w14:textId="77777777" w:rsidR="00751A4A" w:rsidRPr="005A5C02" w:rsidRDefault="00CF1CAC" w:rsidP="0010095E">
            <w:pPr>
              <w:pStyle w:val="EPName"/>
            </w:pPr>
            <w:r w:rsidRPr="005A5C02">
              <w:t>Parlament Europejski</w:t>
            </w:r>
          </w:p>
          <w:p w14:paraId="6FF8A80E" w14:textId="77777777" w:rsidR="00751A4A" w:rsidRPr="005A5C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5C02">
              <w:t>2024</w:t>
            </w:r>
            <w:r w:rsidR="00817416" w:rsidRPr="005A5C02">
              <w:t>-202</w:t>
            </w:r>
            <w:r w:rsidRPr="005A5C02">
              <w:t>9</w:t>
            </w:r>
          </w:p>
        </w:tc>
        <w:tc>
          <w:tcPr>
            <w:tcW w:w="2268" w:type="dxa"/>
            <w:shd w:val="clear" w:color="auto" w:fill="auto"/>
          </w:tcPr>
          <w:p w14:paraId="3154232A" w14:textId="77777777" w:rsidR="00751A4A" w:rsidRPr="005A5C02" w:rsidRDefault="00187494" w:rsidP="0010095E">
            <w:pPr>
              <w:pStyle w:val="EPLogo"/>
            </w:pPr>
            <w:r w:rsidRPr="005A5C02">
              <w:rPr>
                <w:noProof/>
                <w:lang w:eastAsia="ja-JP"/>
              </w:rPr>
              <w:drawing>
                <wp:inline distT="0" distB="0" distL="0" distR="0" wp14:anchorId="56AB25B3" wp14:editId="7ED232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8CA93E" w14:textId="77777777" w:rsidR="00D058B8" w:rsidRPr="005A5C02" w:rsidRDefault="00D058B8" w:rsidP="004C5D52">
      <w:pPr>
        <w:pStyle w:val="LineTop"/>
      </w:pPr>
    </w:p>
    <w:p w14:paraId="4145871D" w14:textId="77777777" w:rsidR="00680577" w:rsidRPr="005A5C02" w:rsidRDefault="00CF1CAC" w:rsidP="00680577">
      <w:pPr>
        <w:pStyle w:val="EPBodyTA1"/>
      </w:pPr>
      <w:r w:rsidRPr="005A5C02">
        <w:t>TEKSTY PRZYJĘTE</w:t>
      </w:r>
    </w:p>
    <w:p w14:paraId="235D4A57" w14:textId="77777777" w:rsidR="00D058B8" w:rsidRPr="005A5C02" w:rsidRDefault="00D058B8" w:rsidP="00D058B8">
      <w:pPr>
        <w:pStyle w:val="LineBottom"/>
      </w:pPr>
    </w:p>
    <w:p w14:paraId="4CF9A72C" w14:textId="1565059C" w:rsidR="00CF1CAC" w:rsidRPr="005A5C02" w:rsidRDefault="00CF1CAC" w:rsidP="00CF1CAC">
      <w:pPr>
        <w:pStyle w:val="ATHeading1"/>
      </w:pPr>
      <w:bookmarkStart w:id="0" w:name="TANumber"/>
      <w:r w:rsidRPr="005A5C02">
        <w:t>P10_</w:t>
      </w:r>
      <w:proofErr w:type="gramStart"/>
      <w:r w:rsidRPr="005A5C02">
        <w:t>TA(</w:t>
      </w:r>
      <w:proofErr w:type="gramEnd"/>
      <w:r w:rsidRPr="005A5C02">
        <w:t>2025)0</w:t>
      </w:r>
      <w:bookmarkEnd w:id="0"/>
      <w:r w:rsidR="00AF1545">
        <w:t>236</w:t>
      </w:r>
    </w:p>
    <w:p w14:paraId="208F2C56" w14:textId="27D282F7" w:rsidR="00CF1CAC" w:rsidRPr="00812589" w:rsidRDefault="00812589" w:rsidP="00CF1CAC">
      <w:pPr>
        <w:pStyle w:val="ATHeading2"/>
      </w:pPr>
      <w:r w:rsidRPr="00812589">
        <w:t>Ponowne przydzielenie Europejskiej Agencji Chemikaliów zadań naukowych i technicznych</w:t>
      </w:r>
    </w:p>
    <w:p w14:paraId="2FA4A18E" w14:textId="77777777" w:rsidR="00CF1CAC" w:rsidRPr="005A5C02" w:rsidRDefault="00CF1CAC" w:rsidP="00CF1CAC">
      <w:pPr>
        <w:rPr>
          <w:i/>
          <w:vanish/>
        </w:rPr>
      </w:pPr>
      <w:r w:rsidRPr="005A5C02">
        <w:rPr>
          <w:i/>
        </w:rPr>
        <w:fldChar w:fldCharType="begin"/>
      </w:r>
      <w:r w:rsidRPr="005A5C02">
        <w:rPr>
          <w:i/>
        </w:rPr>
        <w:instrText xml:space="preserve"> TC"(</w:instrText>
      </w:r>
      <w:bookmarkStart w:id="1" w:name="DocNumber"/>
      <w:r w:rsidRPr="005A5C02">
        <w:rPr>
          <w:i/>
        </w:rPr>
        <w:instrText>A10-0019/2025</w:instrText>
      </w:r>
      <w:bookmarkEnd w:id="1"/>
      <w:r w:rsidRPr="005A5C02">
        <w:rPr>
          <w:i/>
        </w:rPr>
        <w:instrText xml:space="preserve"> - Sprawozdawca: Dimitris Tsiodras)"\l3 \n&gt; \* MERGEFORMAT </w:instrText>
      </w:r>
      <w:r w:rsidRPr="005A5C02">
        <w:rPr>
          <w:i/>
        </w:rPr>
        <w:fldChar w:fldCharType="end"/>
      </w:r>
    </w:p>
    <w:p w14:paraId="59D694E8" w14:textId="77777777" w:rsidR="00CF1CAC" w:rsidRPr="005A5C02" w:rsidRDefault="00CF1CAC" w:rsidP="00CF1CAC">
      <w:pPr>
        <w:rPr>
          <w:vanish/>
        </w:rPr>
      </w:pPr>
      <w:bookmarkStart w:id="2" w:name="Commission"/>
      <w:r w:rsidRPr="005A5C02">
        <w:rPr>
          <w:vanish/>
        </w:rPr>
        <w:t>Komisja Ochrony Środowiska Naturalnego, Klimatu i Bezpieczeństwa Żywności</w:t>
      </w:r>
      <w:bookmarkEnd w:id="2"/>
    </w:p>
    <w:p w14:paraId="181B7DB2" w14:textId="77777777" w:rsidR="00CF1CAC" w:rsidRPr="005A5C02" w:rsidRDefault="00CF1CAC" w:rsidP="00CF1CAC">
      <w:pPr>
        <w:rPr>
          <w:vanish/>
        </w:rPr>
      </w:pPr>
      <w:bookmarkStart w:id="3" w:name="PE"/>
      <w:r w:rsidRPr="005A5C02">
        <w:rPr>
          <w:vanish/>
        </w:rPr>
        <w:t>PE763.254</w:t>
      </w:r>
      <w:bookmarkEnd w:id="3"/>
    </w:p>
    <w:p w14:paraId="71B1E157" w14:textId="59D9F56E" w:rsidR="00CF1CAC" w:rsidRPr="005A5C02" w:rsidRDefault="00CF1CAC" w:rsidP="00CF1CAC">
      <w:pPr>
        <w:pStyle w:val="ATHeading3"/>
      </w:pPr>
      <w:bookmarkStart w:id="4" w:name="Sujet"/>
      <w:r w:rsidRPr="005A5C02">
        <w:t xml:space="preserve">Rezolucja ustawodawcza Parlamentu Europejskiego z dnia </w:t>
      </w:r>
      <w:r w:rsidR="00812589">
        <w:t>21 października</w:t>
      </w:r>
      <w:r w:rsidRPr="005A5C02">
        <w:t xml:space="preserve"> 2025 r. w sprawie wniosku dotyczącego dyrektywy Parlamentu Europejskiego i Rady zmieniającej dyrektywę Parlamentu Europejskiego i Rady 2011/65/UE w odniesieniu do ponownego przydzielenia Europejskiej Agencji Chemikaliów zadań naukowych i technicznych</w:t>
      </w:r>
      <w:bookmarkEnd w:id="4"/>
      <w:r w:rsidRPr="005A5C02">
        <w:t xml:space="preserve"> </w:t>
      </w:r>
      <w:bookmarkStart w:id="5" w:name="References"/>
      <w:r w:rsidRPr="005A5C02">
        <w:t>(</w:t>
      </w:r>
      <w:proofErr w:type="gramStart"/>
      <w:r w:rsidRPr="005A5C02">
        <w:t>COM(</w:t>
      </w:r>
      <w:proofErr w:type="gramEnd"/>
      <w:r w:rsidRPr="005A5C02">
        <w:t>2023)0781 – C9-0448/2023 – 2023/0454(COD))</w:t>
      </w:r>
      <w:bookmarkEnd w:id="5"/>
    </w:p>
    <w:p w14:paraId="276FB623" w14:textId="77777777" w:rsidR="00E61F6A" w:rsidRPr="005A5C02" w:rsidRDefault="00E61F6A" w:rsidP="00E61F6A">
      <w:pPr>
        <w:pStyle w:val="NormalBold"/>
      </w:pPr>
      <w:r w:rsidRPr="005A5C02">
        <w:t>(Zwykła procedura ustawodawcza: pierwsze czytanie)</w:t>
      </w:r>
    </w:p>
    <w:p w14:paraId="03AB3702" w14:textId="77777777" w:rsidR="00E61F6A" w:rsidRPr="005A5C02" w:rsidRDefault="00E61F6A" w:rsidP="00E61F6A">
      <w:pPr>
        <w:pStyle w:val="EPComma"/>
      </w:pPr>
      <w:r w:rsidRPr="005A5C02">
        <w:rPr>
          <w:i/>
        </w:rPr>
        <w:t>Parlament Europejski</w:t>
      </w:r>
      <w:r w:rsidRPr="005A5C02">
        <w:t>,</w:t>
      </w:r>
    </w:p>
    <w:p w14:paraId="5A69F67B" w14:textId="77777777" w:rsidR="00E61F6A" w:rsidRPr="005A5C02" w:rsidRDefault="00E61F6A" w:rsidP="00E61F6A">
      <w:pPr>
        <w:pStyle w:val="NormalHanging12a"/>
      </w:pPr>
      <w:r w:rsidRPr="005A5C02">
        <w:t>–</w:t>
      </w:r>
      <w:r w:rsidRPr="005A5C02">
        <w:tab/>
        <w:t>uwzględniając wniosek Komisji przedstawiony Parlamentowi Europejskiemu i Radzie (</w:t>
      </w:r>
      <w:proofErr w:type="gramStart"/>
      <w:r w:rsidRPr="005A5C02">
        <w:t>COM(</w:t>
      </w:r>
      <w:proofErr w:type="gramEnd"/>
      <w:r w:rsidRPr="005A5C02">
        <w:t>2023)0781),</w:t>
      </w:r>
    </w:p>
    <w:p w14:paraId="2E21B3B6" w14:textId="77777777" w:rsidR="00E61F6A" w:rsidRPr="005A5C02" w:rsidRDefault="00E61F6A" w:rsidP="00E61F6A">
      <w:pPr>
        <w:pStyle w:val="NormalHanging12a"/>
      </w:pPr>
      <w:r w:rsidRPr="005A5C02">
        <w:t>–</w:t>
      </w:r>
      <w:r w:rsidRPr="005A5C02">
        <w:tab/>
        <w:t>uwzględniając art. 294 ust. 2 i art. 114 Traktatu o funkcjonowaniu Unii Europejskiej, zgodnie z którymi wniosek został przedstawiony Parlamentowi przez Komisję (C9</w:t>
      </w:r>
      <w:r w:rsidRPr="005A5C02">
        <w:noBreakHyphen/>
        <w:t>0448/2023),</w:t>
      </w:r>
    </w:p>
    <w:p w14:paraId="5DF81D97" w14:textId="77777777" w:rsidR="00E61F6A" w:rsidRPr="005A5C02" w:rsidRDefault="00E61F6A" w:rsidP="00E61F6A">
      <w:pPr>
        <w:pStyle w:val="NormalHanging12a"/>
      </w:pPr>
      <w:r w:rsidRPr="005A5C02">
        <w:t>–</w:t>
      </w:r>
      <w:r w:rsidRPr="005A5C02">
        <w:tab/>
        <w:t>uwzględniając art. 294 ust. 3 Traktatu o funkcjonowaniu Unii Europejskiej,</w:t>
      </w:r>
    </w:p>
    <w:p w14:paraId="129406D8" w14:textId="77777777" w:rsidR="00E61F6A" w:rsidRDefault="00E61F6A" w:rsidP="00E61F6A">
      <w:pPr>
        <w:pStyle w:val="NormalHanging12a"/>
      </w:pPr>
      <w:r w:rsidRPr="005A5C02">
        <w:t>–</w:t>
      </w:r>
      <w:r w:rsidRPr="005A5C02">
        <w:tab/>
        <w:t>uwzględniając opinię Europejskiego Komitetu Ekonomiczno-Społecznego z 20 marca 2024 r.</w:t>
      </w:r>
      <w:r w:rsidRPr="005A5C02">
        <w:rPr>
          <w:rStyle w:val="FootnoteReference"/>
        </w:rPr>
        <w:footnoteReference w:id="1"/>
      </w:r>
      <w:r w:rsidRPr="005A5C02">
        <w:t>,</w:t>
      </w:r>
    </w:p>
    <w:p w14:paraId="1077858B" w14:textId="6772E241" w:rsidR="00621FA9" w:rsidRPr="005A5C02" w:rsidRDefault="00621FA9" w:rsidP="00E61F6A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25 czerwca 2025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14:paraId="53D74FE7" w14:textId="77777777" w:rsidR="00E61F6A" w:rsidRPr="005A5C02" w:rsidRDefault="00E61F6A" w:rsidP="00E61F6A">
      <w:pPr>
        <w:pStyle w:val="NormalHanging12a"/>
      </w:pPr>
      <w:r w:rsidRPr="005A5C02">
        <w:t>–</w:t>
      </w:r>
      <w:r w:rsidRPr="005A5C02">
        <w:tab/>
        <w:t>uwzględniając art. 60 Regulaminu,</w:t>
      </w:r>
    </w:p>
    <w:p w14:paraId="06213D0B" w14:textId="77777777" w:rsidR="00E61F6A" w:rsidRPr="005A5C02" w:rsidRDefault="00E61F6A" w:rsidP="00E61F6A">
      <w:pPr>
        <w:pStyle w:val="NormalHanging12a"/>
      </w:pPr>
      <w:r w:rsidRPr="005A5C02">
        <w:t>–</w:t>
      </w:r>
      <w:r w:rsidRPr="005A5C02">
        <w:tab/>
        <w:t>uwzględniając sprawozdanie Komisji Ochrony Środowiska Naturalnego, Klimatu i Bezpieczeństwa Żywności (A10-0019/2025),</w:t>
      </w:r>
    </w:p>
    <w:p w14:paraId="442F8698" w14:textId="1368C51C" w:rsidR="00E61F6A" w:rsidRPr="005A5C02" w:rsidRDefault="00E61F6A" w:rsidP="00E61F6A">
      <w:pPr>
        <w:pStyle w:val="NormalHanging12a"/>
      </w:pPr>
      <w:r w:rsidRPr="005A5C02">
        <w:t>1.</w:t>
      </w:r>
      <w:r w:rsidRPr="005A5C02">
        <w:tab/>
        <w:t>przyjmuje poniższe stanowisko w pierwszym czytaniu</w:t>
      </w:r>
      <w:r w:rsidR="00621FA9">
        <w:rPr>
          <w:rStyle w:val="FootnoteReference"/>
        </w:rPr>
        <w:footnoteReference w:id="2"/>
      </w:r>
      <w:r w:rsidRPr="005A5C02">
        <w:t>;</w:t>
      </w:r>
    </w:p>
    <w:p w14:paraId="6E4B4683" w14:textId="77777777" w:rsidR="00E61F6A" w:rsidRPr="005A5C02" w:rsidRDefault="00E61F6A" w:rsidP="00E61F6A">
      <w:pPr>
        <w:pStyle w:val="NormalHanging12a"/>
      </w:pPr>
      <w:r w:rsidRPr="005A5C02">
        <w:t>2.</w:t>
      </w:r>
      <w:r w:rsidRPr="005A5C02">
        <w:tab/>
        <w:t xml:space="preserve">zwraca się do Komisji o ponowne przekazanie mu sprawy, jeśli zastąpi ona pierwotny </w:t>
      </w:r>
      <w:r w:rsidRPr="005A5C02">
        <w:lastRenderedPageBreak/>
        <w:t>wniosek, wprowadzi w nim istotne zmiany lub planuje ich wprowadzenie;</w:t>
      </w:r>
    </w:p>
    <w:p w14:paraId="58DD12DD" w14:textId="77777777" w:rsidR="00E61F6A" w:rsidRDefault="00E61F6A" w:rsidP="00E61F6A">
      <w:pPr>
        <w:pStyle w:val="NormalHanging12a"/>
      </w:pPr>
      <w:r w:rsidRPr="005A5C02">
        <w:t>3.</w:t>
      </w:r>
      <w:r w:rsidRPr="005A5C02">
        <w:tab/>
        <w:t>zobowiązuje swoją przewodniczącą do przekazania stanowiska Parlamentu Radzie i Komisji oraz parlamentom narodowym.</w:t>
      </w:r>
    </w:p>
    <w:p w14:paraId="48ECA447" w14:textId="77777777" w:rsidR="00812589" w:rsidRDefault="00812589" w:rsidP="00E61F6A">
      <w:pPr>
        <w:pStyle w:val="NormalHanging12a"/>
        <w:sectPr w:rsidR="00812589" w:rsidSect="005A5C0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9869006" w14:textId="26DF7041" w:rsidR="00621FA9" w:rsidRDefault="00621FA9" w:rsidP="003D26C8">
      <w:pPr>
        <w:spacing w:after="240"/>
        <w:rPr>
          <w:b/>
        </w:rPr>
      </w:pPr>
      <w:r>
        <w:rPr>
          <w:b/>
        </w:rPr>
        <w:lastRenderedPageBreak/>
        <w:t>P10_TC1-</w:t>
      </w:r>
      <w:proofErr w:type="gramStart"/>
      <w:r>
        <w:rPr>
          <w:b/>
        </w:rPr>
        <w:t>COD(</w:t>
      </w:r>
      <w:proofErr w:type="gramEnd"/>
      <w:r>
        <w:rPr>
          <w:b/>
        </w:rPr>
        <w:t>2023)0454</w:t>
      </w:r>
    </w:p>
    <w:p w14:paraId="0680D558" w14:textId="41E3589E" w:rsidR="00812589" w:rsidRPr="00136504" w:rsidRDefault="00621FA9" w:rsidP="003D26C8">
      <w:pPr>
        <w:spacing w:after="240"/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21 października 2025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2025/... </w:t>
      </w:r>
      <w:r w:rsidR="003D26C8" w:rsidRPr="003D26C8">
        <w:rPr>
          <w:b/>
          <w:bCs/>
        </w:rPr>
        <w:t>w sprawie zmiany dyrektywy 2011/65/UE w zakresie ponownego przydzielenia Europejskiej Agencji Chemikaliów zadań naukowych i technicznych</w:t>
      </w:r>
    </w:p>
    <w:p w14:paraId="0FCCAAE9" w14:textId="23ECA096" w:rsidR="00812589" w:rsidRPr="00DB22C1" w:rsidRDefault="003D26C8" w:rsidP="003D26C8">
      <w:pPr>
        <w:widowControl/>
        <w:spacing w:after="240"/>
      </w:pPr>
      <w:r w:rsidRPr="00E401E0">
        <w:rPr>
          <w:bCs/>
          <w:i/>
          <w:szCs w:val="24"/>
          <w:lang w:eastAsia="en-US"/>
        </w:rPr>
        <w:t xml:space="preserve">(Jako że pomiędzy Parlamentem i Radą osiągnięte zostało porozumienie, stanowisko Parlamentu odpowiada ostatecznej wersji aktu prawnego, </w:t>
      </w:r>
      <w:r w:rsidRPr="003D26C8">
        <w:rPr>
          <w:bCs/>
          <w:i/>
          <w:szCs w:val="24"/>
          <w:lang w:eastAsia="en-US"/>
        </w:rPr>
        <w:t>dyrektywy</w:t>
      </w:r>
      <w:r w:rsidRPr="00291A00">
        <w:rPr>
          <w:b/>
        </w:rPr>
        <w:t xml:space="preserve"> </w:t>
      </w:r>
      <w:r w:rsidRPr="00E401E0">
        <w:rPr>
          <w:bCs/>
          <w:i/>
          <w:szCs w:val="24"/>
          <w:lang w:eastAsia="en-US"/>
        </w:rPr>
        <w:t>(UE) 2025/24</w:t>
      </w:r>
      <w:r>
        <w:rPr>
          <w:bCs/>
          <w:i/>
          <w:szCs w:val="24"/>
          <w:lang w:eastAsia="en-US"/>
        </w:rPr>
        <w:t>5</w:t>
      </w:r>
      <w:r>
        <w:rPr>
          <w:bCs/>
          <w:i/>
          <w:szCs w:val="24"/>
          <w:lang w:eastAsia="en-US"/>
        </w:rPr>
        <w:t>6</w:t>
      </w:r>
      <w:r w:rsidRPr="00E401E0">
        <w:rPr>
          <w:bCs/>
          <w:i/>
          <w:szCs w:val="24"/>
          <w:lang w:eastAsia="en-US"/>
        </w:rPr>
        <w:t>.)</w:t>
      </w:r>
    </w:p>
    <w:sectPr w:rsidR="00812589" w:rsidRPr="00DB22C1" w:rsidSect="008125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AFDDD" w14:textId="77777777" w:rsidR="00CF1CAC" w:rsidRPr="005A5C02" w:rsidRDefault="00CF1CAC">
      <w:r w:rsidRPr="005A5C02">
        <w:separator/>
      </w:r>
    </w:p>
  </w:endnote>
  <w:endnote w:type="continuationSeparator" w:id="0">
    <w:p w14:paraId="327268D7" w14:textId="77777777" w:rsidR="00CF1CAC" w:rsidRPr="005A5C02" w:rsidRDefault="00CF1CAC">
      <w:r w:rsidRPr="005A5C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3F9EC" w14:textId="77777777" w:rsidR="00621FA9" w:rsidRDefault="00621F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F6DF6" w14:textId="39CBEEB9" w:rsidR="00621FA9" w:rsidRPr="00621FA9" w:rsidRDefault="00621FA9" w:rsidP="00621F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05865" w14:textId="77777777" w:rsidR="00621FA9" w:rsidRDefault="00621F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3E3C8" w14:textId="77777777" w:rsidR="00CF1CAC" w:rsidRPr="005A5C02" w:rsidRDefault="00CF1CAC">
      <w:r w:rsidRPr="005A5C02">
        <w:separator/>
      </w:r>
    </w:p>
  </w:footnote>
  <w:footnote w:type="continuationSeparator" w:id="0">
    <w:p w14:paraId="614CE385" w14:textId="77777777" w:rsidR="00CF1CAC" w:rsidRPr="005A5C02" w:rsidRDefault="00CF1CAC">
      <w:r w:rsidRPr="005A5C02">
        <w:continuationSeparator/>
      </w:r>
    </w:p>
  </w:footnote>
  <w:footnote w:id="1">
    <w:p w14:paraId="5213EEBB" w14:textId="0F800809" w:rsidR="00E61F6A" w:rsidRPr="00812589" w:rsidRDefault="00E61F6A" w:rsidP="005A5C02">
      <w:pPr>
        <w:pStyle w:val="FootnoteText"/>
        <w:ind w:left="567" w:hanging="567"/>
        <w:rPr>
          <w:sz w:val="24"/>
          <w:lang w:val="fi-FI"/>
        </w:rPr>
      </w:pPr>
      <w:r w:rsidRPr="005A5C02">
        <w:rPr>
          <w:rStyle w:val="FootnoteReference"/>
          <w:sz w:val="24"/>
          <w:lang w:val="pl-PL"/>
        </w:rPr>
        <w:footnoteRef/>
      </w:r>
      <w:r w:rsidR="005A5C02" w:rsidRPr="00812589">
        <w:rPr>
          <w:sz w:val="24"/>
          <w:lang w:val="fi-FI"/>
        </w:rPr>
        <w:t xml:space="preserve"> </w:t>
      </w:r>
      <w:r w:rsidR="005A5C02" w:rsidRPr="00812589">
        <w:rPr>
          <w:sz w:val="24"/>
          <w:lang w:val="fi-FI"/>
        </w:rPr>
        <w:tab/>
      </w:r>
      <w:proofErr w:type="spellStart"/>
      <w:r w:rsidRPr="00812589">
        <w:rPr>
          <w:sz w:val="24"/>
          <w:lang w:val="fi-FI"/>
        </w:rPr>
        <w:t>Dz.U</w:t>
      </w:r>
      <w:proofErr w:type="spellEnd"/>
      <w:r w:rsidRPr="00812589">
        <w:rPr>
          <w:sz w:val="24"/>
          <w:lang w:val="fi-FI"/>
        </w:rPr>
        <w:t xml:space="preserve">. C, C/2024/3381, 31.5.2024, ELI: </w:t>
      </w:r>
      <w:hyperlink r:id="rId1" w:history="1">
        <w:r w:rsidRPr="00DD74AB">
          <w:rPr>
            <w:rStyle w:val="Hyperlink"/>
            <w:sz w:val="24"/>
            <w:lang w:val="fi-FI"/>
          </w:rPr>
          <w:t>http://data.europa.eu/eli/C/2024/3381/oj</w:t>
        </w:r>
      </w:hyperlink>
      <w:r w:rsidRPr="00812589">
        <w:rPr>
          <w:sz w:val="24"/>
          <w:lang w:val="fi-FI"/>
        </w:rPr>
        <w:t>.</w:t>
      </w:r>
    </w:p>
  </w:footnote>
  <w:footnote w:id="2">
    <w:p w14:paraId="355E7CCB" w14:textId="65A6B8F0" w:rsidR="00621FA9" w:rsidRPr="00621FA9" w:rsidRDefault="00621FA9">
      <w:pPr>
        <w:pStyle w:val="FootnoteText"/>
        <w:rPr>
          <w:sz w:val="24"/>
          <w:szCs w:val="24"/>
          <w:lang w:val="pl-PL"/>
        </w:rPr>
      </w:pPr>
      <w:r w:rsidRPr="00621FA9">
        <w:rPr>
          <w:rStyle w:val="FootnoteReference"/>
          <w:sz w:val="24"/>
          <w:szCs w:val="24"/>
        </w:rPr>
        <w:footnoteRef/>
      </w:r>
      <w:r w:rsidRPr="00621FA9">
        <w:rPr>
          <w:sz w:val="24"/>
          <w:szCs w:val="24"/>
          <w:lang w:val="pl-PL"/>
        </w:rPr>
        <w:t xml:space="preserve"> </w:t>
      </w:r>
      <w:r w:rsidRPr="00621FA9">
        <w:rPr>
          <w:sz w:val="24"/>
          <w:szCs w:val="24"/>
          <w:lang w:val="pl-PL"/>
        </w:rPr>
        <w:tab/>
        <w:t>Niniejsze stanowisko zastępuje poprawki przyjęte</w:t>
      </w:r>
      <w:r w:rsidR="00C8770B">
        <w:rPr>
          <w:sz w:val="24"/>
          <w:szCs w:val="24"/>
          <w:lang w:val="pl-PL"/>
        </w:rPr>
        <w:t xml:space="preserve"> w</w:t>
      </w:r>
      <w:r w:rsidRPr="00621FA9">
        <w:rPr>
          <w:sz w:val="24"/>
          <w:szCs w:val="24"/>
          <w:lang w:val="pl-PL"/>
        </w:rPr>
        <w:t xml:space="preserve"> dni</w:t>
      </w:r>
      <w:r w:rsidR="00C8770B">
        <w:rPr>
          <w:sz w:val="24"/>
          <w:szCs w:val="24"/>
          <w:lang w:val="pl-PL"/>
        </w:rPr>
        <w:t>u</w:t>
      </w:r>
      <w:r w:rsidRPr="00621FA9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1 kwietnia</w:t>
      </w:r>
      <w:r w:rsidRPr="00621FA9">
        <w:rPr>
          <w:sz w:val="24"/>
          <w:szCs w:val="24"/>
          <w:lang w:val="pl-PL"/>
        </w:rPr>
        <w:t xml:space="preserve"> 20</w:t>
      </w:r>
      <w:r>
        <w:rPr>
          <w:sz w:val="24"/>
          <w:szCs w:val="24"/>
          <w:lang w:val="pl-PL"/>
        </w:rPr>
        <w:t>25</w:t>
      </w:r>
      <w:r w:rsidRPr="00621FA9">
        <w:rPr>
          <w:sz w:val="24"/>
          <w:szCs w:val="24"/>
          <w:lang w:val="pl-PL"/>
        </w:rPr>
        <w:t xml:space="preserve"> r. (Teksty przyjęte, P</w:t>
      </w:r>
      <w:r>
        <w:rPr>
          <w:sz w:val="24"/>
          <w:szCs w:val="24"/>
          <w:lang w:val="pl-PL"/>
        </w:rPr>
        <w:t>10</w:t>
      </w:r>
      <w:r w:rsidRPr="00621FA9">
        <w:rPr>
          <w:sz w:val="24"/>
          <w:szCs w:val="24"/>
          <w:lang w:val="pl-PL"/>
        </w:rPr>
        <w:t>_</w:t>
      </w:r>
      <w:proofErr w:type="gramStart"/>
      <w:r w:rsidRPr="00621FA9">
        <w:rPr>
          <w:sz w:val="24"/>
          <w:szCs w:val="24"/>
          <w:lang w:val="pl-PL"/>
        </w:rPr>
        <w:t>TA(</w:t>
      </w:r>
      <w:proofErr w:type="gramEnd"/>
      <w:r w:rsidRPr="00621FA9">
        <w:rPr>
          <w:sz w:val="24"/>
          <w:szCs w:val="24"/>
          <w:lang w:val="pl-PL"/>
        </w:rPr>
        <w:t>202</w:t>
      </w:r>
      <w:r>
        <w:rPr>
          <w:sz w:val="24"/>
          <w:szCs w:val="24"/>
          <w:lang w:val="pl-PL"/>
        </w:rPr>
        <w:t>5</w:t>
      </w:r>
      <w:r w:rsidRPr="00621FA9">
        <w:rPr>
          <w:sz w:val="24"/>
          <w:szCs w:val="24"/>
          <w:lang w:val="pl-PL"/>
        </w:rPr>
        <w:t>)00</w:t>
      </w:r>
      <w:r>
        <w:rPr>
          <w:sz w:val="24"/>
          <w:szCs w:val="24"/>
          <w:lang w:val="pl-PL"/>
        </w:rPr>
        <w:t>46</w:t>
      </w:r>
      <w:r w:rsidRPr="00621FA9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6BB0" w14:textId="77777777" w:rsidR="00621FA9" w:rsidRDefault="00621F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8528A" w14:textId="77777777" w:rsidR="00621FA9" w:rsidRDefault="00621F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BC29" w14:textId="77777777" w:rsidR="00621FA9" w:rsidRDefault="00621F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36358671">
    <w:abstractNumId w:val="9"/>
  </w:num>
  <w:num w:numId="2" w16cid:durableId="710618081">
    <w:abstractNumId w:val="9"/>
  </w:num>
  <w:num w:numId="3" w16cid:durableId="1557930312">
    <w:abstractNumId w:val="7"/>
  </w:num>
  <w:num w:numId="4" w16cid:durableId="146166621">
    <w:abstractNumId w:val="7"/>
  </w:num>
  <w:num w:numId="5" w16cid:durableId="703749580">
    <w:abstractNumId w:val="6"/>
  </w:num>
  <w:num w:numId="6" w16cid:durableId="624970493">
    <w:abstractNumId w:val="6"/>
  </w:num>
  <w:num w:numId="7" w16cid:durableId="1495875231">
    <w:abstractNumId w:val="5"/>
  </w:num>
  <w:num w:numId="8" w16cid:durableId="1063482114">
    <w:abstractNumId w:val="5"/>
  </w:num>
  <w:num w:numId="9" w16cid:durableId="1228152728">
    <w:abstractNumId w:val="4"/>
  </w:num>
  <w:num w:numId="10" w16cid:durableId="1626110202">
    <w:abstractNumId w:val="4"/>
  </w:num>
  <w:num w:numId="11" w16cid:durableId="679890554">
    <w:abstractNumId w:val="8"/>
  </w:num>
  <w:num w:numId="12" w16cid:durableId="1905484069">
    <w:abstractNumId w:val="8"/>
  </w:num>
  <w:num w:numId="13" w16cid:durableId="1619872839">
    <w:abstractNumId w:val="3"/>
  </w:num>
  <w:num w:numId="14" w16cid:durableId="1958173229">
    <w:abstractNumId w:val="3"/>
  </w:num>
  <w:num w:numId="15" w16cid:durableId="2121560001">
    <w:abstractNumId w:val="2"/>
  </w:num>
  <w:num w:numId="16" w16cid:durableId="1540970166">
    <w:abstractNumId w:val="2"/>
  </w:num>
  <w:num w:numId="17" w16cid:durableId="1543595925">
    <w:abstractNumId w:val="1"/>
  </w:num>
  <w:num w:numId="18" w16cid:durableId="1751152227">
    <w:abstractNumId w:val="1"/>
  </w:num>
  <w:num w:numId="19" w16cid:durableId="1515269598">
    <w:abstractNumId w:val="0"/>
  </w:num>
  <w:num w:numId="20" w16cid:durableId="1597321883">
    <w:abstractNumId w:val="0"/>
  </w:num>
  <w:num w:numId="21" w16cid:durableId="353388645">
    <w:abstractNumId w:val="9"/>
  </w:num>
  <w:num w:numId="22" w16cid:durableId="145364123">
    <w:abstractNumId w:val="7"/>
  </w:num>
  <w:num w:numId="23" w16cid:durableId="2109499844">
    <w:abstractNumId w:val="6"/>
  </w:num>
  <w:num w:numId="24" w16cid:durableId="1982807600">
    <w:abstractNumId w:val="5"/>
  </w:num>
  <w:num w:numId="25" w16cid:durableId="2072461816">
    <w:abstractNumId w:val="4"/>
  </w:num>
  <w:num w:numId="26" w16cid:durableId="511069757">
    <w:abstractNumId w:val="8"/>
  </w:num>
  <w:num w:numId="27" w16cid:durableId="1924989493">
    <w:abstractNumId w:val="3"/>
  </w:num>
  <w:num w:numId="28" w16cid:durableId="1718354822">
    <w:abstractNumId w:val="2"/>
  </w:num>
  <w:num w:numId="29" w16cid:durableId="1970625663">
    <w:abstractNumId w:val="1"/>
  </w:num>
  <w:num w:numId="30" w16cid:durableId="972903353">
    <w:abstractNumId w:val="0"/>
  </w:num>
  <w:num w:numId="31" w16cid:durableId="2073504830">
    <w:abstractNumId w:val="9"/>
  </w:num>
  <w:num w:numId="32" w16cid:durableId="774598397">
    <w:abstractNumId w:val="7"/>
  </w:num>
  <w:num w:numId="33" w16cid:durableId="27948449">
    <w:abstractNumId w:val="6"/>
  </w:num>
  <w:num w:numId="34" w16cid:durableId="2100985175">
    <w:abstractNumId w:val="5"/>
  </w:num>
  <w:num w:numId="35" w16cid:durableId="1824658491">
    <w:abstractNumId w:val="4"/>
  </w:num>
  <w:num w:numId="36" w16cid:durableId="1205749203">
    <w:abstractNumId w:val="8"/>
  </w:num>
  <w:num w:numId="37" w16cid:durableId="1188907602">
    <w:abstractNumId w:val="3"/>
  </w:num>
  <w:num w:numId="38" w16cid:durableId="854004222">
    <w:abstractNumId w:val="2"/>
  </w:num>
  <w:num w:numId="39" w16cid:durableId="1348212752">
    <w:abstractNumId w:val="1"/>
  </w:num>
  <w:num w:numId="40" w16cid:durableId="954093984">
    <w:abstractNumId w:val="0"/>
  </w:num>
  <w:num w:numId="41" w16cid:durableId="151527582">
    <w:abstractNumId w:val="10"/>
  </w:num>
  <w:num w:numId="42" w16cid:durableId="64032277">
    <w:abstractNumId w:val="10"/>
  </w:num>
  <w:num w:numId="43" w16cid:durableId="1252855593">
    <w:abstractNumId w:val="10"/>
  </w:num>
  <w:num w:numId="44" w16cid:durableId="576331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9/2025"/>
    <w:docVar w:name="dvlangue" w:val="PL"/>
    <w:docVar w:name="dvnumam" w:val="19"/>
    <w:docVar w:name="dvpe" w:val="763.254"/>
    <w:docVar w:name="dvrapporteur" w:val="Sprawozdawca: "/>
    <w:docVar w:name="dvstar" w:val="***I"/>
    <w:docVar w:name="dvtitre" w:val="Rezolucja ustawodawcza Parlamentu Europejskiego z dnia  2025 r. w sprawie wniosku dotyczącego dyrektywy Parlamentu Europejskiego i Rady zmieniającej dyrektywę Parlamentu Europejskiego i Rady 2011/65/UE w odniesieniu do ponownego przydzielenia Europejskiej Agencji Chemikaliów zadań naukowych i technicznych(COM(2023)0781 – C9-0448/2023 – 2023/0454(COD))"/>
  </w:docVars>
  <w:rsids>
    <w:rsidRoot w:val="00CF1C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26C8"/>
    <w:rsid w:val="003E15D4"/>
    <w:rsid w:val="00411CCE"/>
    <w:rsid w:val="0041666E"/>
    <w:rsid w:val="00421060"/>
    <w:rsid w:val="00471C19"/>
    <w:rsid w:val="004867E3"/>
    <w:rsid w:val="00494A28"/>
    <w:rsid w:val="004B4415"/>
    <w:rsid w:val="004C0004"/>
    <w:rsid w:val="004C5D52"/>
    <w:rsid w:val="0050519A"/>
    <w:rsid w:val="005072A1"/>
    <w:rsid w:val="00514517"/>
    <w:rsid w:val="00545827"/>
    <w:rsid w:val="00560270"/>
    <w:rsid w:val="005A5C02"/>
    <w:rsid w:val="005C2568"/>
    <w:rsid w:val="005F1B17"/>
    <w:rsid w:val="006037C0"/>
    <w:rsid w:val="00621FA9"/>
    <w:rsid w:val="006631B6"/>
    <w:rsid w:val="00680577"/>
    <w:rsid w:val="00693C1F"/>
    <w:rsid w:val="006F74FA"/>
    <w:rsid w:val="00705D08"/>
    <w:rsid w:val="00721368"/>
    <w:rsid w:val="00731ADD"/>
    <w:rsid w:val="00734777"/>
    <w:rsid w:val="00745EE2"/>
    <w:rsid w:val="00747932"/>
    <w:rsid w:val="00751A4A"/>
    <w:rsid w:val="00756632"/>
    <w:rsid w:val="00762C74"/>
    <w:rsid w:val="00786EC0"/>
    <w:rsid w:val="007D1690"/>
    <w:rsid w:val="007E22AD"/>
    <w:rsid w:val="0081258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57B"/>
    <w:rsid w:val="00A1687D"/>
    <w:rsid w:val="00A43E52"/>
    <w:rsid w:val="00A4678D"/>
    <w:rsid w:val="00A778C7"/>
    <w:rsid w:val="00AB441E"/>
    <w:rsid w:val="00AB6293"/>
    <w:rsid w:val="00AE0928"/>
    <w:rsid w:val="00AF154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770B"/>
    <w:rsid w:val="00C941CB"/>
    <w:rsid w:val="00CC2357"/>
    <w:rsid w:val="00CF071A"/>
    <w:rsid w:val="00CF1CAC"/>
    <w:rsid w:val="00D058B8"/>
    <w:rsid w:val="00D248AD"/>
    <w:rsid w:val="00D56C11"/>
    <w:rsid w:val="00D834A0"/>
    <w:rsid w:val="00D872DF"/>
    <w:rsid w:val="00D91E21"/>
    <w:rsid w:val="00DA7FCD"/>
    <w:rsid w:val="00DD74AB"/>
    <w:rsid w:val="00E365E1"/>
    <w:rsid w:val="00E61F6A"/>
    <w:rsid w:val="00E820A4"/>
    <w:rsid w:val="00EB006A"/>
    <w:rsid w:val="00EB4772"/>
    <w:rsid w:val="00ED169E"/>
    <w:rsid w:val="00ED4235"/>
    <w:rsid w:val="00ED63BF"/>
    <w:rsid w:val="00F04346"/>
    <w:rsid w:val="00F075DC"/>
    <w:rsid w:val="00F149E9"/>
    <w:rsid w:val="00F5134D"/>
    <w:rsid w:val="00F63D2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9AFCF7"/>
  <w15:chartTrackingRefBased/>
  <w15:docId w15:val="{1B106F64-6DE1-4BF9-9D1E-8CB6F30B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E61F6A"/>
    <w:rPr>
      <w:b/>
    </w:rPr>
  </w:style>
  <w:style w:type="paragraph" w:customStyle="1" w:styleId="NormalHanging12a">
    <w:name w:val="NormalHanging12a"/>
    <w:basedOn w:val="Normal"/>
    <w:rsid w:val="00E61F6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E61F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E61F6A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E61F6A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E61F6A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E61F6A"/>
    <w:rPr>
      <w:b/>
      <w:sz w:val="24"/>
      <w:lang w:val="pl-PL"/>
    </w:rPr>
  </w:style>
  <w:style w:type="paragraph" w:customStyle="1" w:styleId="ColumnHeading">
    <w:name w:val="ColumnHeading"/>
    <w:basedOn w:val="Normal"/>
    <w:rsid w:val="00E61F6A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E61F6A"/>
    <w:pPr>
      <w:spacing w:before="240"/>
      <w:jc w:val="center"/>
    </w:pPr>
    <w:rPr>
      <w:i/>
    </w:rPr>
  </w:style>
  <w:style w:type="paragraph" w:styleId="Header">
    <w:name w:val="header"/>
    <w:basedOn w:val="Normal"/>
    <w:link w:val="HeaderChar"/>
    <w:rsid w:val="008125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2589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812589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812589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812589"/>
    <w:pPr>
      <w:spacing w:after="240"/>
      <w:jc w:val="center"/>
    </w:pPr>
  </w:style>
  <w:style w:type="paragraph" w:customStyle="1" w:styleId="EPFooter">
    <w:name w:val="EPFooter"/>
    <w:basedOn w:val="Normal"/>
    <w:rsid w:val="00812589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8125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12589"/>
    <w:rPr>
      <w:sz w:val="24"/>
      <w:lang w:val="pl-PL"/>
    </w:rPr>
  </w:style>
  <w:style w:type="paragraph" w:customStyle="1" w:styleId="Text1">
    <w:name w:val="Text 1"/>
    <w:basedOn w:val="Normal"/>
    <w:rsid w:val="00812589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12589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12589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1258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12589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12589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12589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1258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12589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12589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12589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12589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12589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12589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812589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12589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812589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12589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812589"/>
    <w:pPr>
      <w:widowControl/>
      <w:spacing w:before="360" w:after="240" w:line="360" w:lineRule="auto"/>
      <w:jc w:val="center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12589"/>
    <w:rPr>
      <w:color w:val="0563C1" w:themeColor="hyperlink"/>
      <w:u w:val="single"/>
    </w:rPr>
  </w:style>
  <w:style w:type="paragraph" w:customStyle="1" w:styleId="FootnoteTextForceStyle">
    <w:name w:val="Footnote Text ForceStyle"/>
    <w:rsid w:val="00812589"/>
    <w:pPr>
      <w:keepLines/>
      <w:widowControl w:val="0"/>
      <w:spacing w:line="240" w:lineRule="exact"/>
      <w:ind w:left="850" w:hanging="850"/>
    </w:pPr>
    <w:rPr>
      <w:sz w:val="24"/>
      <w:lang w:val="pl-PL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D7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278</Words>
  <Characters>2227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BINKEVICIUTE Aurelija</cp:lastModifiedBy>
  <cp:revision>2</cp:revision>
  <cp:lastPrinted>2004-11-19T15:42:00Z</cp:lastPrinted>
  <dcterms:created xsi:type="dcterms:W3CDTF">2026-01-14T08:47:00Z</dcterms:created>
  <dcterms:modified xsi:type="dcterms:W3CDTF">2026-01-14T08:47:00Z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P10_TA(2025)0236_</vt:lpwstr>
  </property>
  <property fmtid="{D5CDD505-2E9C-101B-9397-08002B2CF9AE}" pid="4" name="&lt;Type&gt;">
    <vt:lpwstr>RR</vt:lpwstr>
  </property>
</Properties>
</file>