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7952" w14:paraId="0F839B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8D869D" w14:textId="77777777" w:rsidR="00751A4A" w:rsidRPr="00ED7952" w:rsidRDefault="00166208" w:rsidP="0010095E">
            <w:pPr>
              <w:pStyle w:val="EPName"/>
            </w:pPr>
            <w:r w:rsidRPr="00ED7952">
              <w:t xml:space="preserve">Parlamento </w:t>
            </w:r>
            <w:proofErr w:type="gramStart"/>
            <w:r w:rsidRPr="00ED7952">
              <w:t>Europeu</w:t>
            </w:r>
            <w:proofErr w:type="gramEnd"/>
          </w:p>
          <w:p w14:paraId="30720CB4" w14:textId="77777777" w:rsidR="00751A4A" w:rsidRPr="00ED79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7952">
              <w:t>2024</w:t>
            </w:r>
            <w:r w:rsidR="00817416" w:rsidRPr="00ED7952">
              <w:t>-202</w:t>
            </w:r>
            <w:r w:rsidRPr="00ED7952">
              <w:t>9</w:t>
            </w:r>
          </w:p>
        </w:tc>
        <w:tc>
          <w:tcPr>
            <w:tcW w:w="2268" w:type="dxa"/>
            <w:shd w:val="clear" w:color="auto" w:fill="auto"/>
          </w:tcPr>
          <w:p w14:paraId="225E1CCD" w14:textId="77777777" w:rsidR="00751A4A" w:rsidRPr="00ED7952" w:rsidRDefault="00187494" w:rsidP="0010095E">
            <w:pPr>
              <w:pStyle w:val="EPLogo"/>
            </w:pPr>
            <w:r w:rsidRPr="00ED7952">
              <w:rPr>
                <w:noProof/>
                <w:lang w:eastAsia="ja-JP"/>
              </w:rPr>
              <w:drawing>
                <wp:inline distT="0" distB="0" distL="0" distR="0" wp14:anchorId="4D1CDB87" wp14:editId="671E98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17018" w14:textId="77777777" w:rsidR="00D058B8" w:rsidRPr="00ED7952" w:rsidRDefault="00D058B8" w:rsidP="004C5D52">
      <w:pPr>
        <w:pStyle w:val="LineTop"/>
      </w:pPr>
    </w:p>
    <w:p w14:paraId="1D362DE0" w14:textId="77777777" w:rsidR="00680577" w:rsidRPr="00ED7952" w:rsidRDefault="00166208" w:rsidP="00680577">
      <w:pPr>
        <w:pStyle w:val="EPBodyTA1"/>
      </w:pPr>
      <w:r w:rsidRPr="00ED7952">
        <w:t>TEXTOS APROVADOS</w:t>
      </w:r>
    </w:p>
    <w:p w14:paraId="428AA618" w14:textId="77777777" w:rsidR="00D058B8" w:rsidRPr="00ED7952" w:rsidRDefault="00D058B8" w:rsidP="00D058B8">
      <w:pPr>
        <w:pStyle w:val="LineBottom"/>
      </w:pPr>
    </w:p>
    <w:p w14:paraId="5C12B7A4" w14:textId="7DB2CBAF" w:rsidR="00166208" w:rsidRPr="00ED7952" w:rsidRDefault="00166208" w:rsidP="00166208">
      <w:pPr>
        <w:pStyle w:val="ATHeading1"/>
      </w:pPr>
      <w:bookmarkStart w:id="0" w:name="TANumber"/>
      <w:r w:rsidRPr="00ED7952">
        <w:t>P10_TA(2025)</w:t>
      </w:r>
      <w:bookmarkEnd w:id="0"/>
      <w:r w:rsidR="00ED7952" w:rsidRPr="00ED7952">
        <w:t>0236</w:t>
      </w:r>
    </w:p>
    <w:p w14:paraId="551BEF03" w14:textId="77777777" w:rsidR="00166208" w:rsidRPr="00ED7952" w:rsidRDefault="00166208" w:rsidP="00166208">
      <w:pPr>
        <w:pStyle w:val="ATHeading2"/>
      </w:pPr>
      <w:bookmarkStart w:id="1" w:name="title"/>
      <w:r w:rsidRPr="00ED7952">
        <w:t>Reatribuição de tarefas científicas e técnicas à Agência Europeia dos Produtos Químicos</w:t>
      </w:r>
      <w:bookmarkEnd w:id="1"/>
    </w:p>
    <w:p w14:paraId="2BAD172A" w14:textId="77777777" w:rsidR="00166208" w:rsidRPr="00ED7952" w:rsidRDefault="00166208" w:rsidP="00166208">
      <w:pPr>
        <w:rPr>
          <w:i/>
          <w:vanish/>
        </w:rPr>
      </w:pPr>
      <w:r w:rsidRPr="00ED7952">
        <w:rPr>
          <w:i/>
        </w:rPr>
        <w:fldChar w:fldCharType="begin"/>
      </w:r>
      <w:r w:rsidRPr="00ED7952">
        <w:rPr>
          <w:i/>
        </w:rPr>
        <w:instrText xml:space="preserve"> TC"(</w:instrText>
      </w:r>
      <w:bookmarkStart w:id="2" w:name="DocNumber"/>
      <w:r w:rsidRPr="00ED7952">
        <w:rPr>
          <w:i/>
        </w:rPr>
        <w:instrText>A10-0019/2025</w:instrText>
      </w:r>
      <w:bookmarkEnd w:id="2"/>
      <w:r w:rsidRPr="00ED7952">
        <w:rPr>
          <w:i/>
        </w:rPr>
        <w:instrText xml:space="preserve"> - Relator: Dimitris Tsiodras)"\l3 \n&gt; \* MERGEFORMAT </w:instrText>
      </w:r>
      <w:r w:rsidRPr="00ED7952">
        <w:rPr>
          <w:i/>
        </w:rPr>
        <w:fldChar w:fldCharType="end"/>
      </w:r>
    </w:p>
    <w:p w14:paraId="2A5E6E44" w14:textId="77777777" w:rsidR="00166208" w:rsidRPr="00ED7952" w:rsidRDefault="00166208" w:rsidP="00166208">
      <w:pPr>
        <w:rPr>
          <w:vanish/>
        </w:rPr>
      </w:pPr>
      <w:bookmarkStart w:id="3" w:name="Commission"/>
      <w:r w:rsidRPr="00ED7952">
        <w:rPr>
          <w:vanish/>
        </w:rPr>
        <w:t>Comissão do Ambiente, da Saúde Pública e da Segurança Alimentar</w:t>
      </w:r>
      <w:bookmarkEnd w:id="3"/>
    </w:p>
    <w:p w14:paraId="03B8EF8A" w14:textId="77777777" w:rsidR="00166208" w:rsidRPr="00ED7952" w:rsidRDefault="00166208" w:rsidP="00166208">
      <w:pPr>
        <w:rPr>
          <w:vanish/>
        </w:rPr>
      </w:pPr>
      <w:bookmarkStart w:id="4" w:name="PE"/>
      <w:r w:rsidRPr="00ED7952">
        <w:rPr>
          <w:vanish/>
        </w:rPr>
        <w:t>PE763.254</w:t>
      </w:r>
      <w:bookmarkEnd w:id="4"/>
    </w:p>
    <w:p w14:paraId="2DC1B3D5" w14:textId="6EBF5774" w:rsidR="00166208" w:rsidRPr="00ED7952" w:rsidRDefault="00166208" w:rsidP="00166208">
      <w:pPr>
        <w:pStyle w:val="ATHeading3"/>
      </w:pPr>
      <w:bookmarkStart w:id="5" w:name="Sujet"/>
      <w:r w:rsidRPr="00ED7952">
        <w:t xml:space="preserve">Resolução legislativa do Parlamento Europeu, de </w:t>
      </w:r>
      <w:r w:rsidR="007C1345" w:rsidRPr="00ED7952">
        <w:t xml:space="preserve">21 </w:t>
      </w:r>
      <w:r w:rsidRPr="00ED7952">
        <w:t xml:space="preserve">de </w:t>
      </w:r>
      <w:r w:rsidR="007C1345" w:rsidRPr="00ED7952">
        <w:t xml:space="preserve">outubro </w:t>
      </w:r>
      <w:r w:rsidRPr="00ED7952">
        <w:t>de 2025, sobre a proposta de diretiva do Parlamento Europeu e do Conselho que altera a Diretiva 2011/65/UE do Parlamento Europeu e do Conselho no respeitante à reatribuição de tarefas científicas e técnicas à Agência Europeia dos Produtos Químicos</w:t>
      </w:r>
      <w:bookmarkEnd w:id="5"/>
      <w:r w:rsidRPr="00ED7952">
        <w:t xml:space="preserve"> </w:t>
      </w:r>
      <w:bookmarkStart w:id="6" w:name="References"/>
      <w:r w:rsidRPr="00ED7952">
        <w:t>(COM(2023)0781 – C9-0448/2023 – 2023/0454(COD))</w:t>
      </w:r>
      <w:bookmarkEnd w:id="6"/>
    </w:p>
    <w:p w14:paraId="7764C95E" w14:textId="77777777" w:rsidR="00210F29" w:rsidRPr="00ED7952" w:rsidRDefault="00210F29" w:rsidP="00210F29">
      <w:pPr>
        <w:pStyle w:val="NormalBold"/>
      </w:pPr>
      <w:r w:rsidRPr="00ED7952">
        <w:t>(Processo legislativo ordinário: primeira leitura)</w:t>
      </w:r>
    </w:p>
    <w:p w14:paraId="708E1C9F" w14:textId="77777777" w:rsidR="00210F29" w:rsidRPr="00ED7952" w:rsidRDefault="00210F29" w:rsidP="00210F29">
      <w:pPr>
        <w:pStyle w:val="EPComma"/>
      </w:pPr>
      <w:r w:rsidRPr="00ED7952">
        <w:rPr>
          <w:i/>
        </w:rPr>
        <w:t>O Parlamento Europeu</w:t>
      </w:r>
      <w:r w:rsidRPr="00ED7952">
        <w:t>,</w:t>
      </w:r>
    </w:p>
    <w:p w14:paraId="16ECFB2C" w14:textId="281BC63F" w:rsidR="00210F29" w:rsidRPr="00ED7952" w:rsidRDefault="00210F29" w:rsidP="00210F29">
      <w:pPr>
        <w:pStyle w:val="NormalHanging12a"/>
      </w:pPr>
      <w:r w:rsidRPr="00ED7952">
        <w:t>–</w:t>
      </w:r>
      <w:r w:rsidRPr="00ED7952">
        <w:tab/>
        <w:t>Tendo em conta a proposta da Comissão ao Parlamento e ao Conselho (COM(2023)0781),</w:t>
      </w:r>
    </w:p>
    <w:p w14:paraId="1C6C80C2" w14:textId="77777777" w:rsidR="00210F29" w:rsidRPr="00ED7952" w:rsidRDefault="00210F29" w:rsidP="00210F29">
      <w:pPr>
        <w:pStyle w:val="NormalHanging12a"/>
      </w:pPr>
      <w:r w:rsidRPr="00ED7952">
        <w:t>–</w:t>
      </w:r>
      <w:r w:rsidRPr="00ED7952">
        <w:tab/>
        <w:t>Tendo em conta o artigo 294.º, n.º 2, e o artigo 114.º do Tratado sobre o Funcionamento da União Europeia, nos termos dos quais a proposta lhe foi apresentada pela Comissão (C9</w:t>
      </w:r>
      <w:r w:rsidRPr="00ED7952">
        <w:noBreakHyphen/>
        <w:t>0448/2023),</w:t>
      </w:r>
    </w:p>
    <w:p w14:paraId="099447AE" w14:textId="77777777" w:rsidR="00210F29" w:rsidRPr="00ED7952" w:rsidRDefault="00210F29" w:rsidP="00210F29">
      <w:pPr>
        <w:pStyle w:val="NormalHanging12a"/>
      </w:pPr>
      <w:r w:rsidRPr="00ED7952">
        <w:t>–</w:t>
      </w:r>
      <w:r w:rsidRPr="00ED7952">
        <w:tab/>
        <w:t>Tendo em conta o artigo 294.º, n.º 3 do Tratado sobre o Funcionamento da União Europeia,</w:t>
      </w:r>
    </w:p>
    <w:p w14:paraId="188E9057" w14:textId="428A5950" w:rsidR="00210F29" w:rsidRPr="00ED7952" w:rsidRDefault="00210F29" w:rsidP="00210F29">
      <w:pPr>
        <w:pStyle w:val="NormalHanging12a"/>
      </w:pPr>
      <w:r w:rsidRPr="00ED7952">
        <w:t>–</w:t>
      </w:r>
      <w:r w:rsidRPr="00ED7952">
        <w:tab/>
        <w:t>Tendo em conta o parecer do Comité Económico e Social Europeu, de 20 de março de</w:t>
      </w:r>
      <w:r w:rsidR="003103DF" w:rsidRPr="00ED7952">
        <w:t> </w:t>
      </w:r>
      <w:r w:rsidRPr="00ED7952">
        <w:t>2024</w:t>
      </w:r>
      <w:r w:rsidRPr="00ED7952">
        <w:rPr>
          <w:rStyle w:val="FootnoteReference"/>
        </w:rPr>
        <w:footnoteReference w:id="1"/>
      </w:r>
      <w:r w:rsidRPr="00ED7952">
        <w:t>,</w:t>
      </w:r>
    </w:p>
    <w:p w14:paraId="38970C30" w14:textId="6CB4955D" w:rsidR="00D02BAF" w:rsidRPr="00ED7952" w:rsidRDefault="00D02BAF" w:rsidP="00210F29">
      <w:pPr>
        <w:pStyle w:val="NormalHanging12a"/>
      </w:pPr>
      <w:r w:rsidRPr="00ED7952">
        <w:t>–</w:t>
      </w:r>
      <w:r w:rsidRPr="00ED7952">
        <w:tab/>
        <w:t>Tendo em conta o acordo provisório aprovado pela comissão competente, nos termos do artigo 75.º, n.º 4, do seu Regimento, e o compromisso assumido pelo representante do Conselho, em carta de 25 de junho de 2025, de aprovar a posição do Parlamento, nos termos do artigo 294.º, n.º 4, do Tratado sobre o Funcionamento da União Europeia,</w:t>
      </w:r>
    </w:p>
    <w:p w14:paraId="304420F0" w14:textId="77777777" w:rsidR="00210F29" w:rsidRPr="00ED7952" w:rsidRDefault="00210F29" w:rsidP="00210F29">
      <w:pPr>
        <w:pStyle w:val="NormalHanging12a"/>
      </w:pPr>
      <w:r w:rsidRPr="00ED7952">
        <w:t>–</w:t>
      </w:r>
      <w:r w:rsidRPr="00ED7952">
        <w:tab/>
        <w:t>Tendo em conta o artigo 60.º do seu Regimento,</w:t>
      </w:r>
    </w:p>
    <w:p w14:paraId="40B06E08" w14:textId="77777777" w:rsidR="00210F29" w:rsidRPr="00ED7952" w:rsidRDefault="00210F29" w:rsidP="00210F29">
      <w:pPr>
        <w:pStyle w:val="NormalHanging12a"/>
      </w:pPr>
      <w:r w:rsidRPr="00ED7952">
        <w:t>–</w:t>
      </w:r>
      <w:r w:rsidRPr="00ED7952">
        <w:tab/>
        <w:t xml:space="preserve">Tendo em conta o parecer da Comissão do Ambiente, do Clima e da Segurança </w:t>
      </w:r>
      <w:r w:rsidRPr="00ED7952">
        <w:lastRenderedPageBreak/>
        <w:t>Alimentar (A10</w:t>
      </w:r>
      <w:r w:rsidRPr="00ED7952">
        <w:noBreakHyphen/>
        <w:t>0019/2025),</w:t>
      </w:r>
    </w:p>
    <w:p w14:paraId="4B79F063" w14:textId="01A2094D" w:rsidR="00210F29" w:rsidRPr="00ED7952" w:rsidRDefault="00210F29" w:rsidP="00210F29">
      <w:pPr>
        <w:pStyle w:val="NormalHanging12a"/>
      </w:pPr>
      <w:r w:rsidRPr="00ED7952">
        <w:t>1.</w:t>
      </w:r>
      <w:r w:rsidRPr="00ED7952">
        <w:tab/>
        <w:t>Aprova a posição em primeira leitura que se segue</w:t>
      </w:r>
      <w:r w:rsidR="00D02BAF" w:rsidRPr="00ED7952">
        <w:rPr>
          <w:rStyle w:val="FootnoteReference"/>
        </w:rPr>
        <w:footnoteReference w:id="2"/>
      </w:r>
      <w:r w:rsidRPr="00ED7952">
        <w:t>;</w:t>
      </w:r>
    </w:p>
    <w:p w14:paraId="2007EABF" w14:textId="77777777" w:rsidR="00210F29" w:rsidRPr="00ED7952" w:rsidRDefault="00210F29" w:rsidP="00210F29">
      <w:pPr>
        <w:pStyle w:val="NormalHanging12a"/>
      </w:pPr>
      <w:r w:rsidRPr="00ED7952">
        <w:t>2.</w:t>
      </w:r>
      <w:r w:rsidRPr="00ED7952">
        <w:tab/>
        <w:t>Requer à Comissão que lhe submeta de novo a sua proposta, se a substituir, se a alterar substancialmente ou se pretender alterá</w:t>
      </w:r>
      <w:r w:rsidRPr="00ED7952">
        <w:noBreakHyphen/>
        <w:t>la substancialmente;</w:t>
      </w:r>
    </w:p>
    <w:p w14:paraId="6AC560A0" w14:textId="03E8072B" w:rsidR="00210F29" w:rsidRPr="00ED7952" w:rsidRDefault="00210F29" w:rsidP="00210F29">
      <w:pPr>
        <w:pStyle w:val="NormalHanging12a"/>
      </w:pPr>
      <w:r w:rsidRPr="00ED7952">
        <w:t>3.</w:t>
      </w:r>
      <w:r w:rsidRPr="00ED7952">
        <w:tab/>
        <w:t>Encarrega a sua Presidente de transmitir a posição do Parlamento ao Conselho</w:t>
      </w:r>
      <w:r w:rsidR="003103DF" w:rsidRPr="00ED7952">
        <w:t>,</w:t>
      </w:r>
      <w:r w:rsidRPr="00ED7952">
        <w:t xml:space="preserve"> à Comissão </w:t>
      </w:r>
      <w:r w:rsidR="003103DF" w:rsidRPr="00ED7952">
        <w:t>e</w:t>
      </w:r>
      <w:r w:rsidRPr="00ED7952">
        <w:t xml:space="preserve"> aos parlamentos nacionais.</w:t>
      </w:r>
    </w:p>
    <w:p w14:paraId="3118BFA7" w14:textId="77777777" w:rsidR="00210F29" w:rsidRPr="00ED7952" w:rsidRDefault="00210F29" w:rsidP="00210F29"/>
    <w:p w14:paraId="02F88842" w14:textId="77777777" w:rsidR="003103DF" w:rsidRPr="00ED7952" w:rsidRDefault="003103DF" w:rsidP="00210F29">
      <w:pPr>
        <w:sectPr w:rsidR="003103DF" w:rsidRPr="00ED7952" w:rsidSect="008349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B05FD2" w14:textId="6AB67B2C" w:rsidR="008515B5" w:rsidRPr="00ED7952" w:rsidRDefault="008515B5" w:rsidP="008515B5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ED7952">
        <w:rPr>
          <w:rFonts w:eastAsia="Calibri"/>
          <w:b/>
          <w:szCs w:val="24"/>
          <w:lang w:eastAsia="en-US"/>
        </w:rPr>
        <w:lastRenderedPageBreak/>
        <w:t>P10_TC1-COD(2023)0454</w:t>
      </w:r>
    </w:p>
    <w:p w14:paraId="699552E8" w14:textId="77621E82" w:rsidR="00856810" w:rsidRDefault="008515B5" w:rsidP="00856810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ED7952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="007C1345" w:rsidRPr="00ED7952">
        <w:rPr>
          <w:rFonts w:eastAsia="Calibri"/>
          <w:b/>
          <w:szCs w:val="24"/>
          <w:lang w:eastAsia="en-US"/>
        </w:rPr>
        <w:t xml:space="preserve">21 </w:t>
      </w:r>
      <w:r w:rsidRPr="00ED7952">
        <w:rPr>
          <w:rFonts w:eastAsia="Calibri"/>
          <w:b/>
          <w:szCs w:val="24"/>
          <w:lang w:eastAsia="en-US"/>
        </w:rPr>
        <w:t xml:space="preserve">de </w:t>
      </w:r>
      <w:r w:rsidR="007C1345" w:rsidRPr="00ED7952">
        <w:rPr>
          <w:rFonts w:eastAsia="Calibri"/>
          <w:b/>
          <w:szCs w:val="24"/>
          <w:lang w:eastAsia="en-US"/>
        </w:rPr>
        <w:t xml:space="preserve">outubro </w:t>
      </w:r>
      <w:r w:rsidRPr="00ED7952">
        <w:rPr>
          <w:rFonts w:eastAsia="Calibri"/>
          <w:b/>
          <w:szCs w:val="24"/>
          <w:lang w:eastAsia="en-US"/>
        </w:rPr>
        <w:t>de 2025 tendo em vista a adoção da Diretiva (UE) 2025/... do Parlamento Europeu</w:t>
      </w:r>
      <w:r w:rsidR="00856810">
        <w:rPr>
          <w:rFonts w:eastAsia="Calibri"/>
          <w:b/>
          <w:szCs w:val="24"/>
          <w:lang w:eastAsia="en-US"/>
        </w:rPr>
        <w:t xml:space="preserve"> </w:t>
      </w:r>
      <w:r w:rsidR="00856810" w:rsidRPr="00856810">
        <w:rPr>
          <w:rFonts w:eastAsia="Calibri"/>
          <w:b/>
          <w:szCs w:val="24"/>
          <w:lang w:eastAsia="en-US"/>
        </w:rPr>
        <w:t>e do Conselho</w:t>
      </w:r>
      <w:r w:rsidRPr="00ED7952">
        <w:rPr>
          <w:rFonts w:eastAsia="Calibri"/>
          <w:b/>
          <w:szCs w:val="24"/>
          <w:lang w:eastAsia="en-US"/>
        </w:rPr>
        <w:t xml:space="preserve"> e do </w:t>
      </w:r>
      <w:r w:rsidR="00D9021E" w:rsidRPr="00ED7952">
        <w:rPr>
          <w:rFonts w:eastAsia="Calibri"/>
          <w:b/>
          <w:color w:val="000000"/>
          <w:szCs w:val="22"/>
          <w:lang w:eastAsia="en-US"/>
        </w:rPr>
        <w:t>que altera a Diretiva 2011/65/UE no respeitante à reatribuição de tarefas científicas e técnicas à Agência Europeia dos Produtos Químicos</w:t>
      </w:r>
    </w:p>
    <w:p w14:paraId="02A533AD" w14:textId="09E8B687" w:rsidR="00856810" w:rsidRPr="00856810" w:rsidRDefault="00856810" w:rsidP="00856810">
      <w:pPr>
        <w:spacing w:after="24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856810">
        <w:rPr>
          <w:rFonts w:eastAsia="Calibri"/>
          <w:bCs/>
          <w:i/>
          <w:iCs/>
          <w:color w:val="000000"/>
          <w:szCs w:val="22"/>
          <w:lang w:eastAsia="en-US"/>
        </w:rPr>
        <w:t>(Uma vez que foi alcançado um acordo entre o Parlamento e o Conselho, a posição do Parlamento corresponde ao texto legislativo final, Diretiva (UE) 2025/2456.)</w:t>
      </w:r>
    </w:p>
    <w:sectPr w:rsidR="00856810" w:rsidRPr="00856810" w:rsidSect="0083492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5B365" w14:textId="77777777" w:rsidR="00166208" w:rsidRPr="0083492F" w:rsidRDefault="00166208">
      <w:r w:rsidRPr="0083492F">
        <w:separator/>
      </w:r>
    </w:p>
  </w:endnote>
  <w:endnote w:type="continuationSeparator" w:id="0">
    <w:p w14:paraId="105F93A7" w14:textId="77777777" w:rsidR="00166208" w:rsidRPr="0083492F" w:rsidRDefault="00166208">
      <w:r w:rsidRPr="008349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F7341" w14:textId="77777777" w:rsidR="00064002" w:rsidRPr="008349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B2E6" w14:textId="77777777" w:rsidR="00064002" w:rsidRPr="008349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E28C" w14:textId="77777777" w:rsidR="00064002" w:rsidRPr="008349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42B6" w14:textId="77777777" w:rsidR="00166208" w:rsidRPr="0083492F" w:rsidRDefault="00166208">
      <w:r w:rsidRPr="0083492F">
        <w:separator/>
      </w:r>
    </w:p>
  </w:footnote>
  <w:footnote w:type="continuationSeparator" w:id="0">
    <w:p w14:paraId="1D9F9347" w14:textId="77777777" w:rsidR="00166208" w:rsidRPr="0083492F" w:rsidRDefault="00166208">
      <w:r w:rsidRPr="0083492F">
        <w:continuationSeparator/>
      </w:r>
    </w:p>
  </w:footnote>
  <w:footnote w:id="1">
    <w:p w14:paraId="226357D7" w14:textId="0BA564BA" w:rsidR="00210F29" w:rsidRPr="00ED7952" w:rsidRDefault="00210F29" w:rsidP="0083492F">
      <w:pPr>
        <w:pStyle w:val="FootnoteText"/>
        <w:ind w:left="567" w:hanging="567"/>
        <w:rPr>
          <w:sz w:val="24"/>
          <w:lang w:val="fi-FI"/>
        </w:rPr>
      </w:pPr>
      <w:r w:rsidRPr="0083492F">
        <w:rPr>
          <w:rStyle w:val="FootnoteReference"/>
          <w:sz w:val="24"/>
          <w:lang w:val="pt-PT"/>
        </w:rPr>
        <w:footnoteRef/>
      </w:r>
      <w:r w:rsidR="0083492F" w:rsidRPr="00ED7952">
        <w:rPr>
          <w:sz w:val="24"/>
          <w:lang w:val="fi-FI"/>
        </w:rPr>
        <w:t xml:space="preserve"> </w:t>
      </w:r>
      <w:r w:rsidR="0083492F" w:rsidRPr="00ED7952">
        <w:rPr>
          <w:sz w:val="24"/>
          <w:lang w:val="fi-FI"/>
        </w:rPr>
        <w:tab/>
      </w:r>
      <w:r w:rsidRPr="00ED7952">
        <w:rPr>
          <w:sz w:val="24"/>
          <w:lang w:val="fi-FI"/>
        </w:rPr>
        <w:t xml:space="preserve">JO C, C/2024/3381, 31.5.2024, ELI: </w:t>
      </w:r>
      <w:hyperlink r:id="rId1" w:history="1">
        <w:r w:rsidRPr="00ED7952">
          <w:rPr>
            <w:rStyle w:val="Hyperlink"/>
            <w:sz w:val="24"/>
            <w:lang w:val="fi-FI"/>
          </w:rPr>
          <w:t>http://data.europa.eu/eli/C/2024/3381/oj</w:t>
        </w:r>
      </w:hyperlink>
      <w:r w:rsidRPr="00ED7952">
        <w:rPr>
          <w:sz w:val="24"/>
          <w:lang w:val="fi-FI"/>
        </w:rPr>
        <w:t>.</w:t>
      </w:r>
    </w:p>
  </w:footnote>
  <w:footnote w:id="2">
    <w:p w14:paraId="404B848C" w14:textId="2776F206" w:rsidR="00D02BAF" w:rsidRPr="00ED7952" w:rsidRDefault="00D02BAF" w:rsidP="00ED7952">
      <w:pPr>
        <w:pStyle w:val="FootnoteText"/>
        <w:ind w:left="567" w:hanging="567"/>
        <w:rPr>
          <w:sz w:val="24"/>
          <w:szCs w:val="24"/>
          <w:lang w:val="pt-PT"/>
        </w:rPr>
      </w:pPr>
      <w:r w:rsidRPr="00ED7952">
        <w:rPr>
          <w:rStyle w:val="FootnoteReference"/>
          <w:sz w:val="24"/>
          <w:szCs w:val="24"/>
        </w:rPr>
        <w:footnoteRef/>
      </w:r>
      <w:r w:rsidRPr="00ED7952">
        <w:rPr>
          <w:sz w:val="24"/>
          <w:szCs w:val="24"/>
          <w:lang w:val="pt-PT"/>
        </w:rPr>
        <w:t xml:space="preserve"> </w:t>
      </w:r>
      <w:r w:rsidRPr="00ED7952">
        <w:rPr>
          <w:sz w:val="24"/>
          <w:szCs w:val="24"/>
          <w:lang w:val="pt-PT"/>
        </w:rPr>
        <w:tab/>
      </w:r>
      <w:r w:rsidRPr="0096276A">
        <w:rPr>
          <w:sz w:val="24"/>
          <w:szCs w:val="24"/>
          <w:lang w:val="pt-PT"/>
        </w:rPr>
        <w:t>A presente posição substitui as alterações aprovadas em 1 de abril de 2025 (Textos Aprovados, P10_TA(2025)004</w:t>
      </w:r>
      <w:r>
        <w:rPr>
          <w:sz w:val="24"/>
          <w:szCs w:val="24"/>
          <w:lang w:val="pt-PT"/>
        </w:rPr>
        <w:t>6</w:t>
      </w:r>
      <w:r w:rsidRPr="0096276A">
        <w:rPr>
          <w:sz w:val="24"/>
          <w:szCs w:val="24"/>
          <w:lang w:val="pt-PT"/>
        </w:rPr>
        <w:t>)</w:t>
      </w:r>
      <w:r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85E41" w14:textId="77777777" w:rsidR="00064002" w:rsidRPr="008349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C2D6" w14:textId="77777777" w:rsidR="00064002" w:rsidRPr="008349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9EC87" w14:textId="77777777" w:rsidR="00064002" w:rsidRPr="008349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1565537">
    <w:abstractNumId w:val="9"/>
  </w:num>
  <w:num w:numId="2" w16cid:durableId="1941522818">
    <w:abstractNumId w:val="9"/>
  </w:num>
  <w:num w:numId="3" w16cid:durableId="877741757">
    <w:abstractNumId w:val="7"/>
  </w:num>
  <w:num w:numId="4" w16cid:durableId="511647452">
    <w:abstractNumId w:val="7"/>
  </w:num>
  <w:num w:numId="5" w16cid:durableId="2125269638">
    <w:abstractNumId w:val="6"/>
  </w:num>
  <w:num w:numId="6" w16cid:durableId="1994751102">
    <w:abstractNumId w:val="6"/>
  </w:num>
  <w:num w:numId="7" w16cid:durableId="1290160028">
    <w:abstractNumId w:val="5"/>
  </w:num>
  <w:num w:numId="8" w16cid:durableId="1648050895">
    <w:abstractNumId w:val="5"/>
  </w:num>
  <w:num w:numId="9" w16cid:durableId="651258776">
    <w:abstractNumId w:val="4"/>
  </w:num>
  <w:num w:numId="10" w16cid:durableId="365981378">
    <w:abstractNumId w:val="4"/>
  </w:num>
  <w:num w:numId="11" w16cid:durableId="1559826443">
    <w:abstractNumId w:val="8"/>
  </w:num>
  <w:num w:numId="12" w16cid:durableId="1214081301">
    <w:abstractNumId w:val="8"/>
  </w:num>
  <w:num w:numId="13" w16cid:durableId="206258635">
    <w:abstractNumId w:val="3"/>
  </w:num>
  <w:num w:numId="14" w16cid:durableId="839783245">
    <w:abstractNumId w:val="3"/>
  </w:num>
  <w:num w:numId="15" w16cid:durableId="1104960829">
    <w:abstractNumId w:val="2"/>
  </w:num>
  <w:num w:numId="16" w16cid:durableId="917594061">
    <w:abstractNumId w:val="2"/>
  </w:num>
  <w:num w:numId="17" w16cid:durableId="1525634439">
    <w:abstractNumId w:val="1"/>
  </w:num>
  <w:num w:numId="18" w16cid:durableId="883179198">
    <w:abstractNumId w:val="1"/>
  </w:num>
  <w:num w:numId="19" w16cid:durableId="721487022">
    <w:abstractNumId w:val="0"/>
  </w:num>
  <w:num w:numId="20" w16cid:durableId="323364977">
    <w:abstractNumId w:val="0"/>
  </w:num>
  <w:num w:numId="21" w16cid:durableId="2045278745">
    <w:abstractNumId w:val="9"/>
  </w:num>
  <w:num w:numId="22" w16cid:durableId="1403914229">
    <w:abstractNumId w:val="7"/>
  </w:num>
  <w:num w:numId="23" w16cid:durableId="1693996001">
    <w:abstractNumId w:val="6"/>
  </w:num>
  <w:num w:numId="24" w16cid:durableId="478614245">
    <w:abstractNumId w:val="5"/>
  </w:num>
  <w:num w:numId="25" w16cid:durableId="907880566">
    <w:abstractNumId w:val="4"/>
  </w:num>
  <w:num w:numId="26" w16cid:durableId="881598673">
    <w:abstractNumId w:val="8"/>
  </w:num>
  <w:num w:numId="27" w16cid:durableId="903219297">
    <w:abstractNumId w:val="3"/>
  </w:num>
  <w:num w:numId="28" w16cid:durableId="97137874">
    <w:abstractNumId w:val="2"/>
  </w:num>
  <w:num w:numId="29" w16cid:durableId="1054502688">
    <w:abstractNumId w:val="1"/>
  </w:num>
  <w:num w:numId="30" w16cid:durableId="852690316">
    <w:abstractNumId w:val="0"/>
  </w:num>
  <w:num w:numId="31" w16cid:durableId="69890989">
    <w:abstractNumId w:val="9"/>
  </w:num>
  <w:num w:numId="32" w16cid:durableId="2017614621">
    <w:abstractNumId w:val="7"/>
  </w:num>
  <w:num w:numId="33" w16cid:durableId="118650477">
    <w:abstractNumId w:val="6"/>
  </w:num>
  <w:num w:numId="34" w16cid:durableId="1775634232">
    <w:abstractNumId w:val="5"/>
  </w:num>
  <w:num w:numId="35" w16cid:durableId="1439135044">
    <w:abstractNumId w:val="4"/>
  </w:num>
  <w:num w:numId="36" w16cid:durableId="2121951904">
    <w:abstractNumId w:val="8"/>
  </w:num>
  <w:num w:numId="37" w16cid:durableId="628708151">
    <w:abstractNumId w:val="3"/>
  </w:num>
  <w:num w:numId="38" w16cid:durableId="237978874">
    <w:abstractNumId w:val="2"/>
  </w:num>
  <w:num w:numId="39" w16cid:durableId="1386677414">
    <w:abstractNumId w:val="1"/>
  </w:num>
  <w:num w:numId="40" w16cid:durableId="657347192">
    <w:abstractNumId w:val="0"/>
  </w:num>
  <w:num w:numId="41" w16cid:durableId="1420447332">
    <w:abstractNumId w:val="10"/>
  </w:num>
  <w:num w:numId="42" w16cid:durableId="1334644759">
    <w:abstractNumId w:val="10"/>
  </w:num>
  <w:num w:numId="43" w16cid:durableId="1730498495">
    <w:abstractNumId w:val="10"/>
  </w:num>
  <w:num w:numId="44" w16cid:durableId="8089355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PT"/>
    <w:docVar w:name="dvnumam" w:val="19"/>
    <w:docVar w:name="dvpe" w:val="763.254"/>
    <w:docVar w:name="dvrapporteur" w:val="Relator: "/>
    <w:docVar w:name="dvstar" w:val="***I"/>
    <w:docVar w:name="dvtitre" w:val="Resolução legislativa do Parlamento Europeu, de ... de ... de 2025,_x000d__x000a_ sobre a proposta de diretiva do Parlamento Europeu e do Conselho que altera a Diretiva 2011/65/UE do Parlamento Europeu e do Conselho no respeitante à reatribuição de tarefas científicas e técnicas à Agência Europeia dos Produtos Químicos(COM(2023)0781 – C9-0448/2023 – 2023/0454(COD))"/>
  </w:docVars>
  <w:rsids>
    <w:rsidRoot w:val="00166208"/>
    <w:rsid w:val="00002272"/>
    <w:rsid w:val="00010DAC"/>
    <w:rsid w:val="00064002"/>
    <w:rsid w:val="000677B9"/>
    <w:rsid w:val="000831BA"/>
    <w:rsid w:val="000A42CC"/>
    <w:rsid w:val="000E7DD9"/>
    <w:rsid w:val="0010095E"/>
    <w:rsid w:val="00125B37"/>
    <w:rsid w:val="00166208"/>
    <w:rsid w:val="00187494"/>
    <w:rsid w:val="001F32AE"/>
    <w:rsid w:val="00210F29"/>
    <w:rsid w:val="002767FF"/>
    <w:rsid w:val="002B18FE"/>
    <w:rsid w:val="002B5493"/>
    <w:rsid w:val="003103D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AB2"/>
    <w:rsid w:val="006631B6"/>
    <w:rsid w:val="00680577"/>
    <w:rsid w:val="006A5FE2"/>
    <w:rsid w:val="006F74FA"/>
    <w:rsid w:val="00721368"/>
    <w:rsid w:val="00731ADD"/>
    <w:rsid w:val="00734777"/>
    <w:rsid w:val="00747932"/>
    <w:rsid w:val="00751A4A"/>
    <w:rsid w:val="00756632"/>
    <w:rsid w:val="00762C74"/>
    <w:rsid w:val="00786EC0"/>
    <w:rsid w:val="007A3D48"/>
    <w:rsid w:val="007C1345"/>
    <w:rsid w:val="007D1690"/>
    <w:rsid w:val="007E22AD"/>
    <w:rsid w:val="00814E8F"/>
    <w:rsid w:val="00817416"/>
    <w:rsid w:val="0083492F"/>
    <w:rsid w:val="00842779"/>
    <w:rsid w:val="008515B5"/>
    <w:rsid w:val="0085681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EFD"/>
    <w:rsid w:val="00B558F0"/>
    <w:rsid w:val="00B91A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BAF"/>
    <w:rsid w:val="00D058B8"/>
    <w:rsid w:val="00D56C11"/>
    <w:rsid w:val="00D834A0"/>
    <w:rsid w:val="00D872DF"/>
    <w:rsid w:val="00D9021E"/>
    <w:rsid w:val="00D91E21"/>
    <w:rsid w:val="00DA7FCD"/>
    <w:rsid w:val="00E365E1"/>
    <w:rsid w:val="00E820A4"/>
    <w:rsid w:val="00EB006A"/>
    <w:rsid w:val="00EB4772"/>
    <w:rsid w:val="00ED169E"/>
    <w:rsid w:val="00ED4235"/>
    <w:rsid w:val="00ED795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5B138"/>
  <w15:chartTrackingRefBased/>
  <w15:docId w15:val="{0DDF430B-F79E-4216-96E8-5E839BBC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10F29"/>
    <w:rPr>
      <w:b/>
    </w:rPr>
  </w:style>
  <w:style w:type="paragraph" w:customStyle="1" w:styleId="NormalHanging12a">
    <w:name w:val="NormalHanging12a"/>
    <w:basedOn w:val="Normal"/>
    <w:rsid w:val="00210F2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10F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10F2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10F29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210F2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10F29"/>
    <w:rPr>
      <w:b/>
      <w:sz w:val="24"/>
      <w:lang w:val="pt-PT"/>
    </w:rPr>
  </w:style>
  <w:style w:type="paragraph" w:customStyle="1" w:styleId="ColumnHeading">
    <w:name w:val="ColumnHeading"/>
    <w:basedOn w:val="Normal"/>
    <w:rsid w:val="00210F29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210F29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3103DF"/>
    <w:rPr>
      <w:sz w:val="24"/>
      <w:lang w:val="pt-PT"/>
    </w:rPr>
  </w:style>
  <w:style w:type="character" w:styleId="Hyperlink">
    <w:name w:val="Hyperlink"/>
    <w:basedOn w:val="DefaultParagraphFont"/>
    <w:rsid w:val="003103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3D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103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03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03D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10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03DF"/>
    <w:rPr>
      <w:b/>
      <w:bCs/>
      <w:lang w:val="pt-PT"/>
    </w:rPr>
  </w:style>
  <w:style w:type="character" w:customStyle="1" w:styleId="Hyperlink1">
    <w:name w:val="Hyperlink1"/>
    <w:basedOn w:val="DefaultParagraphFont"/>
    <w:uiPriority w:val="99"/>
    <w:unhideWhenUsed/>
    <w:rsid w:val="00D9021E"/>
    <w:rPr>
      <w:color w:val="0563C1"/>
      <w:u w:val="single"/>
    </w:rPr>
  </w:style>
  <w:style w:type="paragraph" w:customStyle="1" w:styleId="FootnoteTextForceStyle">
    <w:name w:val="Footnote Text ForceStyle"/>
    <w:rsid w:val="00D9021E"/>
    <w:pPr>
      <w:keepLines/>
      <w:widowControl w:val="0"/>
      <w:spacing w:line="240" w:lineRule="exact"/>
      <w:ind w:left="850" w:hanging="850"/>
    </w:pPr>
    <w:rPr>
      <w:sz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2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2026-01-08T15:55:00Z</dcterms:created>
  <dcterms:modified xsi:type="dcterms:W3CDTF">2026-01-08T15:55:00Z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