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29F1" w14:paraId="0E79C6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E1FE6D" w14:textId="77777777" w:rsidR="00751A4A" w:rsidRPr="005F29F1" w:rsidRDefault="00B6734D" w:rsidP="0010095E">
            <w:pPr>
              <w:pStyle w:val="EPName"/>
            </w:pPr>
            <w:r w:rsidRPr="005F29F1">
              <w:t>Europa-Parlamentet</w:t>
            </w:r>
          </w:p>
          <w:p w14:paraId="76EA4A33" w14:textId="77777777" w:rsidR="00751A4A" w:rsidRPr="007A1C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1C16">
              <w:t>2024</w:t>
            </w:r>
            <w:r w:rsidR="00817416" w:rsidRPr="005F29F1">
              <w:t>-202</w:t>
            </w:r>
            <w:r w:rsidRPr="005F29F1">
              <w:t>9</w:t>
            </w:r>
          </w:p>
        </w:tc>
        <w:tc>
          <w:tcPr>
            <w:tcW w:w="2268" w:type="dxa"/>
            <w:shd w:val="clear" w:color="auto" w:fill="auto"/>
          </w:tcPr>
          <w:p w14:paraId="152D85FC" w14:textId="77777777" w:rsidR="00751A4A" w:rsidRPr="005F29F1" w:rsidRDefault="00187494" w:rsidP="0010095E">
            <w:pPr>
              <w:pStyle w:val="EPLogo"/>
            </w:pPr>
            <w:r w:rsidRPr="005F29F1">
              <w:rPr>
                <w:noProof/>
                <w:lang w:val="en-GB"/>
              </w:rPr>
              <w:drawing>
                <wp:inline distT="0" distB="0" distL="0" distR="0" wp14:anchorId="03B72AE0" wp14:editId="24F495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D321A9" w14:textId="77777777" w:rsidR="00D058B8" w:rsidRPr="005F29F1" w:rsidRDefault="00D058B8" w:rsidP="004C5D52">
      <w:pPr>
        <w:pStyle w:val="LineTop"/>
      </w:pPr>
    </w:p>
    <w:p w14:paraId="6EBF3D1D" w14:textId="77777777" w:rsidR="00680577" w:rsidRPr="005F29F1" w:rsidRDefault="00B6734D" w:rsidP="00680577">
      <w:pPr>
        <w:pStyle w:val="EPBodyTA1"/>
      </w:pPr>
      <w:r w:rsidRPr="005F29F1">
        <w:t>VEDTAGNE TEKSTER</w:t>
      </w:r>
    </w:p>
    <w:p w14:paraId="399870F4" w14:textId="77777777" w:rsidR="00D058B8" w:rsidRPr="005F29F1" w:rsidRDefault="00D058B8" w:rsidP="00D058B8">
      <w:pPr>
        <w:pStyle w:val="LineBottom"/>
      </w:pPr>
    </w:p>
    <w:p w14:paraId="28321E61" w14:textId="51DCA635" w:rsidR="00B6734D" w:rsidRPr="005F29F1" w:rsidRDefault="00B6734D" w:rsidP="00B6734D">
      <w:pPr>
        <w:pStyle w:val="ATHeading1"/>
      </w:pPr>
      <w:bookmarkStart w:id="0" w:name="TANumber"/>
      <w:r w:rsidRPr="005F29F1">
        <w:t>P10_TA(2025)0</w:t>
      </w:r>
      <w:r w:rsidR="00EE0098">
        <w:t>237</w:t>
      </w:r>
      <w:bookmarkEnd w:id="0"/>
    </w:p>
    <w:p w14:paraId="25C42BA2" w14:textId="77777777" w:rsidR="00B6734D" w:rsidRPr="005F29F1" w:rsidRDefault="00B6734D" w:rsidP="00B6734D">
      <w:pPr>
        <w:pStyle w:val="ATHeading2"/>
      </w:pPr>
      <w:bookmarkStart w:id="1" w:name="title"/>
      <w:r w:rsidRPr="005F29F1">
        <w:t>Omfordeling af videnskabelige og tekniske opgaver og forbedring af samarbejdet mellem EU-agenturer på kemikalieområdet</w:t>
      </w:r>
      <w:bookmarkEnd w:id="1"/>
    </w:p>
    <w:p w14:paraId="71CAA8C3" w14:textId="77777777" w:rsidR="00B6734D" w:rsidRPr="005F29F1" w:rsidRDefault="00B6734D" w:rsidP="00B6734D">
      <w:pPr>
        <w:rPr>
          <w:i/>
          <w:vanish/>
        </w:rPr>
      </w:pPr>
      <w:r w:rsidRPr="005F29F1">
        <w:rPr>
          <w:i/>
        </w:rPr>
        <w:fldChar w:fldCharType="begin"/>
      </w:r>
      <w:r w:rsidRPr="005F29F1">
        <w:rPr>
          <w:i/>
        </w:rPr>
        <w:instrText xml:space="preserve"> TC"(</w:instrText>
      </w:r>
      <w:bookmarkStart w:id="2" w:name="DocNumber"/>
      <w:r w:rsidRPr="005F29F1">
        <w:rPr>
          <w:i/>
        </w:rPr>
        <w:instrText>A10-0020/2025</w:instrText>
      </w:r>
      <w:bookmarkEnd w:id="2"/>
      <w:r w:rsidRPr="005F29F1">
        <w:rPr>
          <w:i/>
        </w:rPr>
        <w:instrText xml:space="preserve"> - Ordfører: Dimitris </w:instrText>
      </w:r>
      <w:proofErr w:type="spellStart"/>
      <w:r w:rsidRPr="005F29F1">
        <w:rPr>
          <w:i/>
        </w:rPr>
        <w:instrText>Tsiodras</w:instrText>
      </w:r>
      <w:proofErr w:type="spellEnd"/>
      <w:r w:rsidRPr="005F29F1">
        <w:rPr>
          <w:i/>
        </w:rPr>
        <w:instrText xml:space="preserve">)"\l3 \n&gt; \* MERGEFORMAT </w:instrText>
      </w:r>
      <w:r w:rsidRPr="005F29F1">
        <w:rPr>
          <w:i/>
        </w:rPr>
        <w:fldChar w:fldCharType="end"/>
      </w:r>
    </w:p>
    <w:p w14:paraId="06B9228D" w14:textId="77777777" w:rsidR="00B6734D" w:rsidRPr="005F29F1" w:rsidRDefault="00B6734D" w:rsidP="00B6734D">
      <w:pPr>
        <w:rPr>
          <w:vanish/>
        </w:rPr>
      </w:pPr>
      <w:bookmarkStart w:id="3" w:name="Commission"/>
      <w:r w:rsidRPr="005F29F1">
        <w:rPr>
          <w:vanish/>
        </w:rPr>
        <w:t>Udvalget om Miljø, Klima og Fødevaresikkerhed</w:t>
      </w:r>
      <w:bookmarkEnd w:id="3"/>
    </w:p>
    <w:p w14:paraId="076F294F" w14:textId="77777777" w:rsidR="00B6734D" w:rsidRPr="005F29F1" w:rsidRDefault="00B6734D" w:rsidP="00B6734D">
      <w:pPr>
        <w:rPr>
          <w:vanish/>
        </w:rPr>
      </w:pPr>
      <w:bookmarkStart w:id="4" w:name="PE"/>
      <w:r w:rsidRPr="005F29F1">
        <w:rPr>
          <w:vanish/>
        </w:rPr>
        <w:t>PE763.253</w:t>
      </w:r>
      <w:bookmarkEnd w:id="4"/>
    </w:p>
    <w:p w14:paraId="4E906403" w14:textId="56D2C6E8" w:rsidR="00B6734D" w:rsidRPr="005F29F1" w:rsidRDefault="00B6734D" w:rsidP="00B6734D">
      <w:pPr>
        <w:pStyle w:val="ATHeading3"/>
      </w:pPr>
      <w:bookmarkStart w:id="5" w:name="Sujet"/>
      <w:r w:rsidRPr="005F29F1">
        <w:t xml:space="preserve">Europa-Parlamentets lovgivningsmæssige beslutning af </w:t>
      </w:r>
      <w:r w:rsidR="00710B07" w:rsidRPr="005F29F1">
        <w:t>21. oktober</w:t>
      </w:r>
      <w:r w:rsidRPr="005F29F1">
        <w:t xml:space="preserve"> 2025 om forslag til Europa-Parlamentets og Rådets forordning om ændring af Europa-Parlamentets og Rådets forordning (EF) nr. 178/2002, (EF) nr. 401/2009, (EU) 2017/745 og (EU) 2019/1021 for så vidt angår omfordeling af videnskabelige og tekniske opgaver og forbedring af samarbejdet mellem EU-agenturer på kemikalieområdet</w:t>
      </w:r>
      <w:bookmarkEnd w:id="5"/>
      <w:r w:rsidRPr="005F29F1">
        <w:t xml:space="preserve"> </w:t>
      </w:r>
      <w:bookmarkStart w:id="6" w:name="References"/>
      <w:r w:rsidRPr="005F29F1">
        <w:t>(</w:t>
      </w:r>
      <w:proofErr w:type="gramStart"/>
      <w:r w:rsidRPr="005F29F1">
        <w:t>COM(</w:t>
      </w:r>
      <w:proofErr w:type="gramEnd"/>
      <w:r w:rsidRPr="005F29F1">
        <w:t>2023)0783 – C9-0447/2023 – 2023/0455(COD))</w:t>
      </w:r>
      <w:bookmarkEnd w:id="6"/>
    </w:p>
    <w:p w14:paraId="1459964B" w14:textId="77777777" w:rsidR="0032667D" w:rsidRPr="005F29F1" w:rsidRDefault="0032667D" w:rsidP="0032667D">
      <w:pPr>
        <w:pStyle w:val="NormalBold"/>
      </w:pPr>
      <w:r w:rsidRPr="005F29F1">
        <w:t>(Almindelig lovgivningsprocedure: førstebehandling)</w:t>
      </w:r>
    </w:p>
    <w:p w14:paraId="4BE76E7F" w14:textId="108D0A73" w:rsidR="0032667D" w:rsidRPr="005F29F1" w:rsidRDefault="0032667D" w:rsidP="0032667D">
      <w:pPr>
        <w:pStyle w:val="EPComma"/>
      </w:pPr>
      <w:r w:rsidRPr="005F29F1">
        <w:rPr>
          <w:i/>
          <w:iCs/>
        </w:rPr>
        <w:t>Europa-Parlamentet,</w:t>
      </w:r>
    </w:p>
    <w:p w14:paraId="0886E145" w14:textId="7A55EA61" w:rsidR="0032667D" w:rsidRPr="005F29F1" w:rsidRDefault="0032667D" w:rsidP="0032667D">
      <w:pPr>
        <w:pStyle w:val="NormalHanging12a"/>
      </w:pPr>
      <w:r w:rsidRPr="005F29F1">
        <w:t>–</w:t>
      </w:r>
      <w:r w:rsidRPr="005F29F1">
        <w:tab/>
        <w:t>der henviser til Kommissionens forslag til Europa-Parlamentet og Rådet (</w:t>
      </w:r>
      <w:proofErr w:type="gramStart"/>
      <w:r w:rsidRPr="005F29F1">
        <w:t>COM(</w:t>
      </w:r>
      <w:proofErr w:type="gramEnd"/>
      <w:r w:rsidRPr="005F29F1">
        <w:t>2023)0783),</w:t>
      </w:r>
    </w:p>
    <w:p w14:paraId="397CD375" w14:textId="4F16588B" w:rsidR="0032667D" w:rsidRPr="005F29F1" w:rsidRDefault="0032667D" w:rsidP="0032667D">
      <w:pPr>
        <w:pStyle w:val="NormalHanging12a"/>
      </w:pPr>
      <w:r w:rsidRPr="005F29F1">
        <w:t>–</w:t>
      </w:r>
      <w:r w:rsidRPr="005F29F1">
        <w:tab/>
        <w:t>der henviser til artikel 294, stk. 2, og artikel 114 i traktaten om Den Europæiske Unions funktionsmåde, på grundlag af hvilke Kommissionen har forelagt forslaget for Parlamentet (C9</w:t>
      </w:r>
      <w:r w:rsidRPr="005F29F1">
        <w:noBreakHyphen/>
        <w:t>0447/2023),</w:t>
      </w:r>
    </w:p>
    <w:p w14:paraId="04C8FC9C" w14:textId="36BB36C2" w:rsidR="0032667D" w:rsidRPr="005F29F1" w:rsidRDefault="0032667D" w:rsidP="0032667D">
      <w:pPr>
        <w:pStyle w:val="NormalHanging12a"/>
      </w:pPr>
      <w:r w:rsidRPr="005F29F1">
        <w:t>–</w:t>
      </w:r>
      <w:r w:rsidRPr="005F29F1">
        <w:tab/>
        <w:t>der henviser til artikel 294, stk. 3, i traktaten om Den Europæiske Unions funktionsmåde,</w:t>
      </w:r>
    </w:p>
    <w:p w14:paraId="2D8F9CA1" w14:textId="2D622912" w:rsidR="0032667D" w:rsidRPr="005F29F1" w:rsidRDefault="0032667D" w:rsidP="0032667D">
      <w:pPr>
        <w:pStyle w:val="NormalHanging12a"/>
      </w:pPr>
      <w:r w:rsidRPr="005F29F1">
        <w:t>–</w:t>
      </w:r>
      <w:r w:rsidRPr="005F29F1">
        <w:tab/>
        <w:t>der henviser til udtalelse af 20. marts 2024 fra Det Europæiske Økonomiske og Sociale Udvalg</w:t>
      </w:r>
      <w:r w:rsidRPr="005F29F1">
        <w:rPr>
          <w:rStyle w:val="FootnoteReference"/>
        </w:rPr>
        <w:footnoteReference w:id="1"/>
      </w:r>
      <w:r w:rsidRPr="005F29F1">
        <w:t>,</w:t>
      </w:r>
    </w:p>
    <w:p w14:paraId="28EA5429" w14:textId="12C55A31" w:rsidR="00710B07" w:rsidRPr="005F29F1" w:rsidRDefault="00710B07" w:rsidP="0032667D">
      <w:pPr>
        <w:pStyle w:val="NormalHanging12a"/>
      </w:pPr>
      <w:bookmarkStart w:id="7" w:name="_Hlk211495828"/>
      <w:r w:rsidRPr="005F29F1">
        <w:t>–</w:t>
      </w:r>
      <w:r w:rsidRPr="005F29F1">
        <w:tab/>
        <w:t xml:space="preserve">der henviser til, at det kompetente udvalg har godkendt den foreløbige aftale i henhold til forretningsordenens artikel 75, stk. 4, og at Rådets repræsentant ved skrivelse af 25. juni 2025 forpligtede sig til at godkende Europa-Parlamentets holdning, jf. artikel 294, stk. 4, i traktaten om Den Europæiske Unions funktionsmåde, </w:t>
      </w:r>
      <w:bookmarkEnd w:id="7"/>
    </w:p>
    <w:p w14:paraId="7978898D" w14:textId="6BF814EA" w:rsidR="0032667D" w:rsidRPr="005F29F1" w:rsidRDefault="0032667D" w:rsidP="0032667D">
      <w:pPr>
        <w:pStyle w:val="NormalHanging12a"/>
      </w:pPr>
      <w:r w:rsidRPr="005F29F1">
        <w:t>–</w:t>
      </w:r>
      <w:r w:rsidRPr="005F29F1">
        <w:tab/>
        <w:t>der henviser til forretningsordenens artikel 60,</w:t>
      </w:r>
    </w:p>
    <w:p w14:paraId="2041E7DA" w14:textId="72FF3401" w:rsidR="0032667D" w:rsidRPr="005F29F1" w:rsidRDefault="0032667D" w:rsidP="0032667D">
      <w:pPr>
        <w:pStyle w:val="NormalHanging12a"/>
      </w:pPr>
      <w:r w:rsidRPr="005F29F1">
        <w:t>–</w:t>
      </w:r>
      <w:r w:rsidRPr="005F29F1">
        <w:tab/>
        <w:t>der henviser til betænkning fra Udvalget om Miljø, Klima og Fødevaresikkerhed (A10-</w:t>
      </w:r>
      <w:r w:rsidRPr="005F29F1">
        <w:lastRenderedPageBreak/>
        <w:t>0020/2025),</w:t>
      </w:r>
    </w:p>
    <w:p w14:paraId="1B6852F7" w14:textId="43CA2E84" w:rsidR="0032667D" w:rsidRPr="005F29F1" w:rsidRDefault="0032667D" w:rsidP="0032667D">
      <w:pPr>
        <w:pStyle w:val="NormalHanging12a"/>
      </w:pPr>
      <w:r w:rsidRPr="005F29F1">
        <w:t>1.</w:t>
      </w:r>
      <w:r w:rsidRPr="005F29F1">
        <w:tab/>
        <w:t>vedtager nedenstående holdning ved førstebehandling</w:t>
      </w:r>
      <w:r w:rsidR="00710B07" w:rsidRPr="005F29F1">
        <w:rPr>
          <w:rStyle w:val="FootnoteReference"/>
        </w:rPr>
        <w:footnoteReference w:id="2"/>
      </w:r>
      <w:r w:rsidRPr="005F29F1">
        <w:t>;</w:t>
      </w:r>
    </w:p>
    <w:p w14:paraId="0C438D20" w14:textId="3C60CBB1" w:rsidR="0032667D" w:rsidRPr="005F29F1" w:rsidRDefault="0032667D" w:rsidP="0032667D">
      <w:pPr>
        <w:pStyle w:val="NormalHanging12a"/>
      </w:pPr>
      <w:r w:rsidRPr="005F29F1">
        <w:t>2.</w:t>
      </w:r>
      <w:r w:rsidRPr="005F29F1">
        <w:tab/>
        <w:t>anmoder om fornyet forelæggelse, hvis Kommissionen erstatter, i væsentlig grad ændrer eller agter i væsentlig grad at ændre sit forslag;</w:t>
      </w:r>
    </w:p>
    <w:p w14:paraId="1689AB5E" w14:textId="4C42B4C2" w:rsidR="0032667D" w:rsidRPr="005F29F1" w:rsidRDefault="0032667D" w:rsidP="0032667D">
      <w:pPr>
        <w:pStyle w:val="NormalHanging12a"/>
      </w:pPr>
      <w:r w:rsidRPr="005F29F1">
        <w:t>3.</w:t>
      </w:r>
      <w:r w:rsidRPr="005F29F1">
        <w:tab/>
        <w:t>pålægger sin formand at sende Parlamentets holdning til Rådet og Kommissionen samt til de nationale parlamenter.</w:t>
      </w:r>
    </w:p>
    <w:p w14:paraId="3A7FE51A" w14:textId="361D587C" w:rsidR="0032667D" w:rsidRPr="005F29F1" w:rsidRDefault="0032667D" w:rsidP="0032667D"/>
    <w:p w14:paraId="6F043FE8" w14:textId="77777777" w:rsidR="00176C94" w:rsidRPr="005F29F1" w:rsidRDefault="00176C94" w:rsidP="0032667D">
      <w:pPr>
        <w:sectPr w:rsidR="00176C94" w:rsidRPr="005F29F1" w:rsidSect="002E47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5614C7" w14:textId="7EEF34F2" w:rsidR="00710B07" w:rsidRPr="005F29F1" w:rsidRDefault="00710B07" w:rsidP="00710B0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_Hlk211495952"/>
      <w:r w:rsidRPr="005F29F1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5F29F1">
        <w:rPr>
          <w:rFonts w:eastAsia="Calibri"/>
          <w:b/>
          <w:bCs/>
          <w:color w:val="000000"/>
        </w:rPr>
        <w:t>COD(</w:t>
      </w:r>
      <w:proofErr w:type="gramEnd"/>
      <w:r w:rsidRPr="005F29F1">
        <w:rPr>
          <w:rFonts w:eastAsia="Calibri"/>
          <w:b/>
          <w:bCs/>
          <w:color w:val="000000"/>
        </w:rPr>
        <w:t>2023)0455</w:t>
      </w:r>
    </w:p>
    <w:p w14:paraId="57A73B63" w14:textId="77777777" w:rsidR="00710B07" w:rsidRPr="005F29F1" w:rsidRDefault="00710B07" w:rsidP="00F45591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120" w:after="360"/>
        <w:rPr>
          <w:b/>
          <w:color w:val="000000"/>
          <w:szCs w:val="24"/>
          <w:lang w:eastAsia="en-US"/>
        </w:rPr>
      </w:pPr>
      <w:r w:rsidRPr="005F29F1">
        <w:rPr>
          <w:b/>
        </w:rPr>
        <w:t xml:space="preserve">Europa-Parlamentets holdning fastlagt ved førstebehandlingen den 21. oktober 2025 med henblik på vedtagelse af Europa-Parlamentets og Rådets </w:t>
      </w:r>
      <w:r w:rsidRPr="005F29F1">
        <w:rPr>
          <w:rFonts w:eastAsia="Calibri"/>
          <w:b/>
        </w:rPr>
        <w:t xml:space="preserve">forordning </w:t>
      </w:r>
      <w:r w:rsidRPr="005F29F1">
        <w:rPr>
          <w:b/>
        </w:rPr>
        <w:t xml:space="preserve">(EU) </w:t>
      </w:r>
      <w:r w:rsidRPr="005F29F1">
        <w:rPr>
          <w:rFonts w:eastAsia="Calibri"/>
          <w:b/>
        </w:rPr>
        <w:t>2025/…</w:t>
      </w:r>
      <w:bookmarkEnd w:id="8"/>
      <w:r w:rsidRPr="005F29F1">
        <w:rPr>
          <w:rFonts w:eastAsia="Calibri"/>
          <w:b/>
        </w:rPr>
        <w:t xml:space="preserve"> </w:t>
      </w:r>
      <w:r w:rsidRPr="005F29F1">
        <w:rPr>
          <w:b/>
          <w:color w:val="000000"/>
          <w:szCs w:val="24"/>
          <w:lang w:eastAsia="en-US"/>
        </w:rPr>
        <w:t>om ændring af forordning (EF) nr. 178/2002, (EF) nr. 401/2009, (EU) 2017/745 og (EU) 2019/1021 for så vidt angår omfordeling af videnskabelige og tekniske opgaver og forbedring af samarbejdet mellem EU-agenturer på kemikalieområdet</w:t>
      </w:r>
    </w:p>
    <w:p w14:paraId="20416975" w14:textId="2E974F58" w:rsidR="00421466" w:rsidRPr="005F29F1" w:rsidRDefault="00F45591" w:rsidP="00F45591">
      <w:pPr>
        <w:widowControl/>
        <w:rPr>
          <w:b/>
          <w:color w:val="000000"/>
          <w:szCs w:val="24"/>
          <w:lang w:eastAsia="en-US"/>
        </w:rPr>
      </w:pPr>
      <w:r w:rsidRPr="00DC166C">
        <w:rPr>
          <w:i/>
        </w:rPr>
        <w:t>(Eftersom der var indgået en aftale mellem Parlamentet og Rådet, svarer Parlamentets holdning til den endelige retsakt</w:t>
      </w:r>
      <w:r w:rsidRPr="00F45591">
        <w:rPr>
          <w:i/>
        </w:rPr>
        <w:t>, forordning (EU) 202</w:t>
      </w:r>
      <w:r w:rsidRPr="00F45591">
        <w:rPr>
          <w:i/>
        </w:rPr>
        <w:t>5</w:t>
      </w:r>
      <w:r w:rsidRPr="00F45591">
        <w:rPr>
          <w:i/>
        </w:rPr>
        <w:t>/245</w:t>
      </w:r>
      <w:r w:rsidRPr="00F45591">
        <w:rPr>
          <w:i/>
        </w:rPr>
        <w:t>7</w:t>
      </w:r>
      <w:r w:rsidRPr="00F45591">
        <w:rPr>
          <w:i/>
        </w:rPr>
        <w:t>.)</w:t>
      </w:r>
    </w:p>
    <w:sectPr w:rsidR="00421466" w:rsidRPr="005F29F1" w:rsidSect="002E47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CEEF2" w14:textId="77777777" w:rsidR="00B6734D" w:rsidRPr="002E4707" w:rsidRDefault="00B6734D">
      <w:r w:rsidRPr="002E4707">
        <w:separator/>
      </w:r>
    </w:p>
  </w:endnote>
  <w:endnote w:type="continuationSeparator" w:id="0">
    <w:p w14:paraId="43741C82" w14:textId="77777777" w:rsidR="00B6734D" w:rsidRPr="002E4707" w:rsidRDefault="00B6734D">
      <w:r w:rsidRPr="002E47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1651" w14:textId="77777777" w:rsidR="00064002" w:rsidRPr="002E47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3056" w14:textId="77777777" w:rsidR="00064002" w:rsidRPr="002E47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A0FA4" w14:textId="77777777" w:rsidR="00064002" w:rsidRPr="002E47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D4565" w14:textId="77777777" w:rsidR="00B6734D" w:rsidRPr="002E4707" w:rsidRDefault="00B6734D">
      <w:r w:rsidRPr="002E4707">
        <w:separator/>
      </w:r>
    </w:p>
  </w:footnote>
  <w:footnote w:type="continuationSeparator" w:id="0">
    <w:p w14:paraId="4ED5DBBB" w14:textId="77777777" w:rsidR="00B6734D" w:rsidRPr="002E4707" w:rsidRDefault="00B6734D">
      <w:r w:rsidRPr="002E4707">
        <w:continuationSeparator/>
      </w:r>
    </w:p>
  </w:footnote>
  <w:footnote w:id="1">
    <w:p w14:paraId="3C2EDAB5" w14:textId="77777777" w:rsidR="0032667D" w:rsidRPr="007A1C16" w:rsidRDefault="0032667D" w:rsidP="002E4707">
      <w:pPr>
        <w:pStyle w:val="FootnoteText"/>
        <w:ind w:left="567" w:hanging="567"/>
        <w:rPr>
          <w:sz w:val="24"/>
          <w:szCs w:val="24"/>
          <w:lang w:val="fi-FI"/>
        </w:rPr>
      </w:pPr>
      <w:r w:rsidRPr="00421466">
        <w:rPr>
          <w:rStyle w:val="FootnoteReference"/>
          <w:sz w:val="24"/>
          <w:szCs w:val="24"/>
          <w:lang w:val="da-DK"/>
        </w:rPr>
        <w:footnoteRef/>
      </w:r>
      <w:r w:rsidR="002E4707" w:rsidRPr="007A1C16">
        <w:rPr>
          <w:sz w:val="24"/>
          <w:szCs w:val="24"/>
          <w:lang w:val="fi-FI"/>
        </w:rPr>
        <w:t xml:space="preserve"> </w:t>
      </w:r>
      <w:r w:rsidR="002E4707" w:rsidRPr="007A1C16">
        <w:rPr>
          <w:sz w:val="24"/>
          <w:szCs w:val="24"/>
          <w:lang w:val="fi-FI"/>
        </w:rPr>
        <w:tab/>
      </w:r>
      <w:r w:rsidRPr="007A1C16">
        <w:rPr>
          <w:sz w:val="24"/>
          <w:szCs w:val="24"/>
          <w:lang w:val="fi-FI"/>
        </w:rPr>
        <w:t xml:space="preserve">EUT C, C/2024/3381, 31.5.2024, ELI: </w:t>
      </w:r>
      <w:hyperlink r:id="rId1" w:history="1">
        <w:r w:rsidRPr="007A1C16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7A1C16">
        <w:rPr>
          <w:sz w:val="24"/>
          <w:szCs w:val="24"/>
          <w:lang w:val="fi-FI"/>
        </w:rPr>
        <w:t>.</w:t>
      </w:r>
    </w:p>
  </w:footnote>
  <w:footnote w:id="2">
    <w:p w14:paraId="3E6769A0" w14:textId="730E57FD" w:rsidR="00710B07" w:rsidRPr="007A1C16" w:rsidRDefault="00710B07" w:rsidP="007A1C16">
      <w:pPr>
        <w:pStyle w:val="FootnoteText"/>
        <w:ind w:left="567" w:hanging="567"/>
        <w:rPr>
          <w:sz w:val="24"/>
          <w:szCs w:val="24"/>
          <w:lang w:val="fr-BE"/>
        </w:rPr>
      </w:pPr>
      <w:r w:rsidRPr="007A1C16">
        <w:rPr>
          <w:rStyle w:val="FootnoteReference"/>
          <w:sz w:val="24"/>
          <w:szCs w:val="24"/>
        </w:rPr>
        <w:footnoteRef/>
      </w:r>
      <w:r w:rsidRPr="007A1C16">
        <w:rPr>
          <w:sz w:val="24"/>
          <w:szCs w:val="24"/>
        </w:rPr>
        <w:t xml:space="preserve"> </w:t>
      </w:r>
      <w:r w:rsidRPr="007A1C16">
        <w:rPr>
          <w:sz w:val="24"/>
          <w:szCs w:val="24"/>
          <w:lang w:val="fr-BE"/>
        </w:rPr>
        <w:tab/>
      </w:r>
      <w:r w:rsidRPr="00421466">
        <w:rPr>
          <w:noProof/>
          <w:sz w:val="24"/>
          <w:szCs w:val="24"/>
          <w:lang w:val="da-DK"/>
        </w:rPr>
        <w:t>Denne holdning erstatter de ændringer, der blev vedtaget den 1. april 2025 (Vedtagne tekster, P10_TA</w:t>
      </w:r>
      <w:r w:rsidRPr="007A1C16">
        <w:rPr>
          <w:noProof/>
          <w:sz w:val="24"/>
          <w:szCs w:val="24"/>
          <w:lang w:val="da-DK"/>
        </w:rPr>
        <w:t>(2025)0047).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8F359" w14:textId="77777777" w:rsidR="00064002" w:rsidRPr="002E47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034B2" w14:textId="77777777" w:rsidR="00064002" w:rsidRPr="002E47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C59F" w14:textId="77777777" w:rsidR="00064002" w:rsidRPr="002E47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2969402">
    <w:abstractNumId w:val="9"/>
  </w:num>
  <w:num w:numId="2" w16cid:durableId="611593436">
    <w:abstractNumId w:val="9"/>
  </w:num>
  <w:num w:numId="3" w16cid:durableId="1003704947">
    <w:abstractNumId w:val="7"/>
  </w:num>
  <w:num w:numId="4" w16cid:durableId="1951231011">
    <w:abstractNumId w:val="7"/>
  </w:num>
  <w:num w:numId="5" w16cid:durableId="305211141">
    <w:abstractNumId w:val="6"/>
  </w:num>
  <w:num w:numId="6" w16cid:durableId="2070876895">
    <w:abstractNumId w:val="6"/>
  </w:num>
  <w:num w:numId="7" w16cid:durableId="1003314149">
    <w:abstractNumId w:val="5"/>
  </w:num>
  <w:num w:numId="8" w16cid:durableId="879514635">
    <w:abstractNumId w:val="5"/>
  </w:num>
  <w:num w:numId="9" w16cid:durableId="166215912">
    <w:abstractNumId w:val="4"/>
  </w:num>
  <w:num w:numId="10" w16cid:durableId="1136802802">
    <w:abstractNumId w:val="4"/>
  </w:num>
  <w:num w:numId="11" w16cid:durableId="1110977257">
    <w:abstractNumId w:val="8"/>
  </w:num>
  <w:num w:numId="12" w16cid:durableId="146020393">
    <w:abstractNumId w:val="8"/>
  </w:num>
  <w:num w:numId="13" w16cid:durableId="506284496">
    <w:abstractNumId w:val="3"/>
  </w:num>
  <w:num w:numId="14" w16cid:durableId="1985231686">
    <w:abstractNumId w:val="3"/>
  </w:num>
  <w:num w:numId="15" w16cid:durableId="331957945">
    <w:abstractNumId w:val="2"/>
  </w:num>
  <w:num w:numId="16" w16cid:durableId="2106489288">
    <w:abstractNumId w:val="2"/>
  </w:num>
  <w:num w:numId="17" w16cid:durableId="280303884">
    <w:abstractNumId w:val="1"/>
  </w:num>
  <w:num w:numId="18" w16cid:durableId="370345963">
    <w:abstractNumId w:val="1"/>
  </w:num>
  <w:num w:numId="19" w16cid:durableId="1021975629">
    <w:abstractNumId w:val="0"/>
  </w:num>
  <w:num w:numId="20" w16cid:durableId="658771849">
    <w:abstractNumId w:val="0"/>
  </w:num>
  <w:num w:numId="21" w16cid:durableId="1069767236">
    <w:abstractNumId w:val="9"/>
  </w:num>
  <w:num w:numId="22" w16cid:durableId="1536890632">
    <w:abstractNumId w:val="7"/>
  </w:num>
  <w:num w:numId="23" w16cid:durableId="1423144615">
    <w:abstractNumId w:val="6"/>
  </w:num>
  <w:num w:numId="24" w16cid:durableId="1357123293">
    <w:abstractNumId w:val="5"/>
  </w:num>
  <w:num w:numId="25" w16cid:durableId="1814329019">
    <w:abstractNumId w:val="4"/>
  </w:num>
  <w:num w:numId="26" w16cid:durableId="1060598944">
    <w:abstractNumId w:val="8"/>
  </w:num>
  <w:num w:numId="27" w16cid:durableId="1444033790">
    <w:abstractNumId w:val="3"/>
  </w:num>
  <w:num w:numId="28" w16cid:durableId="992877165">
    <w:abstractNumId w:val="2"/>
  </w:num>
  <w:num w:numId="29" w16cid:durableId="130952151">
    <w:abstractNumId w:val="1"/>
  </w:num>
  <w:num w:numId="30" w16cid:durableId="1129857642">
    <w:abstractNumId w:val="0"/>
  </w:num>
  <w:num w:numId="31" w16cid:durableId="523249869">
    <w:abstractNumId w:val="9"/>
  </w:num>
  <w:num w:numId="32" w16cid:durableId="1624072147">
    <w:abstractNumId w:val="7"/>
  </w:num>
  <w:num w:numId="33" w16cid:durableId="86930301">
    <w:abstractNumId w:val="6"/>
  </w:num>
  <w:num w:numId="34" w16cid:durableId="1253196209">
    <w:abstractNumId w:val="5"/>
  </w:num>
  <w:num w:numId="35" w16cid:durableId="751467743">
    <w:abstractNumId w:val="4"/>
  </w:num>
  <w:num w:numId="36" w16cid:durableId="906263461">
    <w:abstractNumId w:val="8"/>
  </w:num>
  <w:num w:numId="37" w16cid:durableId="1167406971">
    <w:abstractNumId w:val="3"/>
  </w:num>
  <w:num w:numId="38" w16cid:durableId="1912932698">
    <w:abstractNumId w:val="2"/>
  </w:num>
  <w:num w:numId="39" w16cid:durableId="971325475">
    <w:abstractNumId w:val="1"/>
  </w:num>
  <w:num w:numId="40" w16cid:durableId="1402943590">
    <w:abstractNumId w:val="0"/>
  </w:num>
  <w:num w:numId="41" w16cid:durableId="258367601">
    <w:abstractNumId w:val="10"/>
  </w:num>
  <w:num w:numId="42" w16cid:durableId="1525940427">
    <w:abstractNumId w:val="10"/>
  </w:num>
  <w:num w:numId="43" w16cid:durableId="2136561552">
    <w:abstractNumId w:val="10"/>
  </w:num>
  <w:num w:numId="44" w16cid:durableId="1866365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0/2025"/>
    <w:docVar w:name="dvlangue" w:val="DA"/>
    <w:docVar w:name="dvnumam" w:val="0"/>
    <w:docVar w:name="dvpe" w:val="763.253"/>
    <w:docVar w:name="dvrapporteur" w:val="Ordfører: "/>
    <w:docVar w:name="dvstar" w:val="***I"/>
    <w:docVar w:name="dvtitre" w:val="Europa-Parlamentets lovgivningsmæssige beslutning af xx. april 2025 om forslag til Europa-Parlamentets og Rådets forordning om ændring af Europa-Parlamentets og Rådets forordning (EF) nr. 178/2002, (EF) nr. 401/2009, (EU) 2017/745 og (EU) 2019/1021 for så vidt angår omfordeling af videnskabelige og tekniske opgaver og forbedring af samarbejdet mellem EU-agenturer på kemikalieområdet(COM(2023)0783 – C9-0447/2023 – 2023/0455(COD))"/>
  </w:docVars>
  <w:rsids>
    <w:rsidRoot w:val="00B6734D"/>
    <w:rsid w:val="00002272"/>
    <w:rsid w:val="00064002"/>
    <w:rsid w:val="000677B9"/>
    <w:rsid w:val="00071DF3"/>
    <w:rsid w:val="000831BA"/>
    <w:rsid w:val="000A42CC"/>
    <w:rsid w:val="000E7DD9"/>
    <w:rsid w:val="0010095E"/>
    <w:rsid w:val="00125B37"/>
    <w:rsid w:val="00133306"/>
    <w:rsid w:val="00176C94"/>
    <w:rsid w:val="00187494"/>
    <w:rsid w:val="001F32AE"/>
    <w:rsid w:val="00223CBE"/>
    <w:rsid w:val="002767FF"/>
    <w:rsid w:val="002B18FE"/>
    <w:rsid w:val="002B5493"/>
    <w:rsid w:val="002E4707"/>
    <w:rsid w:val="002F6199"/>
    <w:rsid w:val="0032667D"/>
    <w:rsid w:val="00343214"/>
    <w:rsid w:val="00361C00"/>
    <w:rsid w:val="00395FA1"/>
    <w:rsid w:val="003E15D4"/>
    <w:rsid w:val="00411CCE"/>
    <w:rsid w:val="0041666E"/>
    <w:rsid w:val="00421060"/>
    <w:rsid w:val="00421466"/>
    <w:rsid w:val="00471C19"/>
    <w:rsid w:val="004867E3"/>
    <w:rsid w:val="00494A28"/>
    <w:rsid w:val="004C0004"/>
    <w:rsid w:val="004C5D52"/>
    <w:rsid w:val="004F3E77"/>
    <w:rsid w:val="0050519A"/>
    <w:rsid w:val="005072A1"/>
    <w:rsid w:val="00514517"/>
    <w:rsid w:val="00545827"/>
    <w:rsid w:val="00560270"/>
    <w:rsid w:val="005C2568"/>
    <w:rsid w:val="005F1B17"/>
    <w:rsid w:val="005F29F1"/>
    <w:rsid w:val="006037C0"/>
    <w:rsid w:val="006631B6"/>
    <w:rsid w:val="00680577"/>
    <w:rsid w:val="006F74FA"/>
    <w:rsid w:val="00710B07"/>
    <w:rsid w:val="00731ADD"/>
    <w:rsid w:val="00734777"/>
    <w:rsid w:val="00747932"/>
    <w:rsid w:val="00751A4A"/>
    <w:rsid w:val="00756632"/>
    <w:rsid w:val="00762C74"/>
    <w:rsid w:val="00786EC0"/>
    <w:rsid w:val="007A1C16"/>
    <w:rsid w:val="007A587D"/>
    <w:rsid w:val="007D1690"/>
    <w:rsid w:val="007E22AD"/>
    <w:rsid w:val="00817416"/>
    <w:rsid w:val="00842779"/>
    <w:rsid w:val="00865F67"/>
    <w:rsid w:val="00881A7B"/>
    <w:rsid w:val="008840E5"/>
    <w:rsid w:val="00887B3E"/>
    <w:rsid w:val="008A2E68"/>
    <w:rsid w:val="008C2AC6"/>
    <w:rsid w:val="008D428B"/>
    <w:rsid w:val="00930C23"/>
    <w:rsid w:val="0093193B"/>
    <w:rsid w:val="009509D8"/>
    <w:rsid w:val="00950B64"/>
    <w:rsid w:val="00981893"/>
    <w:rsid w:val="009E09B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34D"/>
    <w:rsid w:val="00BD48FE"/>
    <w:rsid w:val="00BD7BD8"/>
    <w:rsid w:val="00BE6ADC"/>
    <w:rsid w:val="00C05BFE"/>
    <w:rsid w:val="00C23CD4"/>
    <w:rsid w:val="00C51D22"/>
    <w:rsid w:val="00C61C0C"/>
    <w:rsid w:val="00C941CB"/>
    <w:rsid w:val="00CC2357"/>
    <w:rsid w:val="00CF071A"/>
    <w:rsid w:val="00D058B8"/>
    <w:rsid w:val="00D43F5C"/>
    <w:rsid w:val="00D5427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A3B"/>
    <w:rsid w:val="00EE0098"/>
    <w:rsid w:val="00F04346"/>
    <w:rsid w:val="00F075DC"/>
    <w:rsid w:val="00F149E9"/>
    <w:rsid w:val="00F4559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AE893"/>
  <w15:chartTrackingRefBased/>
  <w15:docId w15:val="{BC8BBDBC-B897-45E2-8386-D6A57BED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2667D"/>
    <w:pPr>
      <w:spacing w:after="120"/>
    </w:pPr>
  </w:style>
  <w:style w:type="paragraph" w:customStyle="1" w:styleId="NormalBold">
    <w:name w:val="NormalBold"/>
    <w:basedOn w:val="Normal"/>
    <w:link w:val="NormalBoldChar"/>
    <w:rsid w:val="0032667D"/>
    <w:rPr>
      <w:b/>
    </w:rPr>
  </w:style>
  <w:style w:type="paragraph" w:customStyle="1" w:styleId="NormalHanging12a">
    <w:name w:val="NormalHanging12a"/>
    <w:basedOn w:val="Normal"/>
    <w:rsid w:val="0032667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266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266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2667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32667D"/>
    <w:rPr>
      <w:b/>
      <w:sz w:val="24"/>
      <w:lang w:val="da-DK"/>
    </w:rPr>
  </w:style>
  <w:style w:type="character" w:customStyle="1" w:styleId="Normal6Char">
    <w:name w:val="Normal6 Char"/>
    <w:basedOn w:val="DefaultParagraphFont"/>
    <w:link w:val="Normal6"/>
    <w:locked/>
    <w:rsid w:val="0032667D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32667D"/>
    <w:pPr>
      <w:spacing w:after="120"/>
    </w:pPr>
  </w:style>
  <w:style w:type="paragraph" w:customStyle="1" w:styleId="ColumnHeading">
    <w:name w:val="ColumnHeading"/>
    <w:basedOn w:val="Normal"/>
    <w:rsid w:val="0032667D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32667D"/>
    <w:rPr>
      <w:sz w:val="2"/>
      <w:szCs w:val="24"/>
      <w:lang w:eastAsia="en-US"/>
    </w:rPr>
  </w:style>
  <w:style w:type="character" w:styleId="CommentReference">
    <w:name w:val="annotation reference"/>
    <w:basedOn w:val="DefaultParagraphFont"/>
    <w:rsid w:val="002F61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1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F619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2F6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6199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2F61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6199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rsid w:val="002F619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71DF3"/>
    <w:rPr>
      <w:sz w:val="24"/>
      <w:lang w:val="da-DK"/>
    </w:rPr>
  </w:style>
  <w:style w:type="paragraph" w:customStyle="1" w:styleId="FootnoteTextForceStyle">
    <w:name w:val="Footnote Text ForceStyle"/>
    <w:rsid w:val="00710B07"/>
    <w:pPr>
      <w:keepLines/>
      <w:widowControl w:val="0"/>
      <w:spacing w:line="240" w:lineRule="exact"/>
      <w:ind w:left="850" w:hanging="850"/>
    </w:pPr>
    <w:rPr>
      <w:sz w:val="24"/>
      <w:lang w:val="da-DK" w:eastAsia="en-US"/>
    </w:rPr>
  </w:style>
  <w:style w:type="character" w:customStyle="1" w:styleId="Hyperlink1">
    <w:name w:val="Hyperlink1"/>
    <w:basedOn w:val="DefaultParagraphFont"/>
    <w:uiPriority w:val="99"/>
    <w:unhideWhenUsed/>
    <w:rsid w:val="00710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B6455-9EBB-48DD-AEE5-60F61881D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2026-01-06T08:09:00Z</dcterms:created>
  <dcterms:modified xsi:type="dcterms:W3CDTF">2026-01-06T08:09:00Z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