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193" w14:paraId="787722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657081" w14:textId="77777777" w:rsidR="00751A4A" w:rsidRPr="00ED7193" w:rsidRDefault="00C0392F" w:rsidP="00796D5B">
            <w:pPr>
              <w:pStyle w:val="EPName"/>
              <w:widowControl/>
            </w:pPr>
            <w:r w:rsidRPr="00ED7193">
              <w:t>Euroopan parlamentti</w:t>
            </w:r>
          </w:p>
          <w:p w14:paraId="4799EAFE" w14:textId="77777777" w:rsidR="00751A4A" w:rsidRPr="00ED7193" w:rsidRDefault="005F1B17" w:rsidP="00796D5B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ED7193">
              <w:t>2024</w:t>
            </w:r>
            <w:r w:rsidR="00817416" w:rsidRPr="00ED7193">
              <w:t>-202</w:t>
            </w:r>
            <w:r w:rsidRPr="00ED7193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76D8DBDA" w14:textId="77777777" w:rsidR="00751A4A" w:rsidRPr="00ED7193" w:rsidRDefault="00187494" w:rsidP="00796D5B">
            <w:pPr>
              <w:pStyle w:val="EPLogo"/>
              <w:widowControl/>
            </w:pPr>
            <w:r w:rsidRPr="00ED7193">
              <w:rPr>
                <w:noProof/>
                <w:lang w:eastAsia="ja-JP"/>
              </w:rPr>
              <w:drawing>
                <wp:inline distT="0" distB="0" distL="0" distR="0" wp14:anchorId="246709CC" wp14:editId="1FEF91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6A9673" w14:textId="77777777" w:rsidR="00D058B8" w:rsidRPr="00ED7193" w:rsidRDefault="00D058B8" w:rsidP="00796D5B">
      <w:pPr>
        <w:pStyle w:val="LineTop"/>
        <w:widowControl/>
      </w:pPr>
    </w:p>
    <w:p w14:paraId="4D1A641D" w14:textId="77777777" w:rsidR="00680577" w:rsidRPr="00ED7193" w:rsidRDefault="00C0392F" w:rsidP="00796D5B">
      <w:pPr>
        <w:pStyle w:val="EPBodyTA1"/>
        <w:widowControl/>
      </w:pPr>
      <w:r w:rsidRPr="00ED7193">
        <w:t>HYVÄKSYTYT TEKSTIT</w:t>
      </w:r>
    </w:p>
    <w:p w14:paraId="087F7811" w14:textId="77777777" w:rsidR="00D058B8" w:rsidRPr="00ED7193" w:rsidRDefault="00D058B8" w:rsidP="00796D5B">
      <w:pPr>
        <w:pStyle w:val="LineBottom"/>
        <w:widowControl/>
      </w:pPr>
    </w:p>
    <w:p w14:paraId="1D2DDB40" w14:textId="23EF3B16" w:rsidR="00C0392F" w:rsidRPr="00ED7193" w:rsidRDefault="00C0392F" w:rsidP="00796D5B">
      <w:pPr>
        <w:pStyle w:val="ATHeading1"/>
      </w:pPr>
      <w:bookmarkStart w:id="0" w:name="TANumber"/>
      <w:r w:rsidRPr="00ED7193">
        <w:t>P10_TA(2025)0</w:t>
      </w:r>
      <w:r w:rsidR="00ED7193" w:rsidRPr="00ED7193">
        <w:t>237</w:t>
      </w:r>
      <w:bookmarkEnd w:id="0"/>
    </w:p>
    <w:p w14:paraId="0340ED23" w14:textId="77777777" w:rsidR="00C0392F" w:rsidRPr="00ED7193" w:rsidRDefault="00C0392F" w:rsidP="00796D5B">
      <w:pPr>
        <w:pStyle w:val="ATHeading2"/>
      </w:pPr>
      <w:bookmarkStart w:id="1" w:name="title"/>
      <w:r w:rsidRPr="00ED7193">
        <w:t>Tieteellisten ja teknisten tehtävien siirtäminen ja yhteistyön parantaminen unionin virastojen välillä kemikaalialalla</w:t>
      </w:r>
      <w:bookmarkEnd w:id="1"/>
    </w:p>
    <w:p w14:paraId="6CD604BF" w14:textId="77777777" w:rsidR="00C0392F" w:rsidRPr="00ED7193" w:rsidRDefault="00C0392F" w:rsidP="00796D5B">
      <w:pPr>
        <w:widowControl/>
        <w:rPr>
          <w:i/>
          <w:vanish/>
        </w:rPr>
      </w:pPr>
      <w:r w:rsidRPr="00ED7193">
        <w:rPr>
          <w:i/>
        </w:rPr>
        <w:fldChar w:fldCharType="begin"/>
      </w:r>
      <w:r w:rsidRPr="00ED7193">
        <w:rPr>
          <w:i/>
        </w:rPr>
        <w:instrText xml:space="preserve"> TC"(</w:instrText>
      </w:r>
      <w:bookmarkStart w:id="2" w:name="DocNumber"/>
      <w:r w:rsidRPr="00ED7193">
        <w:rPr>
          <w:i/>
        </w:rPr>
        <w:instrText>A10-0020/2025</w:instrText>
      </w:r>
      <w:bookmarkEnd w:id="2"/>
      <w:r w:rsidRPr="00ED7193">
        <w:rPr>
          <w:i/>
        </w:rPr>
        <w:instrText xml:space="preserve"> - Esittelijä: </w:instrText>
      </w:r>
      <w:proofErr w:type="spellStart"/>
      <w:r w:rsidRPr="00ED7193">
        <w:rPr>
          <w:i/>
        </w:rPr>
        <w:instrText>Dimitris</w:instrText>
      </w:r>
      <w:proofErr w:type="spellEnd"/>
      <w:r w:rsidRPr="00ED7193">
        <w:rPr>
          <w:i/>
        </w:rPr>
        <w:instrText xml:space="preserve"> </w:instrText>
      </w:r>
      <w:proofErr w:type="spellStart"/>
      <w:r w:rsidRPr="00ED7193">
        <w:rPr>
          <w:i/>
        </w:rPr>
        <w:instrText>Tsiodras</w:instrText>
      </w:r>
      <w:proofErr w:type="spellEnd"/>
      <w:r w:rsidRPr="00ED7193">
        <w:rPr>
          <w:i/>
        </w:rPr>
        <w:instrText xml:space="preserve">)"\l3 \n&gt; \* MERGEFORMAT </w:instrText>
      </w:r>
      <w:r w:rsidRPr="00ED7193">
        <w:rPr>
          <w:i/>
        </w:rPr>
        <w:fldChar w:fldCharType="end"/>
      </w:r>
    </w:p>
    <w:p w14:paraId="6980F398" w14:textId="77777777" w:rsidR="00C0392F" w:rsidRPr="00ED7193" w:rsidRDefault="00C0392F" w:rsidP="00796D5B">
      <w:pPr>
        <w:widowControl/>
        <w:rPr>
          <w:vanish/>
        </w:rPr>
      </w:pPr>
      <w:bookmarkStart w:id="3" w:name="Commission"/>
      <w:r w:rsidRPr="00ED7193">
        <w:rPr>
          <w:vanish/>
        </w:rPr>
        <w:t>Ympäristön, ilmaston ja elintarvikkeiden turvallisuuden valiokunta</w:t>
      </w:r>
      <w:bookmarkEnd w:id="3"/>
    </w:p>
    <w:p w14:paraId="130E07D5" w14:textId="77777777" w:rsidR="00C0392F" w:rsidRPr="00ED7193" w:rsidRDefault="00C0392F" w:rsidP="00796D5B">
      <w:pPr>
        <w:widowControl/>
        <w:rPr>
          <w:vanish/>
        </w:rPr>
      </w:pPr>
      <w:bookmarkStart w:id="4" w:name="PE"/>
      <w:r w:rsidRPr="00ED7193">
        <w:rPr>
          <w:vanish/>
        </w:rPr>
        <w:t>PE763.253</w:t>
      </w:r>
      <w:bookmarkEnd w:id="4"/>
    </w:p>
    <w:p w14:paraId="1C4F224A" w14:textId="4CBEB731" w:rsidR="00C0392F" w:rsidRPr="00ED7193" w:rsidRDefault="00C0392F" w:rsidP="00796D5B">
      <w:pPr>
        <w:pStyle w:val="ATHeading3"/>
      </w:pPr>
      <w:bookmarkStart w:id="5" w:name="Sujet"/>
      <w:r w:rsidRPr="00ED7193">
        <w:t xml:space="preserve">Euroopan parlamentin lainsäädäntöpäätöslauselma </w:t>
      </w:r>
      <w:r w:rsidR="00545565" w:rsidRPr="00ED7193">
        <w:t>21</w:t>
      </w:r>
      <w:r w:rsidRPr="00ED7193">
        <w:t>. lokakuuta 2025 ehdotuksesta Euroopan parlamentin ja neuvoston asetukseksi Euroopan parlamentin ja neuvoston asetusten (EY) N:o 178/2002, (EY) N:o 401/2009, (EU) 2017/745 ja (EU) 2019/1021 muuttamisesta tieteellisten ja teknisten tehtävien siirtämiseksi ja yhteistyön parantamiseksi unionin virastojen välillä kemikaalialalla</w:t>
      </w:r>
      <w:bookmarkEnd w:id="5"/>
      <w:r w:rsidRPr="00ED7193">
        <w:t xml:space="preserve"> </w:t>
      </w:r>
      <w:bookmarkStart w:id="6" w:name="References"/>
      <w:r w:rsidRPr="00ED7193">
        <w:t>(COM(2023)0783 – C9-0447/</w:t>
      </w:r>
      <w:proofErr w:type="gramStart"/>
      <w:r w:rsidRPr="00ED7193">
        <w:t>2023 – 2023</w:t>
      </w:r>
      <w:proofErr w:type="gramEnd"/>
      <w:r w:rsidRPr="00ED7193">
        <w:t>/0455(COD))</w:t>
      </w:r>
      <w:bookmarkEnd w:id="6"/>
    </w:p>
    <w:p w14:paraId="3CB60E57" w14:textId="584D59C0" w:rsidR="00ED7193" w:rsidRPr="00ED7193" w:rsidRDefault="00ED7193" w:rsidP="00ED7193">
      <w:pPr>
        <w:rPr>
          <w:lang w:eastAsia="fr-FR"/>
        </w:rPr>
      </w:pPr>
      <w:r w:rsidRPr="00ED7193">
        <w:rPr>
          <w:b/>
          <w:lang w:eastAsia="fr-FR"/>
        </w:rPr>
        <w:t>(Tavallinen lainsäätämisjärjestys: ensimmäinen käsittely)</w:t>
      </w:r>
    </w:p>
    <w:p w14:paraId="256AE527" w14:textId="77777777" w:rsidR="00C82BB9" w:rsidRPr="00ED7193" w:rsidRDefault="00C82BB9" w:rsidP="00796D5B">
      <w:pPr>
        <w:pStyle w:val="EPComma"/>
        <w:widowControl/>
      </w:pPr>
      <w:r w:rsidRPr="00ED7193">
        <w:rPr>
          <w:i/>
          <w:iCs/>
        </w:rPr>
        <w:t>Euroopan parlamentti</w:t>
      </w:r>
      <w:r w:rsidRPr="00ED7193">
        <w:t>, joka</w:t>
      </w:r>
    </w:p>
    <w:p w14:paraId="10E5C8C9" w14:textId="77777777" w:rsidR="00C82BB9" w:rsidRPr="00ED7193" w:rsidRDefault="00C82BB9" w:rsidP="00796D5B">
      <w:pPr>
        <w:pStyle w:val="NormalHanging12a"/>
        <w:widowControl/>
      </w:pPr>
      <w:r w:rsidRPr="00ED7193">
        <w:t>–</w:t>
      </w:r>
      <w:r w:rsidRPr="00ED7193">
        <w:tab/>
        <w:t>ottaa huomioon komission ehdotuksen Euroopan parlamentille ja neuvostolle (COM(2023)0783),</w:t>
      </w:r>
    </w:p>
    <w:p w14:paraId="5A5482A9" w14:textId="77777777" w:rsidR="00C82BB9" w:rsidRPr="00ED7193" w:rsidRDefault="00C82BB9" w:rsidP="00796D5B">
      <w:pPr>
        <w:pStyle w:val="NormalHanging12a"/>
        <w:widowControl/>
      </w:pPr>
      <w:r w:rsidRPr="00ED7193">
        <w:t>–</w:t>
      </w:r>
      <w:r w:rsidRPr="00ED7193">
        <w:tab/>
        <w:t>ottaa huomioon Euroopan unionin toiminnasta tehdyn sopimuksen 294 artiklan 2 kohdan ja 114 artiklan, joiden mukaisesti komissio on antanut ehdotuksen Euroopan parlamentille (C9-0447/2023),</w:t>
      </w:r>
    </w:p>
    <w:p w14:paraId="77257DB6" w14:textId="77777777" w:rsidR="00C82BB9" w:rsidRPr="00ED7193" w:rsidRDefault="00C82BB9" w:rsidP="00796D5B">
      <w:pPr>
        <w:pStyle w:val="NormalHanging12a"/>
        <w:widowControl/>
      </w:pPr>
      <w:r w:rsidRPr="00ED7193">
        <w:t>–</w:t>
      </w:r>
      <w:r w:rsidRPr="00ED7193">
        <w:tab/>
        <w:t>ottaa huomioon Euroopan unionin toiminnasta tehdyn sopimuksen 294 artiklan 3 kohdan,</w:t>
      </w:r>
    </w:p>
    <w:p w14:paraId="745493AB" w14:textId="77777777" w:rsidR="00C82BB9" w:rsidRPr="00ED7193" w:rsidRDefault="00C82BB9" w:rsidP="00796D5B">
      <w:pPr>
        <w:pStyle w:val="NormalHanging12a"/>
        <w:widowControl/>
      </w:pPr>
      <w:r w:rsidRPr="00ED7193">
        <w:t>–</w:t>
      </w:r>
      <w:r w:rsidRPr="00ED7193">
        <w:tab/>
        <w:t>ottaa huomioon Euroopan talous- ja sosiaalikomitean 20. maaliskuuta 2024 antaman lausunnon</w:t>
      </w:r>
      <w:r w:rsidRPr="00ED7193">
        <w:rPr>
          <w:rStyle w:val="FootnoteReference"/>
        </w:rPr>
        <w:footnoteReference w:id="1"/>
      </w:r>
      <w:r w:rsidRPr="00ED7193">
        <w:t>,</w:t>
      </w:r>
    </w:p>
    <w:p w14:paraId="4DD01DC7" w14:textId="67A7847E" w:rsidR="00545565" w:rsidRPr="00ED7193" w:rsidRDefault="00545565" w:rsidP="00ED7193">
      <w:pPr>
        <w:pStyle w:val="NormalHanging12a"/>
      </w:pPr>
      <w:r w:rsidRPr="00ED7193">
        <w:t>–</w:t>
      </w:r>
      <w:r w:rsidRPr="00ED7193">
        <w:tab/>
        <w:t>ottaa huomioon asiasta vastaavan valiokunnan työjärjestyksen 75 artiklan 4 kohdan mukaisesti hyväksymän alustavan sopimuksen sekä neuvoston edustajan 25. kesäkuuta 2025 päivätyllä kirjeellä antaman sitoumuksen hyväksyä Euroopan parlamentin kanta Euroopan unionin toiminnasta tehdyn sopimuksen 294 artiklan 4 kohdan mukaisesti,</w:t>
      </w:r>
    </w:p>
    <w:p w14:paraId="6BB1FE54" w14:textId="77777777" w:rsidR="00C82BB9" w:rsidRPr="00ED7193" w:rsidRDefault="00C82BB9" w:rsidP="00796D5B">
      <w:pPr>
        <w:pStyle w:val="NormalHanging12a"/>
        <w:widowControl/>
      </w:pPr>
      <w:r w:rsidRPr="00ED7193">
        <w:t>–</w:t>
      </w:r>
      <w:r w:rsidRPr="00ED7193">
        <w:tab/>
        <w:t>ottaa huomioon työjärjestyksen 60 artiklan,</w:t>
      </w:r>
    </w:p>
    <w:p w14:paraId="2676DC6C" w14:textId="77777777" w:rsidR="00C82BB9" w:rsidRPr="00ED7193" w:rsidRDefault="00C82BB9" w:rsidP="00796D5B">
      <w:pPr>
        <w:pStyle w:val="NormalHanging12a"/>
        <w:widowControl/>
      </w:pPr>
      <w:r w:rsidRPr="00ED7193">
        <w:lastRenderedPageBreak/>
        <w:t>–</w:t>
      </w:r>
      <w:r w:rsidRPr="00ED7193">
        <w:tab/>
        <w:t>ottaa huomioon ympäristön, ilmaston ja elintarvikkeiden turvallisuuden valiokunnan mietinnön (A10-0020/2025),</w:t>
      </w:r>
    </w:p>
    <w:p w14:paraId="38F2D11C" w14:textId="2EA5953C" w:rsidR="00C82BB9" w:rsidRPr="00ED7193" w:rsidRDefault="00C82BB9" w:rsidP="00796D5B">
      <w:pPr>
        <w:pStyle w:val="NormalHanging12a"/>
        <w:widowControl/>
      </w:pPr>
      <w:r w:rsidRPr="00ED7193">
        <w:t>1.</w:t>
      </w:r>
      <w:r w:rsidRPr="00ED7193">
        <w:tab/>
        <w:t>vahvistaa jäljempänä esitetyn ensimmäisen käsittelyn kannan</w:t>
      </w:r>
      <w:r w:rsidR="00545565" w:rsidRPr="00ED7193">
        <w:rPr>
          <w:rStyle w:val="FootnoteReference"/>
        </w:rPr>
        <w:footnoteReference w:id="2"/>
      </w:r>
      <w:r w:rsidRPr="00ED7193">
        <w:t>;</w:t>
      </w:r>
    </w:p>
    <w:p w14:paraId="564CE9A6" w14:textId="77777777" w:rsidR="00C82BB9" w:rsidRPr="00ED7193" w:rsidRDefault="00C82BB9" w:rsidP="00796D5B">
      <w:pPr>
        <w:pStyle w:val="NormalHanging12a"/>
        <w:widowControl/>
      </w:pPr>
      <w:r w:rsidRPr="00ED7193">
        <w:t>2.</w:t>
      </w:r>
      <w:r w:rsidRPr="00ED7193">
        <w:tab/>
        <w:t>pyytää komissiota antamaan asian uudelleen Euroopan parlamentin käsiteltäväksi, jos se korvaa ehdotuksensa, muuttaa sitä huomattavasti tai aikoo muuttaa sitä huomattavasti;</w:t>
      </w:r>
    </w:p>
    <w:p w14:paraId="5FAC7446" w14:textId="77777777" w:rsidR="00C82BB9" w:rsidRPr="00ED7193" w:rsidRDefault="00C82BB9" w:rsidP="00796D5B">
      <w:pPr>
        <w:pStyle w:val="NormalHanging12a"/>
        <w:widowControl/>
      </w:pPr>
      <w:r w:rsidRPr="00ED7193">
        <w:t>3.</w:t>
      </w:r>
      <w:r w:rsidRPr="00ED7193">
        <w:tab/>
        <w:t>kehottaa puhemiestä välittämään parlamentin kannan neuvostolle ja komissiolle sekä kansallisille parlamenteille.</w:t>
      </w:r>
    </w:p>
    <w:p w14:paraId="5EE50B68" w14:textId="77777777" w:rsidR="00ED7193" w:rsidRPr="00ED7193" w:rsidRDefault="00ED7193">
      <w:pPr>
        <w:widowControl/>
        <w:sectPr w:rsidR="00ED7193" w:rsidRPr="00ED7193" w:rsidSect="001B384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AE37EBC" w14:textId="63F0F07D" w:rsidR="00545565" w:rsidRPr="00ED7193" w:rsidRDefault="00545565" w:rsidP="00545565">
      <w:pPr>
        <w:spacing w:after="240"/>
        <w:rPr>
          <w:b/>
          <w:szCs w:val="24"/>
        </w:rPr>
      </w:pPr>
      <w:r w:rsidRPr="00ED7193">
        <w:rPr>
          <w:b/>
          <w:szCs w:val="24"/>
        </w:rPr>
        <w:lastRenderedPageBreak/>
        <w:t>P10_TC1-COD(2023)0455</w:t>
      </w:r>
    </w:p>
    <w:p w14:paraId="1CF080BE" w14:textId="2A7901A1" w:rsidR="00545565" w:rsidRDefault="00545565" w:rsidP="00ED7193">
      <w:pPr>
        <w:widowControl/>
        <w:spacing w:before="360"/>
        <w:rPr>
          <w:b/>
          <w:szCs w:val="24"/>
          <w:lang w:eastAsia="en-US"/>
        </w:rPr>
      </w:pPr>
      <w:r w:rsidRPr="00ED7193">
        <w:rPr>
          <w:b/>
          <w:szCs w:val="24"/>
        </w:rPr>
        <w:t xml:space="preserve">Euroopan parlamentin kanta, vahvistettu ensimmäisessä käsittelyssä 21. lokakuuta 2025, Euroopan parlamentin ja neuvoston asetuksen (EU) 2025/… antamiseksi </w:t>
      </w:r>
      <w:r w:rsidRPr="00ED7193">
        <w:rPr>
          <w:b/>
          <w:szCs w:val="24"/>
          <w:lang w:eastAsia="en-US"/>
        </w:rPr>
        <w:t>asetusten (EY) N:o 178/2002, (EY) N:o 401/2009, (EU) 2017/745 ja (EU) 2019/1021 muuttamisesta tieteellisten ja teknisten tehtävien siirtämiseksi ja yhteistyön parantamiseksi unionin virastojen välillä kemikaalialalla</w:t>
      </w:r>
    </w:p>
    <w:p w14:paraId="41D4BA35" w14:textId="29E3C9F2" w:rsidR="00AA087B" w:rsidRPr="00ED7193" w:rsidRDefault="00AA087B" w:rsidP="00AA087B">
      <w:pPr>
        <w:suppressAutoHyphens/>
        <w:spacing w:before="240"/>
        <w:rPr>
          <w:b/>
          <w:noProof/>
          <w:szCs w:val="24"/>
          <w:lang w:eastAsia="en-US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asetusta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25</w:t>
      </w:r>
      <w:r w:rsidRPr="00F51FCA">
        <w:rPr>
          <w:i/>
          <w:szCs w:val="24"/>
        </w:rPr>
        <w:t>/</w:t>
      </w:r>
      <w:r>
        <w:rPr>
          <w:i/>
          <w:szCs w:val="24"/>
        </w:rPr>
        <w:t>2457</w:t>
      </w:r>
      <w:r w:rsidRPr="008046BC">
        <w:rPr>
          <w:i/>
          <w:szCs w:val="24"/>
        </w:rPr>
        <w:t>.)</w:t>
      </w:r>
    </w:p>
    <w:sectPr w:rsidR="00AA087B" w:rsidRPr="00ED7193" w:rsidSect="001B38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FECC" w14:textId="77777777" w:rsidR="00C0392F" w:rsidRPr="001B3849" w:rsidRDefault="00C0392F">
      <w:r w:rsidRPr="001B3849">
        <w:separator/>
      </w:r>
    </w:p>
  </w:endnote>
  <w:endnote w:type="continuationSeparator" w:id="0">
    <w:p w14:paraId="096E4692" w14:textId="77777777" w:rsidR="00C0392F" w:rsidRPr="001B3849" w:rsidRDefault="00C0392F">
      <w:r w:rsidRPr="001B38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454CE" w14:textId="77777777" w:rsidR="00C0392F" w:rsidRPr="001B3849" w:rsidRDefault="00C0392F">
      <w:r w:rsidRPr="001B3849">
        <w:separator/>
      </w:r>
    </w:p>
  </w:footnote>
  <w:footnote w:type="continuationSeparator" w:id="0">
    <w:p w14:paraId="15F2845F" w14:textId="77777777" w:rsidR="00C0392F" w:rsidRPr="001B3849" w:rsidRDefault="00C0392F">
      <w:r w:rsidRPr="001B3849">
        <w:continuationSeparator/>
      </w:r>
    </w:p>
  </w:footnote>
  <w:footnote w:id="1">
    <w:p w14:paraId="0DC7C547" w14:textId="0019261F" w:rsidR="00C82BB9" w:rsidRPr="00E51E73" w:rsidRDefault="00C82BB9" w:rsidP="001B3849">
      <w:pPr>
        <w:pStyle w:val="FootnoteText"/>
        <w:ind w:left="567" w:hanging="567"/>
        <w:rPr>
          <w:sz w:val="24"/>
          <w:szCs w:val="24"/>
          <w:lang w:val="fi-FI"/>
        </w:rPr>
      </w:pPr>
      <w:r w:rsidRPr="00E51E73">
        <w:rPr>
          <w:rStyle w:val="FootnoteReference"/>
          <w:sz w:val="24"/>
          <w:szCs w:val="24"/>
          <w:lang w:val="fi-FI"/>
        </w:rPr>
        <w:footnoteRef/>
      </w:r>
      <w:r w:rsidR="001B3849" w:rsidRPr="00E51E73">
        <w:rPr>
          <w:sz w:val="24"/>
          <w:szCs w:val="24"/>
          <w:lang w:val="fi-FI"/>
        </w:rPr>
        <w:t xml:space="preserve"> </w:t>
      </w:r>
      <w:r w:rsidR="001B3849" w:rsidRPr="00E51E73">
        <w:rPr>
          <w:sz w:val="24"/>
          <w:szCs w:val="24"/>
          <w:lang w:val="fi-FI"/>
        </w:rPr>
        <w:tab/>
      </w:r>
      <w:r w:rsidRPr="00E51E73">
        <w:rPr>
          <w:sz w:val="24"/>
          <w:szCs w:val="24"/>
          <w:lang w:val="fi-FI"/>
        </w:rPr>
        <w:t xml:space="preserve">EUVL C, C/2024/3381, 31.5.2024, ELI: </w:t>
      </w:r>
      <w:hyperlink r:id="rId1" w:history="1">
        <w:r w:rsidRPr="00E51E73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E51E73">
        <w:rPr>
          <w:sz w:val="24"/>
          <w:szCs w:val="24"/>
          <w:lang w:val="fi-FI"/>
        </w:rPr>
        <w:t>.</w:t>
      </w:r>
    </w:p>
  </w:footnote>
  <w:footnote w:id="2">
    <w:p w14:paraId="215ADB7E" w14:textId="0AD86DE7" w:rsidR="00545565" w:rsidRPr="00E51E73" w:rsidRDefault="00545565" w:rsidP="00ED7193">
      <w:pPr>
        <w:pStyle w:val="FootnoteText"/>
        <w:ind w:left="567" w:hanging="567"/>
        <w:rPr>
          <w:sz w:val="24"/>
          <w:szCs w:val="24"/>
          <w:lang w:val="fi-FI"/>
        </w:rPr>
      </w:pPr>
      <w:r w:rsidRPr="00E51E73">
        <w:rPr>
          <w:rStyle w:val="FootnoteReference"/>
          <w:sz w:val="24"/>
          <w:szCs w:val="24"/>
        </w:rPr>
        <w:footnoteRef/>
      </w:r>
      <w:r w:rsidRPr="00E51E73">
        <w:rPr>
          <w:sz w:val="24"/>
          <w:szCs w:val="24"/>
          <w:lang w:val="fi-FI"/>
        </w:rPr>
        <w:tab/>
        <w:t>Tämä kanta korvaa 1. huhtikuuta 2025 hyväksytyt tarkistukset (Hyväksytyt tekstit, P10_TA(2025)0047).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5781084">
    <w:abstractNumId w:val="9"/>
  </w:num>
  <w:num w:numId="2" w16cid:durableId="1642612148">
    <w:abstractNumId w:val="9"/>
  </w:num>
  <w:num w:numId="3" w16cid:durableId="1670788812">
    <w:abstractNumId w:val="7"/>
  </w:num>
  <w:num w:numId="4" w16cid:durableId="376008674">
    <w:abstractNumId w:val="7"/>
  </w:num>
  <w:num w:numId="5" w16cid:durableId="1162625121">
    <w:abstractNumId w:val="6"/>
  </w:num>
  <w:num w:numId="6" w16cid:durableId="1841580169">
    <w:abstractNumId w:val="6"/>
  </w:num>
  <w:num w:numId="7" w16cid:durableId="1576012103">
    <w:abstractNumId w:val="5"/>
  </w:num>
  <w:num w:numId="8" w16cid:durableId="2042626165">
    <w:abstractNumId w:val="5"/>
  </w:num>
  <w:num w:numId="9" w16cid:durableId="1213538834">
    <w:abstractNumId w:val="4"/>
  </w:num>
  <w:num w:numId="10" w16cid:durableId="1767193694">
    <w:abstractNumId w:val="4"/>
  </w:num>
  <w:num w:numId="11" w16cid:durableId="1008866841">
    <w:abstractNumId w:val="8"/>
  </w:num>
  <w:num w:numId="12" w16cid:durableId="1074621906">
    <w:abstractNumId w:val="8"/>
  </w:num>
  <w:num w:numId="13" w16cid:durableId="59718330">
    <w:abstractNumId w:val="3"/>
  </w:num>
  <w:num w:numId="14" w16cid:durableId="912277780">
    <w:abstractNumId w:val="3"/>
  </w:num>
  <w:num w:numId="15" w16cid:durableId="2026202941">
    <w:abstractNumId w:val="2"/>
  </w:num>
  <w:num w:numId="16" w16cid:durableId="567690729">
    <w:abstractNumId w:val="2"/>
  </w:num>
  <w:num w:numId="17" w16cid:durableId="1215316296">
    <w:abstractNumId w:val="1"/>
  </w:num>
  <w:num w:numId="18" w16cid:durableId="296372686">
    <w:abstractNumId w:val="1"/>
  </w:num>
  <w:num w:numId="19" w16cid:durableId="1483040109">
    <w:abstractNumId w:val="0"/>
  </w:num>
  <w:num w:numId="20" w16cid:durableId="1850827211">
    <w:abstractNumId w:val="0"/>
  </w:num>
  <w:num w:numId="21" w16cid:durableId="1584291420">
    <w:abstractNumId w:val="9"/>
  </w:num>
  <w:num w:numId="22" w16cid:durableId="1237937431">
    <w:abstractNumId w:val="7"/>
  </w:num>
  <w:num w:numId="23" w16cid:durableId="1769501438">
    <w:abstractNumId w:val="6"/>
  </w:num>
  <w:num w:numId="24" w16cid:durableId="676427792">
    <w:abstractNumId w:val="5"/>
  </w:num>
  <w:num w:numId="25" w16cid:durableId="1686177640">
    <w:abstractNumId w:val="4"/>
  </w:num>
  <w:num w:numId="26" w16cid:durableId="1619137771">
    <w:abstractNumId w:val="8"/>
  </w:num>
  <w:num w:numId="27" w16cid:durableId="874586122">
    <w:abstractNumId w:val="3"/>
  </w:num>
  <w:num w:numId="28" w16cid:durableId="141970284">
    <w:abstractNumId w:val="2"/>
  </w:num>
  <w:num w:numId="29" w16cid:durableId="497158853">
    <w:abstractNumId w:val="1"/>
  </w:num>
  <w:num w:numId="30" w16cid:durableId="1101728546">
    <w:abstractNumId w:val="0"/>
  </w:num>
  <w:num w:numId="31" w16cid:durableId="885483279">
    <w:abstractNumId w:val="9"/>
  </w:num>
  <w:num w:numId="32" w16cid:durableId="1040982949">
    <w:abstractNumId w:val="7"/>
  </w:num>
  <w:num w:numId="33" w16cid:durableId="77748217">
    <w:abstractNumId w:val="6"/>
  </w:num>
  <w:num w:numId="34" w16cid:durableId="975333939">
    <w:abstractNumId w:val="5"/>
  </w:num>
  <w:num w:numId="35" w16cid:durableId="1040516853">
    <w:abstractNumId w:val="4"/>
  </w:num>
  <w:num w:numId="36" w16cid:durableId="83847707">
    <w:abstractNumId w:val="8"/>
  </w:num>
  <w:num w:numId="37" w16cid:durableId="1515532506">
    <w:abstractNumId w:val="3"/>
  </w:num>
  <w:num w:numId="38" w16cid:durableId="634794879">
    <w:abstractNumId w:val="2"/>
  </w:num>
  <w:num w:numId="39" w16cid:durableId="991449154">
    <w:abstractNumId w:val="1"/>
  </w:num>
  <w:num w:numId="40" w16cid:durableId="1160074756">
    <w:abstractNumId w:val="0"/>
  </w:num>
  <w:num w:numId="41" w16cid:durableId="680855302">
    <w:abstractNumId w:val="10"/>
  </w:num>
  <w:num w:numId="42" w16cid:durableId="241064878">
    <w:abstractNumId w:val="10"/>
  </w:num>
  <w:num w:numId="43" w16cid:durableId="807286211">
    <w:abstractNumId w:val="10"/>
  </w:num>
  <w:num w:numId="44" w16cid:durableId="7711290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5"/>
    <w:docVar w:name="dvlangue" w:val="FI"/>
    <w:docVar w:name="dvnumam" w:val="19"/>
    <w:docVar w:name="dvpe" w:val="763.253"/>
    <w:docVar w:name="dvrapporteur" w:val="Esittelijä: "/>
    <w:docVar w:name="dvstar" w:val="***I"/>
    <w:docVar w:name="dvtitre" w:val="Euroopan parlamentin lainsäädäntöpäätöslauselma xx. lokakuuta 2025 ehdotuksesta Euroopan parlamentin ja neuvoston asetukseksi Euroopan parlamentin ja neuvoston asetusten (EY) N:o 178/2002, (EY) N:o 401/2009, (EU) 2017/745 ja (EU) 2019/1021 muuttamisesta tieteellisten ja teknisten tehtävien siirtämiseksi ja yhteistyön parantamiseksi unionin virastojen välillä kemikaalialalla(COM(2023)0783 – C9-0447/2023 – 2023/0455(COD))"/>
  </w:docVars>
  <w:rsids>
    <w:rsidRoot w:val="00C0392F"/>
    <w:rsid w:val="00002272"/>
    <w:rsid w:val="00064002"/>
    <w:rsid w:val="000677B9"/>
    <w:rsid w:val="00072B3C"/>
    <w:rsid w:val="000831BA"/>
    <w:rsid w:val="000A42CC"/>
    <w:rsid w:val="000E7DD9"/>
    <w:rsid w:val="0010095E"/>
    <w:rsid w:val="00125B37"/>
    <w:rsid w:val="00187494"/>
    <w:rsid w:val="001B3849"/>
    <w:rsid w:val="001F32AE"/>
    <w:rsid w:val="002767FF"/>
    <w:rsid w:val="002B18FE"/>
    <w:rsid w:val="002B5493"/>
    <w:rsid w:val="00343214"/>
    <w:rsid w:val="00361C00"/>
    <w:rsid w:val="0037118B"/>
    <w:rsid w:val="00395FA1"/>
    <w:rsid w:val="003A477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565"/>
    <w:rsid w:val="00545827"/>
    <w:rsid w:val="00560270"/>
    <w:rsid w:val="005C2568"/>
    <w:rsid w:val="005E6A51"/>
    <w:rsid w:val="005F1B17"/>
    <w:rsid w:val="006037C0"/>
    <w:rsid w:val="006631B6"/>
    <w:rsid w:val="00680577"/>
    <w:rsid w:val="006E2EDA"/>
    <w:rsid w:val="006F74FA"/>
    <w:rsid w:val="00731ADD"/>
    <w:rsid w:val="00734777"/>
    <w:rsid w:val="00747932"/>
    <w:rsid w:val="00751A4A"/>
    <w:rsid w:val="00756632"/>
    <w:rsid w:val="00762C74"/>
    <w:rsid w:val="00786EC0"/>
    <w:rsid w:val="00796D5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87B"/>
    <w:rsid w:val="00AB441E"/>
    <w:rsid w:val="00AB6293"/>
    <w:rsid w:val="00AE0928"/>
    <w:rsid w:val="00AF3B82"/>
    <w:rsid w:val="00B12E95"/>
    <w:rsid w:val="00B14023"/>
    <w:rsid w:val="00B22876"/>
    <w:rsid w:val="00B558F0"/>
    <w:rsid w:val="00BD48FE"/>
    <w:rsid w:val="00BD7BD8"/>
    <w:rsid w:val="00BE6ADC"/>
    <w:rsid w:val="00C0392F"/>
    <w:rsid w:val="00C05BFE"/>
    <w:rsid w:val="00C23CD4"/>
    <w:rsid w:val="00C61C0C"/>
    <w:rsid w:val="00C82BB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1E73"/>
    <w:rsid w:val="00E820A4"/>
    <w:rsid w:val="00EB006A"/>
    <w:rsid w:val="00EB4772"/>
    <w:rsid w:val="00ED169E"/>
    <w:rsid w:val="00ED4235"/>
    <w:rsid w:val="00ED719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43EC5"/>
  <w15:chartTrackingRefBased/>
  <w15:docId w15:val="{60E5728E-EAE9-40A7-9B56-68E5E60C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82BB9"/>
    <w:pPr>
      <w:spacing w:after="120"/>
    </w:pPr>
  </w:style>
  <w:style w:type="paragraph" w:customStyle="1" w:styleId="NormalBold">
    <w:name w:val="NormalBold"/>
    <w:basedOn w:val="Normal"/>
    <w:link w:val="NormalBoldChar"/>
    <w:rsid w:val="00C82BB9"/>
    <w:rPr>
      <w:b/>
    </w:rPr>
  </w:style>
  <w:style w:type="paragraph" w:customStyle="1" w:styleId="NormalHanging12a">
    <w:name w:val="NormalHanging12a"/>
    <w:basedOn w:val="Normal"/>
    <w:rsid w:val="00C82BB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82BB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82B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82BB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82BB9"/>
    <w:rPr>
      <w:b/>
      <w:sz w:val="24"/>
      <w:lang w:val="fi-FI"/>
    </w:rPr>
  </w:style>
  <w:style w:type="character" w:customStyle="1" w:styleId="Normal6Char">
    <w:name w:val="Normal6 Char"/>
    <w:basedOn w:val="DefaultParagraphFont"/>
    <w:link w:val="Normal6"/>
    <w:locked/>
    <w:rsid w:val="00C82BB9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C82BB9"/>
    <w:pPr>
      <w:spacing w:after="120"/>
    </w:pPr>
  </w:style>
  <w:style w:type="paragraph" w:customStyle="1" w:styleId="ColumnHeading">
    <w:name w:val="ColumnHeading"/>
    <w:basedOn w:val="Normal"/>
    <w:rsid w:val="00C82BB9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C82BB9"/>
    <w:rPr>
      <w:sz w:val="2"/>
      <w:szCs w:val="24"/>
      <w:lang w:eastAsia="en-US"/>
    </w:rPr>
  </w:style>
  <w:style w:type="paragraph" w:styleId="Footer">
    <w:name w:val="footer"/>
    <w:basedOn w:val="Normal"/>
    <w:link w:val="FooterChar"/>
    <w:rsid w:val="00796D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6D5B"/>
    <w:rPr>
      <w:sz w:val="24"/>
      <w:lang w:val="fi-FI"/>
    </w:rPr>
  </w:style>
  <w:style w:type="paragraph" w:customStyle="1" w:styleId="FootnoteTextForceStyle">
    <w:name w:val="Footnote Text ForceStyle"/>
    <w:rsid w:val="00545565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  <w:style w:type="character" w:customStyle="1" w:styleId="Hyperlink1">
    <w:name w:val="Hyperlink1"/>
    <w:basedOn w:val="DefaultParagraphFont"/>
    <w:uiPriority w:val="99"/>
    <w:unhideWhenUsed/>
    <w:rsid w:val="00545565"/>
    <w:rPr>
      <w:color w:val="0000FF"/>
      <w:u w:val="single"/>
    </w:rPr>
  </w:style>
  <w:style w:type="paragraph" w:styleId="Revision">
    <w:name w:val="Revision"/>
    <w:hidden/>
    <w:uiPriority w:val="99"/>
    <w:semiHidden/>
    <w:rsid w:val="00545565"/>
    <w:rPr>
      <w:sz w:val="24"/>
      <w:lang w:val="fi-FI"/>
    </w:rPr>
  </w:style>
  <w:style w:type="character" w:styleId="Hyperlink">
    <w:name w:val="Hyperlink"/>
    <w:basedOn w:val="DefaultParagraphFont"/>
    <w:rsid w:val="00E51E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2026-01-06T09:34:00Z</dcterms:created>
  <dcterms:modified xsi:type="dcterms:W3CDTF">2026-01-06T09:34:00Z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