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530B" w14:paraId="00C36E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22562F" w14:textId="77777777" w:rsidR="00751A4A" w:rsidRPr="0056530B" w:rsidRDefault="00042822" w:rsidP="0010095E">
            <w:pPr>
              <w:pStyle w:val="EPName"/>
            </w:pPr>
            <w:r w:rsidRPr="0056530B">
              <w:t>Europaparlamentet</w:t>
            </w:r>
          </w:p>
          <w:p w14:paraId="5750F2A9" w14:textId="77777777" w:rsidR="00751A4A" w:rsidRPr="005653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30B">
              <w:t>2024</w:t>
            </w:r>
            <w:r w:rsidR="00817416" w:rsidRPr="0056530B">
              <w:t>-202</w:t>
            </w:r>
            <w:r w:rsidRPr="0056530B">
              <w:t>9</w:t>
            </w:r>
          </w:p>
        </w:tc>
        <w:tc>
          <w:tcPr>
            <w:tcW w:w="2268" w:type="dxa"/>
            <w:shd w:val="clear" w:color="auto" w:fill="auto"/>
          </w:tcPr>
          <w:p w14:paraId="577A0FF7" w14:textId="77777777" w:rsidR="00751A4A" w:rsidRPr="0056530B" w:rsidRDefault="00187494" w:rsidP="0010095E">
            <w:pPr>
              <w:pStyle w:val="EPLogo"/>
            </w:pPr>
            <w:r w:rsidRPr="0056530B">
              <w:rPr>
                <w:noProof/>
                <w:lang w:eastAsia="ja-JP"/>
              </w:rPr>
              <w:drawing>
                <wp:inline distT="0" distB="0" distL="0" distR="0" wp14:anchorId="161F080F" wp14:editId="3F84E1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606FE2" w14:textId="77777777" w:rsidR="00D058B8" w:rsidRPr="0056530B" w:rsidRDefault="00D058B8" w:rsidP="004C5D52">
      <w:pPr>
        <w:pStyle w:val="LineTop"/>
      </w:pPr>
    </w:p>
    <w:p w14:paraId="62B12889" w14:textId="77777777" w:rsidR="00680577" w:rsidRPr="0056530B" w:rsidRDefault="00042822" w:rsidP="00680577">
      <w:pPr>
        <w:pStyle w:val="EPBodyTA1"/>
      </w:pPr>
      <w:r w:rsidRPr="0056530B">
        <w:t>ANTAGNA TEXTER</w:t>
      </w:r>
    </w:p>
    <w:p w14:paraId="416D099A" w14:textId="77777777" w:rsidR="00D058B8" w:rsidRPr="0056530B" w:rsidRDefault="00D058B8" w:rsidP="00D058B8">
      <w:pPr>
        <w:pStyle w:val="LineBottom"/>
      </w:pPr>
    </w:p>
    <w:p w14:paraId="0F164020" w14:textId="223B0C42" w:rsidR="00042822" w:rsidRPr="0056530B" w:rsidRDefault="00042822" w:rsidP="00042822">
      <w:pPr>
        <w:pStyle w:val="ATHeading1"/>
      </w:pPr>
      <w:bookmarkStart w:id="0" w:name="TANumber"/>
      <w:r w:rsidRPr="0056530B">
        <w:t>P10_TA(2025)0</w:t>
      </w:r>
      <w:bookmarkEnd w:id="0"/>
      <w:r w:rsidR="007F2571" w:rsidRPr="0056530B">
        <w:t>237</w:t>
      </w:r>
    </w:p>
    <w:p w14:paraId="63A6C3AB" w14:textId="31B765D0" w:rsidR="00042822" w:rsidRPr="0056530B" w:rsidRDefault="00A338F5" w:rsidP="00A338F5">
      <w:pPr>
        <w:pStyle w:val="ATHeading2"/>
      </w:pPr>
      <w:bookmarkStart w:id="1" w:name="title"/>
      <w:r w:rsidRPr="0056530B">
        <w:t>Omfördelning av vetenskapliga och tekniska uppgifter och förbättring av</w:t>
      </w:r>
      <w:r w:rsidR="0031202A" w:rsidRPr="0056530B">
        <w:t xml:space="preserve"> </w:t>
      </w:r>
      <w:r w:rsidRPr="0056530B">
        <w:t>samarbetet mellan unionens byråer på kemikalieområdet</w:t>
      </w:r>
      <w:bookmarkEnd w:id="1"/>
    </w:p>
    <w:p w14:paraId="0FAD723B" w14:textId="77777777" w:rsidR="00042822" w:rsidRPr="0056530B" w:rsidRDefault="00042822" w:rsidP="00042822">
      <w:pPr>
        <w:rPr>
          <w:i/>
          <w:vanish/>
        </w:rPr>
      </w:pPr>
      <w:r w:rsidRPr="0056530B">
        <w:rPr>
          <w:i/>
        </w:rPr>
        <w:fldChar w:fldCharType="begin"/>
      </w:r>
      <w:r w:rsidRPr="0056530B">
        <w:rPr>
          <w:i/>
        </w:rPr>
        <w:instrText xml:space="preserve"> TC"(</w:instrText>
      </w:r>
      <w:bookmarkStart w:id="2" w:name="DocNumber"/>
      <w:r w:rsidRPr="0056530B">
        <w:rPr>
          <w:i/>
        </w:rPr>
        <w:instrText>A10-0020/2025</w:instrText>
      </w:r>
      <w:bookmarkEnd w:id="2"/>
      <w:r w:rsidRPr="0056530B">
        <w:rPr>
          <w:i/>
        </w:rPr>
        <w:instrText xml:space="preserve"> - Föredragande: Dimitris </w:instrText>
      </w:r>
      <w:proofErr w:type="spellStart"/>
      <w:r w:rsidRPr="0056530B">
        <w:rPr>
          <w:i/>
        </w:rPr>
        <w:instrText>Tsiodras</w:instrText>
      </w:r>
      <w:proofErr w:type="spellEnd"/>
      <w:r w:rsidRPr="0056530B">
        <w:rPr>
          <w:i/>
        </w:rPr>
        <w:instrText xml:space="preserve">)"\l3 \n&gt; \* MERGEFORMAT </w:instrText>
      </w:r>
      <w:r w:rsidRPr="0056530B">
        <w:rPr>
          <w:i/>
        </w:rPr>
        <w:fldChar w:fldCharType="end"/>
      </w:r>
    </w:p>
    <w:p w14:paraId="0C04059F" w14:textId="77777777" w:rsidR="00042822" w:rsidRPr="0056530B" w:rsidRDefault="00042822" w:rsidP="00042822">
      <w:pPr>
        <w:rPr>
          <w:vanish/>
        </w:rPr>
      </w:pPr>
      <w:bookmarkStart w:id="3" w:name="Commission"/>
      <w:r w:rsidRPr="0056530B">
        <w:rPr>
          <w:vanish/>
        </w:rPr>
        <w:t>Utskottet för miljö, klimat och livsmedelssäkerhet</w:t>
      </w:r>
      <w:bookmarkEnd w:id="3"/>
    </w:p>
    <w:p w14:paraId="1158637B" w14:textId="77777777" w:rsidR="00042822" w:rsidRPr="0056530B" w:rsidRDefault="00042822" w:rsidP="00042822">
      <w:pPr>
        <w:rPr>
          <w:vanish/>
        </w:rPr>
      </w:pPr>
      <w:bookmarkStart w:id="4" w:name="PE"/>
      <w:r w:rsidRPr="0056530B">
        <w:rPr>
          <w:vanish/>
        </w:rPr>
        <w:t>PE763.253</w:t>
      </w:r>
      <w:bookmarkEnd w:id="4"/>
    </w:p>
    <w:p w14:paraId="06ED1A70" w14:textId="6907CA55" w:rsidR="00042822" w:rsidRPr="0056530B" w:rsidRDefault="00042822" w:rsidP="00042822">
      <w:pPr>
        <w:pStyle w:val="ATHeading3"/>
      </w:pPr>
      <w:bookmarkStart w:id="5" w:name="Sujet"/>
      <w:r w:rsidRPr="0056530B">
        <w:t xml:space="preserve">Europaparlamentets lagstiftningsresolution av den </w:t>
      </w:r>
      <w:r w:rsidR="0031202A" w:rsidRPr="0056530B">
        <w:t>21</w:t>
      </w:r>
      <w:r w:rsidRPr="0056530B">
        <w:t xml:space="preserve"> </w:t>
      </w:r>
      <w:r w:rsidR="006826C0" w:rsidRPr="0056530B">
        <w:t>oktober</w:t>
      </w:r>
      <w:r w:rsidRPr="0056530B">
        <w:t xml:space="preserve"> 2025 om förslaget till Europaparlamentets och rådets förordning om ändring av Europaparlamentets och rådets förordningar (EG) nr 178/2002, (EG) nr 401/2009, (EU) 2017/745 och (EU) 2019/1021 vad gäller omfördelning av vetenskapliga och tekniska uppgifter och förbättring av samarbetet mellan unionens byråer på kemikalieområdet</w:t>
      </w:r>
      <w:bookmarkEnd w:id="5"/>
      <w:r w:rsidRPr="0056530B">
        <w:t xml:space="preserve"> </w:t>
      </w:r>
      <w:bookmarkStart w:id="6" w:name="References"/>
      <w:r w:rsidRPr="0056530B">
        <w:t>(COM(2023)0783 – C9-0447/2023 – 2023/0455(COD))</w:t>
      </w:r>
      <w:bookmarkEnd w:id="6"/>
    </w:p>
    <w:p w14:paraId="350BFBDF" w14:textId="77777777" w:rsidR="0052153E" w:rsidRPr="0056530B" w:rsidRDefault="0052153E" w:rsidP="0052153E">
      <w:pPr>
        <w:pStyle w:val="NormalBold"/>
      </w:pPr>
      <w:r w:rsidRPr="0056530B">
        <w:t>(Ordinarie lagstiftningsförfarande: första behandlingen)</w:t>
      </w:r>
    </w:p>
    <w:p w14:paraId="27CA63BE" w14:textId="77777777" w:rsidR="0052153E" w:rsidRPr="0056530B" w:rsidRDefault="0052153E" w:rsidP="0052153E">
      <w:pPr>
        <w:pStyle w:val="EPComma"/>
      </w:pPr>
      <w:r w:rsidRPr="0056530B">
        <w:rPr>
          <w:i/>
        </w:rPr>
        <w:t>Europaparlamentet utfärdar denna resolution</w:t>
      </w:r>
    </w:p>
    <w:p w14:paraId="1A613FAD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>med beaktande av kommissionens förslag till Europaparlamentet och rådet (COM(2023)0783),</w:t>
      </w:r>
    </w:p>
    <w:p w14:paraId="1FD4868C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>med beaktande av artiklarna 294.2 och 114 i fördraget om Europeiska unionens funktionssätt, i enlighet med vilka kommissionen har lagt fram sitt förslag för parlamentet (C9</w:t>
      </w:r>
      <w:r w:rsidRPr="0056530B">
        <w:noBreakHyphen/>
        <w:t>0447/2023),</w:t>
      </w:r>
    </w:p>
    <w:p w14:paraId="373A7344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>med beaktande av artikel 294.3 i fördraget om Europeiska unionens funktionssätt,</w:t>
      </w:r>
    </w:p>
    <w:p w14:paraId="5864B957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>med beaktande av Europeiska ekonomiska och sociala kommitténs yttrande av den 20 mars 2024</w:t>
      </w:r>
      <w:r w:rsidRPr="0056530B">
        <w:rPr>
          <w:rStyle w:val="FootnoteReference"/>
        </w:rPr>
        <w:footnoteReference w:id="1"/>
      </w:r>
      <w:r w:rsidRPr="0056530B">
        <w:t>,</w:t>
      </w:r>
    </w:p>
    <w:p w14:paraId="49D23CD6" w14:textId="201789CF" w:rsidR="0031202A" w:rsidRPr="0056530B" w:rsidRDefault="00D15235" w:rsidP="00D15235">
      <w:pPr>
        <w:pStyle w:val="NormalHanging12a"/>
      </w:pPr>
      <w:r w:rsidRPr="0056530B">
        <w:t>–</w:t>
      </w:r>
      <w:r w:rsidRPr="0056530B">
        <w:tab/>
      </w:r>
      <w:r w:rsidR="0031202A" w:rsidRPr="0056530B">
        <w:t>med beaktande av den preliminära överenskommelse som godkänts av det ansvariga utskottet enligt artikel 7</w:t>
      </w:r>
      <w:r w:rsidR="00C74827" w:rsidRPr="0056530B">
        <w:t>5</w:t>
      </w:r>
      <w:r w:rsidR="0031202A" w:rsidRPr="0056530B">
        <w:t>.4 i arbetsordningen och det skriftliga åtagandet från rådets företrädare av den 25 juni 2025 att godkänna parlamentets ståndpunkt i enlighet med artikel 294.4 i fördraget om Europeiska unionens funktionssätt,</w:t>
      </w:r>
    </w:p>
    <w:p w14:paraId="2B271CF1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>med beaktande av artikel 60 i arbetsordningen,</w:t>
      </w:r>
    </w:p>
    <w:p w14:paraId="168E1754" w14:textId="77777777" w:rsidR="0052153E" w:rsidRPr="0056530B" w:rsidRDefault="0052153E" w:rsidP="0052153E">
      <w:pPr>
        <w:pStyle w:val="NormalHanging12a"/>
      </w:pPr>
      <w:r w:rsidRPr="0056530B">
        <w:t>–</w:t>
      </w:r>
      <w:r w:rsidRPr="0056530B">
        <w:tab/>
        <w:t xml:space="preserve">med beaktande av betänkandet från utskottet för miljö, klimat och livsmedelssäkerhet </w:t>
      </w:r>
      <w:r w:rsidRPr="0056530B">
        <w:lastRenderedPageBreak/>
        <w:t>(A10-0020/2025).</w:t>
      </w:r>
    </w:p>
    <w:p w14:paraId="6421B9D2" w14:textId="11F3CA45" w:rsidR="0052153E" w:rsidRPr="0056530B" w:rsidRDefault="0052153E" w:rsidP="0052153E">
      <w:pPr>
        <w:pStyle w:val="NormalHanging12a"/>
      </w:pPr>
      <w:r w:rsidRPr="0056530B">
        <w:t>1.</w:t>
      </w:r>
      <w:r w:rsidRPr="0056530B">
        <w:tab/>
        <w:t>Europaparlamentet antar nedanstående ståndpunkt vid första behandlingen</w:t>
      </w:r>
      <w:r w:rsidR="0031202A" w:rsidRPr="0056530B">
        <w:rPr>
          <w:rStyle w:val="FootnoteReference"/>
        </w:rPr>
        <w:footnoteReference w:id="2"/>
      </w:r>
      <w:r w:rsidRPr="0056530B">
        <w:t>.</w:t>
      </w:r>
    </w:p>
    <w:p w14:paraId="7CE291FD" w14:textId="77777777" w:rsidR="0052153E" w:rsidRPr="0056530B" w:rsidRDefault="0052153E" w:rsidP="0052153E">
      <w:pPr>
        <w:pStyle w:val="NormalHanging12a"/>
      </w:pPr>
      <w:r w:rsidRPr="0056530B">
        <w:t>2.</w:t>
      </w:r>
      <w:r w:rsidRPr="0056530B">
        <w:tab/>
        <w:t>Europaparlamentet uppmanar kommissionen att på nytt lägga fram ärendet för parlamentet om den ersätter, väsentligt ändrar eller har för avsikt att väsentligt ändra sitt förslag.</w:t>
      </w:r>
    </w:p>
    <w:p w14:paraId="1B079BE9" w14:textId="77777777" w:rsidR="0052153E" w:rsidRPr="0056530B" w:rsidRDefault="0052153E" w:rsidP="0052153E">
      <w:pPr>
        <w:pStyle w:val="NormalHanging12a"/>
      </w:pPr>
      <w:r w:rsidRPr="0056530B">
        <w:t>3.</w:t>
      </w:r>
      <w:r w:rsidRPr="0056530B">
        <w:tab/>
        <w:t>Europaparlamentet uppdrar åt talmannen att översända parlamentets ståndpunkt till rådet, kommissionen och de nationella parlamenten.</w:t>
      </w:r>
    </w:p>
    <w:p w14:paraId="01807BBF" w14:textId="77777777" w:rsidR="0031202A" w:rsidRPr="0056530B" w:rsidRDefault="0031202A" w:rsidP="0052153E">
      <w:pPr>
        <w:sectPr w:rsidR="0031202A" w:rsidRPr="0056530B" w:rsidSect="00A07F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C86A31" w14:textId="77777777" w:rsidR="008711B9" w:rsidRPr="0056530B" w:rsidRDefault="008711B9" w:rsidP="008711B9">
      <w:pPr>
        <w:rPr>
          <w:b/>
          <w:bCs/>
        </w:rPr>
      </w:pPr>
      <w:r w:rsidRPr="0056530B">
        <w:rPr>
          <w:b/>
          <w:bCs/>
        </w:rPr>
        <w:lastRenderedPageBreak/>
        <w:t>P10_TC1-COD(2023)0455</w:t>
      </w:r>
    </w:p>
    <w:p w14:paraId="7FC3B5C3" w14:textId="77777777" w:rsidR="008711B9" w:rsidRPr="0056530B" w:rsidRDefault="008711B9" w:rsidP="00D15235">
      <w:pPr>
        <w:rPr>
          <w:b/>
          <w:bCs/>
        </w:rPr>
      </w:pPr>
    </w:p>
    <w:p w14:paraId="007173A9" w14:textId="64F470FC" w:rsidR="004A5DFD" w:rsidRPr="0056530B" w:rsidRDefault="008711B9" w:rsidP="00E805B4">
      <w:pPr>
        <w:spacing w:before="120" w:after="360"/>
        <w:rPr>
          <w:b/>
          <w:szCs w:val="24"/>
          <w:lang w:eastAsia="en-US"/>
        </w:rPr>
      </w:pPr>
      <w:r w:rsidRPr="0056530B">
        <w:rPr>
          <w:b/>
          <w:bCs/>
        </w:rPr>
        <w:t xml:space="preserve">Europaparlamentets ståndpunkt fastställd vid första behandlingen den 21 oktober 2025 inför antagandet av Europaparlamentets och rådets förordning (EU) 2025/… </w:t>
      </w:r>
      <w:r w:rsidR="004A5DFD" w:rsidRPr="0056530B">
        <w:rPr>
          <w:b/>
          <w:szCs w:val="24"/>
          <w:lang w:eastAsia="en-US"/>
        </w:rPr>
        <w:t>om ändring av förordningarna (EG) nr 178/2002, (EG) nr 401/2009, (EU) 2017/745 och (EU) 2019/1021 vad gäller omfördelning av vetenskapliga och tekniska uppgifter och förbättring av samarbetet mellan unionsbyråer på kemikalieområdet</w:t>
      </w:r>
    </w:p>
    <w:p w14:paraId="342FD8AE" w14:textId="5078B9CE" w:rsidR="00E805B4" w:rsidRPr="00E805B4" w:rsidRDefault="00E805B4" w:rsidP="00E805B4">
      <w:pPr>
        <w:widowControl/>
        <w:spacing w:before="120" w:after="360"/>
        <w:rPr>
          <w:szCs w:val="24"/>
        </w:rPr>
      </w:pPr>
      <w:r w:rsidRPr="00E805B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="0092651F" w:rsidRPr="0092651F">
        <w:rPr>
          <w:i/>
          <w:szCs w:val="24"/>
          <w:lang w:eastAsia="en-US"/>
        </w:rPr>
        <w:t>5</w:t>
      </w:r>
      <w:r w:rsidRPr="00E805B4">
        <w:rPr>
          <w:i/>
          <w:szCs w:val="24"/>
          <w:lang w:eastAsia="en-US"/>
        </w:rPr>
        <w:t>/</w:t>
      </w:r>
      <w:r w:rsidR="0092651F" w:rsidRPr="0092651F">
        <w:rPr>
          <w:i/>
          <w:szCs w:val="24"/>
          <w:lang w:eastAsia="en-US"/>
        </w:rPr>
        <w:t>2457</w:t>
      </w:r>
      <w:r w:rsidRPr="00E805B4">
        <w:rPr>
          <w:i/>
          <w:szCs w:val="24"/>
          <w:lang w:eastAsia="en-US"/>
        </w:rPr>
        <w:t>.)</w:t>
      </w:r>
    </w:p>
    <w:p w14:paraId="2A986739" w14:textId="77777777" w:rsidR="00E805B4" w:rsidRPr="00E805B4" w:rsidRDefault="00E805B4" w:rsidP="00E805B4">
      <w:pPr>
        <w:widowControl/>
        <w:jc w:val="both"/>
        <w:rPr>
          <w:szCs w:val="24"/>
        </w:rPr>
      </w:pPr>
    </w:p>
    <w:p w14:paraId="16744A1A" w14:textId="77777777" w:rsidR="004A5DFD" w:rsidRPr="0056530B" w:rsidRDefault="004A5DFD" w:rsidP="004A5DFD">
      <w:pPr>
        <w:jc w:val="both"/>
        <w:rPr>
          <w:b/>
          <w:noProof/>
          <w:szCs w:val="24"/>
          <w:lang w:eastAsia="en-US"/>
        </w:rPr>
      </w:pPr>
    </w:p>
    <w:sectPr w:rsidR="004A5DFD" w:rsidRPr="0056530B" w:rsidSect="00A07F9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686AC" w14:textId="77777777" w:rsidR="00042822" w:rsidRPr="00A07F99" w:rsidRDefault="00042822">
      <w:r w:rsidRPr="00A07F99">
        <w:separator/>
      </w:r>
    </w:p>
  </w:endnote>
  <w:endnote w:type="continuationSeparator" w:id="0">
    <w:p w14:paraId="77EA9E16" w14:textId="77777777" w:rsidR="00042822" w:rsidRPr="00A07F99" w:rsidRDefault="00042822">
      <w:r w:rsidRPr="00A07F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F31E" w14:textId="77777777" w:rsidR="00064002" w:rsidRPr="00A07F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E10B7" w14:textId="77777777" w:rsidR="00064002" w:rsidRPr="00A07F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4AAD" w14:textId="77777777" w:rsidR="00064002" w:rsidRPr="00A07F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FFC8D" w14:textId="77777777" w:rsidR="00042822" w:rsidRPr="00A07F99" w:rsidRDefault="00042822">
      <w:r w:rsidRPr="00A07F99">
        <w:separator/>
      </w:r>
    </w:p>
  </w:footnote>
  <w:footnote w:type="continuationSeparator" w:id="0">
    <w:p w14:paraId="3608BEEC" w14:textId="77777777" w:rsidR="00042822" w:rsidRPr="00A07F99" w:rsidRDefault="00042822">
      <w:r w:rsidRPr="00A07F99">
        <w:continuationSeparator/>
      </w:r>
    </w:p>
  </w:footnote>
  <w:footnote w:id="1">
    <w:p w14:paraId="4286B608" w14:textId="7871E592" w:rsidR="0052153E" w:rsidRPr="00D15235" w:rsidRDefault="0052153E" w:rsidP="00A07F99">
      <w:pPr>
        <w:pStyle w:val="FootnoteText"/>
        <w:ind w:left="567" w:hanging="567"/>
        <w:rPr>
          <w:sz w:val="24"/>
          <w:lang w:val="fi-FI"/>
        </w:rPr>
      </w:pPr>
      <w:r w:rsidRPr="00D15235">
        <w:rPr>
          <w:rStyle w:val="FootnoteReference"/>
          <w:sz w:val="24"/>
          <w:lang w:val="sv-SE"/>
        </w:rPr>
        <w:footnoteRef/>
      </w:r>
      <w:r w:rsidR="00A07F99" w:rsidRPr="00D15235">
        <w:rPr>
          <w:sz w:val="24"/>
          <w:lang w:val="fi-FI"/>
        </w:rPr>
        <w:t xml:space="preserve"> </w:t>
      </w:r>
      <w:r w:rsidR="00A07F99" w:rsidRPr="00D15235">
        <w:rPr>
          <w:sz w:val="24"/>
          <w:lang w:val="fi-FI"/>
        </w:rPr>
        <w:tab/>
      </w:r>
      <w:r w:rsidRPr="00D15235">
        <w:rPr>
          <w:sz w:val="24"/>
          <w:lang w:val="fi-FI"/>
        </w:rPr>
        <w:t xml:space="preserve">EUT C, C/2024/3381, 31.5.2024, ELI: </w:t>
      </w:r>
      <w:hyperlink r:id="rId1" w:history="1">
        <w:r w:rsidRPr="00D15235">
          <w:rPr>
            <w:rStyle w:val="Hyperlink"/>
            <w:sz w:val="24"/>
            <w:lang w:val="fi-FI"/>
          </w:rPr>
          <w:t>http://data.europa.eu/eli/C/2024/3381/oj</w:t>
        </w:r>
      </w:hyperlink>
      <w:r w:rsidRPr="00D15235">
        <w:rPr>
          <w:sz w:val="24"/>
          <w:lang w:val="fi-FI"/>
        </w:rPr>
        <w:t>.</w:t>
      </w:r>
    </w:p>
  </w:footnote>
  <w:footnote w:id="2">
    <w:p w14:paraId="50A36426" w14:textId="5DB72419" w:rsidR="0031202A" w:rsidRPr="00D15235" w:rsidRDefault="0031202A" w:rsidP="0031202A">
      <w:pPr>
        <w:pStyle w:val="FootnoteText"/>
        <w:ind w:left="851" w:hanging="851"/>
        <w:rPr>
          <w:lang w:val="sv-SE"/>
        </w:rPr>
      </w:pPr>
      <w:r w:rsidRPr="00D15235">
        <w:rPr>
          <w:rStyle w:val="FootnoteReference"/>
        </w:rPr>
        <w:footnoteRef/>
      </w:r>
      <w:r w:rsidRPr="00D15235">
        <w:rPr>
          <w:lang w:val="sv-SE"/>
        </w:rPr>
        <w:t xml:space="preserve"> </w:t>
      </w:r>
      <w:r w:rsidRPr="00D15235">
        <w:rPr>
          <w:lang w:val="sv-SE"/>
        </w:rPr>
        <w:tab/>
      </w:r>
      <w:r w:rsidRPr="00D15235">
        <w:rPr>
          <w:sz w:val="24"/>
          <w:szCs w:val="24"/>
          <w:lang w:val="sv-SE"/>
        </w:rPr>
        <w:t>Denna ståndpunkt ersätter ändringarna antagna den 1 april 2025 (Antagna texter, P</w:t>
      </w:r>
      <w:r w:rsidR="0006404D" w:rsidRPr="00D15235">
        <w:rPr>
          <w:sz w:val="24"/>
          <w:szCs w:val="24"/>
          <w:lang w:val="sv-SE"/>
        </w:rPr>
        <w:t>10</w:t>
      </w:r>
      <w:r w:rsidRPr="00D15235">
        <w:rPr>
          <w:sz w:val="24"/>
          <w:szCs w:val="24"/>
          <w:lang w:val="sv-SE"/>
        </w:rPr>
        <w:t>_TA(202</w:t>
      </w:r>
      <w:r w:rsidR="0006404D" w:rsidRPr="00D15235">
        <w:rPr>
          <w:sz w:val="24"/>
          <w:szCs w:val="24"/>
          <w:lang w:val="sv-SE"/>
        </w:rPr>
        <w:t>5</w:t>
      </w:r>
      <w:r w:rsidRPr="00D15235">
        <w:rPr>
          <w:sz w:val="24"/>
          <w:szCs w:val="24"/>
          <w:lang w:val="sv-SE"/>
        </w:rPr>
        <w:t>)0</w:t>
      </w:r>
      <w:r w:rsidR="0006404D" w:rsidRPr="00D15235">
        <w:rPr>
          <w:sz w:val="24"/>
          <w:szCs w:val="24"/>
          <w:lang w:val="sv-SE"/>
        </w:rPr>
        <w:t>047</w:t>
      </w:r>
      <w:r w:rsidRPr="00D15235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7F393" w14:textId="77777777" w:rsidR="00064002" w:rsidRPr="00A07F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94E19" w14:textId="77777777" w:rsidR="00064002" w:rsidRPr="00A07F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FC17B" w14:textId="77777777" w:rsidR="00064002" w:rsidRPr="00A07F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79234AD"/>
    <w:multiLevelType w:val="hybridMultilevel"/>
    <w:tmpl w:val="817846B8"/>
    <w:lvl w:ilvl="0" w:tplc="E9F4BEF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5504647">
    <w:abstractNumId w:val="9"/>
  </w:num>
  <w:num w:numId="2" w16cid:durableId="1597858432">
    <w:abstractNumId w:val="9"/>
  </w:num>
  <w:num w:numId="3" w16cid:durableId="236133377">
    <w:abstractNumId w:val="7"/>
  </w:num>
  <w:num w:numId="4" w16cid:durableId="575670985">
    <w:abstractNumId w:val="7"/>
  </w:num>
  <w:num w:numId="5" w16cid:durableId="312224130">
    <w:abstractNumId w:val="6"/>
  </w:num>
  <w:num w:numId="6" w16cid:durableId="61490035">
    <w:abstractNumId w:val="6"/>
  </w:num>
  <w:num w:numId="7" w16cid:durableId="2136947498">
    <w:abstractNumId w:val="5"/>
  </w:num>
  <w:num w:numId="8" w16cid:durableId="2108694626">
    <w:abstractNumId w:val="5"/>
  </w:num>
  <w:num w:numId="9" w16cid:durableId="1373071253">
    <w:abstractNumId w:val="4"/>
  </w:num>
  <w:num w:numId="10" w16cid:durableId="1667395679">
    <w:abstractNumId w:val="4"/>
  </w:num>
  <w:num w:numId="11" w16cid:durableId="610623957">
    <w:abstractNumId w:val="8"/>
  </w:num>
  <w:num w:numId="12" w16cid:durableId="1106004526">
    <w:abstractNumId w:val="8"/>
  </w:num>
  <w:num w:numId="13" w16cid:durableId="1105997635">
    <w:abstractNumId w:val="3"/>
  </w:num>
  <w:num w:numId="14" w16cid:durableId="585188713">
    <w:abstractNumId w:val="3"/>
  </w:num>
  <w:num w:numId="15" w16cid:durableId="283654111">
    <w:abstractNumId w:val="2"/>
  </w:num>
  <w:num w:numId="16" w16cid:durableId="1110246814">
    <w:abstractNumId w:val="2"/>
  </w:num>
  <w:num w:numId="17" w16cid:durableId="90516753">
    <w:abstractNumId w:val="1"/>
  </w:num>
  <w:num w:numId="18" w16cid:durableId="732242204">
    <w:abstractNumId w:val="1"/>
  </w:num>
  <w:num w:numId="19" w16cid:durableId="30350838">
    <w:abstractNumId w:val="0"/>
  </w:num>
  <w:num w:numId="20" w16cid:durableId="607473997">
    <w:abstractNumId w:val="0"/>
  </w:num>
  <w:num w:numId="21" w16cid:durableId="1079640219">
    <w:abstractNumId w:val="9"/>
  </w:num>
  <w:num w:numId="22" w16cid:durableId="736974795">
    <w:abstractNumId w:val="7"/>
  </w:num>
  <w:num w:numId="23" w16cid:durableId="1604917955">
    <w:abstractNumId w:val="6"/>
  </w:num>
  <w:num w:numId="24" w16cid:durableId="2143190027">
    <w:abstractNumId w:val="5"/>
  </w:num>
  <w:num w:numId="25" w16cid:durableId="1954820743">
    <w:abstractNumId w:val="4"/>
  </w:num>
  <w:num w:numId="26" w16cid:durableId="721905067">
    <w:abstractNumId w:val="8"/>
  </w:num>
  <w:num w:numId="27" w16cid:durableId="2141997481">
    <w:abstractNumId w:val="3"/>
  </w:num>
  <w:num w:numId="28" w16cid:durableId="359284292">
    <w:abstractNumId w:val="2"/>
  </w:num>
  <w:num w:numId="29" w16cid:durableId="1240214789">
    <w:abstractNumId w:val="1"/>
  </w:num>
  <w:num w:numId="30" w16cid:durableId="801075875">
    <w:abstractNumId w:val="0"/>
  </w:num>
  <w:num w:numId="31" w16cid:durableId="872815383">
    <w:abstractNumId w:val="9"/>
  </w:num>
  <w:num w:numId="32" w16cid:durableId="1235629539">
    <w:abstractNumId w:val="7"/>
  </w:num>
  <w:num w:numId="33" w16cid:durableId="616956152">
    <w:abstractNumId w:val="6"/>
  </w:num>
  <w:num w:numId="34" w16cid:durableId="732897943">
    <w:abstractNumId w:val="5"/>
  </w:num>
  <w:num w:numId="35" w16cid:durableId="2083942754">
    <w:abstractNumId w:val="4"/>
  </w:num>
  <w:num w:numId="36" w16cid:durableId="101070567">
    <w:abstractNumId w:val="8"/>
  </w:num>
  <w:num w:numId="37" w16cid:durableId="1980760999">
    <w:abstractNumId w:val="3"/>
  </w:num>
  <w:num w:numId="38" w16cid:durableId="2046368896">
    <w:abstractNumId w:val="2"/>
  </w:num>
  <w:num w:numId="39" w16cid:durableId="300698231">
    <w:abstractNumId w:val="1"/>
  </w:num>
  <w:num w:numId="40" w16cid:durableId="1159618587">
    <w:abstractNumId w:val="0"/>
  </w:num>
  <w:num w:numId="41" w16cid:durableId="120347488">
    <w:abstractNumId w:val="10"/>
  </w:num>
  <w:num w:numId="42" w16cid:durableId="1554150386">
    <w:abstractNumId w:val="10"/>
  </w:num>
  <w:num w:numId="43" w16cid:durableId="355082948">
    <w:abstractNumId w:val="10"/>
  </w:num>
  <w:num w:numId="44" w16cid:durableId="1954164547">
    <w:abstractNumId w:val="12"/>
  </w:num>
  <w:num w:numId="45" w16cid:durableId="558591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SV"/>
    <w:docVar w:name="dvnumam" w:val="0"/>
    <w:docVar w:name="dvpe" w:val="763.253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Europaparlamentets och rådets förordningar (EG) nr 178/2002, (EG) nr 401/2009, (EU) 2017/745 och (EU) 2019/1021 vad gäller omfördelning av vetenskapliga och tekniska uppgifter och förbättring av samarbetet mellan unionens byråer på kemikalieområdet(COM(2023)0783 – C9-0447/2023 – 2023/0455(COD))"/>
  </w:docVars>
  <w:rsids>
    <w:rsidRoot w:val="00042822"/>
    <w:rsid w:val="00002272"/>
    <w:rsid w:val="0002189B"/>
    <w:rsid w:val="00042822"/>
    <w:rsid w:val="00064002"/>
    <w:rsid w:val="0006404D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02A"/>
    <w:rsid w:val="00343214"/>
    <w:rsid w:val="00361C00"/>
    <w:rsid w:val="00395FA1"/>
    <w:rsid w:val="003E15D4"/>
    <w:rsid w:val="00411CCE"/>
    <w:rsid w:val="00413A8D"/>
    <w:rsid w:val="0041666E"/>
    <w:rsid w:val="00421060"/>
    <w:rsid w:val="00471C19"/>
    <w:rsid w:val="004867E3"/>
    <w:rsid w:val="00494A28"/>
    <w:rsid w:val="004A5DFD"/>
    <w:rsid w:val="004C0004"/>
    <w:rsid w:val="004C5D52"/>
    <w:rsid w:val="0050519A"/>
    <w:rsid w:val="005072A1"/>
    <w:rsid w:val="00514517"/>
    <w:rsid w:val="0052153E"/>
    <w:rsid w:val="00545827"/>
    <w:rsid w:val="00560270"/>
    <w:rsid w:val="0056530B"/>
    <w:rsid w:val="00575FD6"/>
    <w:rsid w:val="005C2568"/>
    <w:rsid w:val="005F1B17"/>
    <w:rsid w:val="006037C0"/>
    <w:rsid w:val="006631B6"/>
    <w:rsid w:val="00680577"/>
    <w:rsid w:val="006826C0"/>
    <w:rsid w:val="006F74FA"/>
    <w:rsid w:val="00714B5E"/>
    <w:rsid w:val="00731ADD"/>
    <w:rsid w:val="00734777"/>
    <w:rsid w:val="00747932"/>
    <w:rsid w:val="00751A4A"/>
    <w:rsid w:val="00756632"/>
    <w:rsid w:val="00762C74"/>
    <w:rsid w:val="00771C5D"/>
    <w:rsid w:val="00783FEA"/>
    <w:rsid w:val="00786EC0"/>
    <w:rsid w:val="007D1690"/>
    <w:rsid w:val="007E22AD"/>
    <w:rsid w:val="007E700F"/>
    <w:rsid w:val="007F2571"/>
    <w:rsid w:val="00817416"/>
    <w:rsid w:val="00842779"/>
    <w:rsid w:val="00865F67"/>
    <w:rsid w:val="008711B9"/>
    <w:rsid w:val="00881A7B"/>
    <w:rsid w:val="008840E5"/>
    <w:rsid w:val="00887B3E"/>
    <w:rsid w:val="008C2AC6"/>
    <w:rsid w:val="008C5B12"/>
    <w:rsid w:val="008D34A7"/>
    <w:rsid w:val="0092651F"/>
    <w:rsid w:val="00930C23"/>
    <w:rsid w:val="0093193B"/>
    <w:rsid w:val="009509D8"/>
    <w:rsid w:val="00950B64"/>
    <w:rsid w:val="00981893"/>
    <w:rsid w:val="00A07F99"/>
    <w:rsid w:val="00A1687D"/>
    <w:rsid w:val="00A338F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827"/>
    <w:rsid w:val="00C941CB"/>
    <w:rsid w:val="00CC2357"/>
    <w:rsid w:val="00CF071A"/>
    <w:rsid w:val="00D058B8"/>
    <w:rsid w:val="00D15235"/>
    <w:rsid w:val="00D56C11"/>
    <w:rsid w:val="00D834A0"/>
    <w:rsid w:val="00D872DF"/>
    <w:rsid w:val="00D91E21"/>
    <w:rsid w:val="00DA7FCD"/>
    <w:rsid w:val="00E01195"/>
    <w:rsid w:val="00E10F11"/>
    <w:rsid w:val="00E365E1"/>
    <w:rsid w:val="00E805B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76177"/>
  <w15:chartTrackingRefBased/>
  <w15:docId w15:val="{46FB4737-E6D8-4310-93C1-3BCE5D2A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2153E"/>
    <w:pPr>
      <w:spacing w:after="120"/>
    </w:pPr>
  </w:style>
  <w:style w:type="paragraph" w:customStyle="1" w:styleId="PageHeading">
    <w:name w:val="PageHeading"/>
    <w:basedOn w:val="Normal"/>
    <w:rsid w:val="005215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2153E"/>
    <w:rPr>
      <w:b/>
    </w:rPr>
  </w:style>
  <w:style w:type="paragraph" w:customStyle="1" w:styleId="NormalBold12a">
    <w:name w:val="NormalBold12a"/>
    <w:basedOn w:val="Normal"/>
    <w:rsid w:val="0052153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2153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2153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215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2153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2153E"/>
    <w:rPr>
      <w:b/>
      <w:sz w:val="24"/>
      <w:lang w:val="sv-SE"/>
    </w:rPr>
  </w:style>
  <w:style w:type="character" w:customStyle="1" w:styleId="Normal6Char">
    <w:name w:val="Normal6 Char"/>
    <w:basedOn w:val="DefaultParagraphFont"/>
    <w:link w:val="Normal6"/>
    <w:locked/>
    <w:rsid w:val="0052153E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52153E"/>
    <w:pPr>
      <w:spacing w:after="120"/>
    </w:pPr>
  </w:style>
  <w:style w:type="paragraph" w:customStyle="1" w:styleId="ColumnHeading">
    <w:name w:val="ColumnHeading"/>
    <w:basedOn w:val="Normal"/>
    <w:rsid w:val="0052153E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52153E"/>
    <w:rPr>
      <w:sz w:val="2"/>
      <w:szCs w:val="24"/>
      <w:lang w:eastAsia="en-US"/>
    </w:rPr>
  </w:style>
  <w:style w:type="paragraph" w:customStyle="1" w:styleId="FootnoteTextForceStyle">
    <w:name w:val="Footnote Text ForceStyle"/>
    <w:rsid w:val="004A5DFD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Hyperlink1">
    <w:name w:val="Hyperlink1"/>
    <w:basedOn w:val="DefaultParagraphFont"/>
    <w:uiPriority w:val="99"/>
    <w:unhideWhenUsed/>
    <w:rsid w:val="004A5DFD"/>
    <w:rPr>
      <w:color w:val="0000FF"/>
      <w:u w:val="single"/>
    </w:rPr>
  </w:style>
  <w:style w:type="paragraph" w:styleId="Revision">
    <w:name w:val="Revision"/>
    <w:hidden/>
    <w:uiPriority w:val="99"/>
    <w:semiHidden/>
    <w:rsid w:val="00C74827"/>
    <w:rPr>
      <w:sz w:val="24"/>
      <w:lang w:val="sv-SE"/>
    </w:rPr>
  </w:style>
  <w:style w:type="character" w:styleId="Hyperlink">
    <w:name w:val="Hyperlink"/>
    <w:basedOn w:val="DefaultParagraphFont"/>
    <w:rsid w:val="00714B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2026-01-06T09:47:00Z</dcterms:created>
  <dcterms:modified xsi:type="dcterms:W3CDTF">2026-01-06T09:47:00Z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