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B2495" w14:paraId="6772089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B981F01" w14:textId="77777777" w:rsidR="00751A4A" w:rsidRPr="005B2495" w:rsidRDefault="00117BAF" w:rsidP="0010095E">
            <w:pPr>
              <w:pStyle w:val="EPName"/>
            </w:pPr>
            <w:r w:rsidRPr="005B2495">
              <w:t>Parlament Ewropew</w:t>
            </w:r>
          </w:p>
          <w:p w14:paraId="65EA1A24" w14:textId="77777777" w:rsidR="00751A4A" w:rsidRPr="005B249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B2495">
              <w:t>2024</w:t>
            </w:r>
            <w:r w:rsidR="00817416" w:rsidRPr="005B2495">
              <w:t>-202</w:t>
            </w:r>
            <w:r w:rsidRPr="005B2495">
              <w:t>9</w:t>
            </w:r>
          </w:p>
        </w:tc>
        <w:tc>
          <w:tcPr>
            <w:tcW w:w="2268" w:type="dxa"/>
            <w:shd w:val="clear" w:color="auto" w:fill="auto"/>
          </w:tcPr>
          <w:p w14:paraId="60F9BA6E" w14:textId="77777777" w:rsidR="00751A4A" w:rsidRPr="005B2495" w:rsidRDefault="00187494" w:rsidP="0010095E">
            <w:pPr>
              <w:pStyle w:val="EPLogo"/>
            </w:pPr>
            <w:r w:rsidRPr="005B2495">
              <w:rPr>
                <w:noProof/>
                <w:lang w:eastAsia="ja-JP"/>
              </w:rPr>
              <w:drawing>
                <wp:inline distT="0" distB="0" distL="0" distR="0" wp14:anchorId="3D0A38B9" wp14:editId="4C2EF6E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C17C81" w14:textId="77777777" w:rsidR="00D058B8" w:rsidRPr="005B2495" w:rsidRDefault="00D058B8" w:rsidP="004C5D52">
      <w:pPr>
        <w:pStyle w:val="LineTop"/>
      </w:pPr>
    </w:p>
    <w:p w14:paraId="45D211F1" w14:textId="77777777" w:rsidR="00680577" w:rsidRPr="005B2495" w:rsidRDefault="00117BAF" w:rsidP="00680577">
      <w:pPr>
        <w:pStyle w:val="EPBodyTA1"/>
      </w:pPr>
      <w:r w:rsidRPr="005B2495">
        <w:t>TESTI ADOTTATI</w:t>
      </w:r>
    </w:p>
    <w:p w14:paraId="2707236B" w14:textId="77777777" w:rsidR="00D058B8" w:rsidRPr="005B2495" w:rsidRDefault="00D058B8" w:rsidP="00D058B8">
      <w:pPr>
        <w:pStyle w:val="LineBottom"/>
      </w:pPr>
    </w:p>
    <w:p w14:paraId="57E683AE" w14:textId="12D9DB00" w:rsidR="00117BAF" w:rsidRPr="005B2495" w:rsidRDefault="00117BAF" w:rsidP="00117BAF">
      <w:pPr>
        <w:pStyle w:val="ATHeading1"/>
      </w:pPr>
      <w:bookmarkStart w:id="0" w:name="TANumber"/>
      <w:r w:rsidRPr="005B2495">
        <w:t>P</w:t>
      </w:r>
      <w:r w:rsidR="00314AD3">
        <w:t>10</w:t>
      </w:r>
      <w:r w:rsidRPr="005B2495">
        <w:t>_TA(2025)0</w:t>
      </w:r>
      <w:r w:rsidR="007612FB">
        <w:t>238</w:t>
      </w:r>
      <w:bookmarkEnd w:id="0"/>
    </w:p>
    <w:p w14:paraId="415692D0" w14:textId="77777777" w:rsidR="00117BAF" w:rsidRPr="005B2495" w:rsidRDefault="00117BAF" w:rsidP="00117BAF">
      <w:pPr>
        <w:pStyle w:val="ATHeading2"/>
      </w:pPr>
      <w:bookmarkStart w:id="1" w:name="title"/>
      <w:r w:rsidRPr="005B2495">
        <w:t>Regolament Ġenerali dwar il-Protezzjoni tad-Data: regoli proċedurali addizzjonali relatati mal-infurzar tar-Regolament</w:t>
      </w:r>
      <w:bookmarkEnd w:id="1"/>
    </w:p>
    <w:p w14:paraId="314AFEEB" w14:textId="253AEF99" w:rsidR="00117BAF" w:rsidRPr="005B2495" w:rsidRDefault="00117BAF" w:rsidP="00117BAF">
      <w:pPr>
        <w:rPr>
          <w:i/>
          <w:vanish/>
        </w:rPr>
      </w:pPr>
      <w:r w:rsidRPr="005B2495">
        <w:rPr>
          <w:i/>
        </w:rPr>
        <w:fldChar w:fldCharType="begin"/>
      </w:r>
      <w:r w:rsidRPr="005B2495">
        <w:rPr>
          <w:i/>
        </w:rPr>
        <w:instrText xml:space="preserve"> TC"(</w:instrText>
      </w:r>
      <w:bookmarkStart w:id="2" w:name="DocNumber"/>
      <w:r w:rsidRPr="005B2495">
        <w:rPr>
          <w:i/>
        </w:rPr>
        <w:instrText>A9-0045/2024</w:instrText>
      </w:r>
      <w:bookmarkEnd w:id="2"/>
      <w:r w:rsidRPr="005B2495">
        <w:rPr>
          <w:i/>
        </w:rPr>
        <w:instrText xml:space="preserve"> - </w:instrText>
      </w:r>
      <w:proofErr w:type="spellStart"/>
      <w:r w:rsidRPr="005B2495">
        <w:rPr>
          <w:i/>
        </w:rPr>
        <w:instrText>Rapporteur</w:instrText>
      </w:r>
      <w:proofErr w:type="spellEnd"/>
      <w:r w:rsidRPr="005B2495">
        <w:rPr>
          <w:i/>
        </w:rPr>
        <w:instrText xml:space="preserve">: </w:instrText>
      </w:r>
      <w:proofErr w:type="spellStart"/>
      <w:r w:rsidR="00823895" w:rsidRPr="007612FB">
        <w:rPr>
          <w:i/>
        </w:rPr>
        <w:instrText>Markéta</w:instrText>
      </w:r>
      <w:proofErr w:type="spellEnd"/>
      <w:r w:rsidR="00823895" w:rsidRPr="007612FB">
        <w:rPr>
          <w:i/>
        </w:rPr>
        <w:instrText xml:space="preserve"> </w:instrText>
      </w:r>
      <w:proofErr w:type="spellStart"/>
      <w:r w:rsidR="00823895" w:rsidRPr="007612FB">
        <w:rPr>
          <w:i/>
        </w:rPr>
        <w:instrText>Gregorová</w:instrText>
      </w:r>
      <w:proofErr w:type="spellEnd"/>
      <w:r w:rsidRPr="005B2495">
        <w:rPr>
          <w:i/>
        </w:rPr>
        <w:instrText xml:space="preserve">)"\l3 \n&gt; \* MERGEFORMAT </w:instrText>
      </w:r>
      <w:r w:rsidRPr="005B2495">
        <w:rPr>
          <w:i/>
        </w:rPr>
        <w:fldChar w:fldCharType="end"/>
      </w:r>
    </w:p>
    <w:p w14:paraId="2522508B" w14:textId="77777777" w:rsidR="00117BAF" w:rsidRPr="005B2495" w:rsidRDefault="00117BAF" w:rsidP="00117BAF">
      <w:pPr>
        <w:rPr>
          <w:vanish/>
        </w:rPr>
      </w:pPr>
      <w:bookmarkStart w:id="3" w:name="Commission"/>
      <w:r w:rsidRPr="005B2495">
        <w:rPr>
          <w:vanish/>
        </w:rPr>
        <w:t>Kumitat għal-Libertajiet Ċivili, il-Ġustizzja u l-Intern</w:t>
      </w:r>
      <w:bookmarkEnd w:id="3"/>
    </w:p>
    <w:p w14:paraId="3078AFCD" w14:textId="77777777" w:rsidR="00117BAF" w:rsidRPr="005B2495" w:rsidRDefault="00117BAF" w:rsidP="00117BAF">
      <w:pPr>
        <w:rPr>
          <w:vanish/>
        </w:rPr>
      </w:pPr>
      <w:bookmarkStart w:id="4" w:name="PE"/>
      <w:r w:rsidRPr="005B2495">
        <w:rPr>
          <w:vanish/>
        </w:rPr>
        <w:t>PE755.005</w:t>
      </w:r>
      <w:bookmarkEnd w:id="4"/>
    </w:p>
    <w:p w14:paraId="20FD1401" w14:textId="77777777" w:rsidR="00117BAF" w:rsidRPr="005B2495" w:rsidRDefault="00117BAF" w:rsidP="00117BAF">
      <w:pPr>
        <w:pStyle w:val="ATHeading3"/>
      </w:pPr>
      <w:bookmarkStart w:id="5" w:name="Sujet"/>
      <w:r w:rsidRPr="005B2495">
        <w:t>Riżoluzzjoni leġiżlattiva tal-Parlament Ewropew tal-21 ta' Ottubru 2025 dwar il-proposta għal regolament tal-Parlament Ewropew u tal-Kunsill li jistabbilixxi regoli proċedurali addizzjonali relatati mal-infurzar tar-Regolament (UE) 2016/679</w:t>
      </w:r>
      <w:bookmarkEnd w:id="5"/>
      <w:r w:rsidRPr="005B2495">
        <w:t xml:space="preserve"> </w:t>
      </w:r>
      <w:bookmarkStart w:id="6" w:name="References"/>
      <w:r w:rsidRPr="005B2495">
        <w:t>(COM(2023)0348 – C9-0231/2023 – 2023/0202(COD))</w:t>
      </w:r>
      <w:bookmarkEnd w:id="6"/>
    </w:p>
    <w:p w14:paraId="6E4BCAA4" w14:textId="77777777" w:rsidR="00F55ADF" w:rsidRPr="005B2495" w:rsidRDefault="00F55ADF" w:rsidP="00F55ADF">
      <w:pPr>
        <w:pStyle w:val="NormalBold"/>
      </w:pPr>
      <w:r w:rsidRPr="005B2495">
        <w:t>(Proċedura leġiżlattiva ordinarja: l-ewwel qari)</w:t>
      </w:r>
    </w:p>
    <w:p w14:paraId="6CA9EB23" w14:textId="77777777" w:rsidR="00F55ADF" w:rsidRPr="005B2495" w:rsidRDefault="00F55ADF" w:rsidP="00F55ADF">
      <w:pPr>
        <w:pStyle w:val="EPComma"/>
      </w:pPr>
      <w:r w:rsidRPr="005B2495">
        <w:rPr>
          <w:i/>
          <w:iCs/>
        </w:rPr>
        <w:t>Il-Parlament Ewropew</w:t>
      </w:r>
      <w:r w:rsidRPr="005B2495">
        <w:t>,</w:t>
      </w:r>
    </w:p>
    <w:p w14:paraId="4DAE9DC4" w14:textId="77777777" w:rsidR="00F55ADF" w:rsidRPr="005B2495" w:rsidRDefault="00F55ADF" w:rsidP="00F55ADF">
      <w:pPr>
        <w:pStyle w:val="NormalHanging12a"/>
      </w:pPr>
      <w:r w:rsidRPr="005B2495">
        <w:t>–</w:t>
      </w:r>
      <w:r w:rsidRPr="005B2495">
        <w:tab/>
        <w:t>wara li kkunsidra l-proposta tal-Kummissjoni lill-Parlament Ewropew u lill-Kunsill (COM(2023)0348),</w:t>
      </w:r>
    </w:p>
    <w:p w14:paraId="3EE75260" w14:textId="77777777" w:rsidR="00F55ADF" w:rsidRPr="005B2495" w:rsidRDefault="00F55ADF" w:rsidP="00F55ADF">
      <w:pPr>
        <w:pStyle w:val="NormalHanging12a"/>
      </w:pPr>
      <w:r w:rsidRPr="005B2495">
        <w:t>–</w:t>
      </w:r>
      <w:r w:rsidRPr="005B2495">
        <w:tab/>
        <w:t>wara li kkunsidra l-Artikolu 294(2) u l-Artikolu 16 tat-Trattat dwar il-Funzjonament tal-Unjoni Ewropea, skont liema Artikoli l-Kummissjoni ppreżentat il-proposta lill-Parlament (C9</w:t>
      </w:r>
      <w:r w:rsidRPr="005B2495">
        <w:noBreakHyphen/>
        <w:t>0231/2023),</w:t>
      </w:r>
    </w:p>
    <w:p w14:paraId="4B501579" w14:textId="77777777" w:rsidR="00F55ADF" w:rsidRPr="005B2495" w:rsidRDefault="00F55ADF" w:rsidP="00F55ADF">
      <w:pPr>
        <w:pStyle w:val="NormalHanging12a"/>
      </w:pPr>
      <w:r w:rsidRPr="005B2495">
        <w:t>–</w:t>
      </w:r>
      <w:r w:rsidRPr="005B2495">
        <w:tab/>
        <w:t>wara li kkunsidra l-Artikolu 294(3) tat-Trattat dwar il-Funzjonament tal-Unjoni Ewropea,</w:t>
      </w:r>
    </w:p>
    <w:p w14:paraId="5A54B2AD" w14:textId="77777777" w:rsidR="00F55ADF" w:rsidRPr="005B2495" w:rsidRDefault="00F55ADF" w:rsidP="00F55ADF">
      <w:pPr>
        <w:pStyle w:val="NormalHanging12a"/>
      </w:pPr>
      <w:r w:rsidRPr="005B2495">
        <w:t>–</w:t>
      </w:r>
      <w:r w:rsidRPr="005B2495">
        <w:tab/>
        <w:t xml:space="preserve">wara li kkunsidra l-opinjoni motivata ppreżentata mill-Parlament Żvediż, fil-qafas tal-Protokoll Nru 2 dwar l-applikazzjoni tal-prinċipji ta’ </w:t>
      </w:r>
      <w:proofErr w:type="spellStart"/>
      <w:r w:rsidRPr="005B2495">
        <w:t>sussidjarjetà</w:t>
      </w:r>
      <w:proofErr w:type="spellEnd"/>
      <w:r w:rsidRPr="005B2495">
        <w:t xml:space="preserve"> u </w:t>
      </w:r>
      <w:proofErr w:type="spellStart"/>
      <w:r w:rsidRPr="005B2495">
        <w:t>proporzjonalità</w:t>
      </w:r>
      <w:proofErr w:type="spellEnd"/>
      <w:r w:rsidRPr="005B2495">
        <w:t xml:space="preserve"> li tiddikjara li l-abbozz ta’ att leġiżlattiv ma jimxix mal-prinċipju ta’ </w:t>
      </w:r>
      <w:proofErr w:type="spellStart"/>
      <w:r w:rsidRPr="005B2495">
        <w:t>sussidjarjetà</w:t>
      </w:r>
      <w:proofErr w:type="spellEnd"/>
      <w:r w:rsidRPr="005B2495">
        <w:t>,</w:t>
      </w:r>
    </w:p>
    <w:p w14:paraId="3D08067B" w14:textId="77777777" w:rsidR="00314AD3" w:rsidRDefault="00F55ADF" w:rsidP="00F55ADF">
      <w:pPr>
        <w:spacing w:after="160"/>
        <w:ind w:left="567" w:hanging="567"/>
      </w:pPr>
      <w:r w:rsidRPr="005B2495">
        <w:t>–</w:t>
      </w:r>
      <w:r w:rsidRPr="005B2495">
        <w:tab/>
        <w:t>wara li kkunsidra l-opinjoni tal-Kumitat Ekonomiku u Soċjali Ewropew tat-13 ta’ Diċembru 2023</w:t>
      </w:r>
      <w:r w:rsidRPr="005B2495">
        <w:rPr>
          <w:vertAlign w:val="superscript"/>
        </w:rPr>
        <w:footnoteReference w:id="1"/>
      </w:r>
      <w:r w:rsidRPr="005B2495">
        <w:t>,</w:t>
      </w:r>
    </w:p>
    <w:p w14:paraId="7E576A04" w14:textId="6B252603" w:rsidR="00F55ADF" w:rsidRPr="005B2495" w:rsidRDefault="00314AD3" w:rsidP="00F55ADF">
      <w:pPr>
        <w:spacing w:after="160"/>
        <w:ind w:left="567" w:hanging="567"/>
      </w:pPr>
      <w:r w:rsidRPr="005B2495">
        <w:t>–</w:t>
      </w:r>
      <w:r w:rsidRPr="005B2495">
        <w:tab/>
        <w:t xml:space="preserve">wara li kkunsidra </w:t>
      </w:r>
      <w:r w:rsidRPr="00314AD3">
        <w:t xml:space="preserve">l-ftehim proviżorju approvat mill-kumitat responsabbli fis-sens tal-Artikolu 75(4) tar-Regoli ta' Proċedura tiegħu u l-impenn meħud mir-rappreżentant tal-Kunsill, permezz tal-ittra </w:t>
      </w:r>
      <w:r>
        <w:t>tas-27</w:t>
      </w:r>
      <w:r w:rsidRPr="00314AD3">
        <w:t xml:space="preserve"> ta</w:t>
      </w:r>
      <w:r w:rsidR="00823895">
        <w:t>’</w:t>
      </w:r>
      <w:r w:rsidRPr="00314AD3">
        <w:t xml:space="preserve"> </w:t>
      </w:r>
      <w:r>
        <w:t>Ġunju</w:t>
      </w:r>
      <w:r w:rsidRPr="00314AD3">
        <w:t xml:space="preserve"> </w:t>
      </w:r>
      <w:r>
        <w:t>2025</w:t>
      </w:r>
      <w:r w:rsidRPr="00314AD3">
        <w:t>, li japprova l-pożizzjoni tal-Parlament</w:t>
      </w:r>
      <w:r w:rsidR="00E830A8">
        <w:t xml:space="preserve"> Ewropew</w:t>
      </w:r>
      <w:r w:rsidRPr="00314AD3">
        <w:t>, skont l-Artikolu 294(4) tat-Trattat dwar il-Funzjonament tal-Unjoni Ewropea,</w:t>
      </w:r>
    </w:p>
    <w:p w14:paraId="7A8B0D1E" w14:textId="0B303216" w:rsidR="00F55ADF" w:rsidRPr="005B2495" w:rsidRDefault="00F55ADF" w:rsidP="00F55ADF">
      <w:pPr>
        <w:pStyle w:val="NormalHanging12a"/>
      </w:pPr>
      <w:r w:rsidRPr="005B2495">
        <w:lastRenderedPageBreak/>
        <w:t>–</w:t>
      </w:r>
      <w:r w:rsidRPr="005B2495">
        <w:tab/>
        <w:t xml:space="preserve">wara li kkunsidra l-Artikolu </w:t>
      </w:r>
      <w:r w:rsidR="00314AD3">
        <w:t>60</w:t>
      </w:r>
      <w:r w:rsidRPr="005B2495">
        <w:t xml:space="preserve"> tar-Regoli ta’ Proċedura tiegħu,</w:t>
      </w:r>
    </w:p>
    <w:p w14:paraId="438326DE" w14:textId="77777777" w:rsidR="00F55ADF" w:rsidRPr="005B2495" w:rsidRDefault="00F55ADF" w:rsidP="00F55ADF">
      <w:pPr>
        <w:pStyle w:val="NormalHanging12a"/>
      </w:pPr>
      <w:r w:rsidRPr="005B2495">
        <w:t>–</w:t>
      </w:r>
      <w:r w:rsidRPr="005B2495">
        <w:tab/>
        <w:t>wara li kkunsidra l-opinjoni tal-Kumitat għall-Affarijiet Legali,</w:t>
      </w:r>
    </w:p>
    <w:p w14:paraId="1976ECF1" w14:textId="77777777" w:rsidR="00F55ADF" w:rsidRPr="005B2495" w:rsidRDefault="00F55ADF" w:rsidP="00F55ADF">
      <w:pPr>
        <w:pStyle w:val="NormalHanging12a"/>
      </w:pPr>
      <w:r w:rsidRPr="005B2495">
        <w:t>–</w:t>
      </w:r>
      <w:r w:rsidRPr="005B2495">
        <w:tab/>
        <w:t>wara li kkunsidra r-rapport tal-Kumitat għal-Libertajiet Ċivili, il-Ġustizzja u l-Intern (A9-0045/2024),</w:t>
      </w:r>
    </w:p>
    <w:p w14:paraId="026C884F" w14:textId="5D12C93C" w:rsidR="00F55ADF" w:rsidRPr="005B2495" w:rsidRDefault="00F55ADF" w:rsidP="00F55ADF">
      <w:pPr>
        <w:pStyle w:val="NormalHanging12a"/>
      </w:pPr>
      <w:r w:rsidRPr="005B2495">
        <w:t>1.</w:t>
      </w:r>
      <w:r w:rsidRPr="005B2495">
        <w:tab/>
        <w:t>Jadotta l-pożizzjoni fl-ewwel qari li tidher hawn taħt</w:t>
      </w:r>
      <w:r w:rsidR="00823895">
        <w:rPr>
          <w:rStyle w:val="FootnoteReference"/>
        </w:rPr>
        <w:footnoteReference w:id="2"/>
      </w:r>
      <w:r w:rsidRPr="005B2495">
        <w:t>;</w:t>
      </w:r>
    </w:p>
    <w:p w14:paraId="18B5FF5D" w14:textId="77777777" w:rsidR="00F55ADF" w:rsidRPr="005B2495" w:rsidRDefault="00F55ADF" w:rsidP="00F55ADF">
      <w:pPr>
        <w:pStyle w:val="NormalHanging12a"/>
      </w:pPr>
      <w:r w:rsidRPr="005B2495">
        <w:t>2.</w:t>
      </w:r>
      <w:r w:rsidRPr="005B2495">
        <w:tab/>
        <w:t xml:space="preserve">Jitlob lill-Kummissjoni </w:t>
      </w:r>
      <w:proofErr w:type="spellStart"/>
      <w:r w:rsidRPr="005B2495">
        <w:t>terġa</w:t>
      </w:r>
      <w:proofErr w:type="spellEnd"/>
      <w:r w:rsidRPr="005B2495">
        <w:t xml:space="preserve">’ tirreferi l-kwistjoni lill-Parlament jekk tibdel il-proposta tagħha, </w:t>
      </w:r>
      <w:proofErr w:type="spellStart"/>
      <w:r w:rsidRPr="005B2495">
        <w:t>temendaha</w:t>
      </w:r>
      <w:proofErr w:type="spellEnd"/>
      <w:r w:rsidRPr="005B2495">
        <w:t xml:space="preserve"> b’mod sustanzjali jew ikollha l-ħsieb li </w:t>
      </w:r>
      <w:proofErr w:type="spellStart"/>
      <w:r w:rsidRPr="005B2495">
        <w:t>temendaha</w:t>
      </w:r>
      <w:proofErr w:type="spellEnd"/>
      <w:r w:rsidRPr="005B2495">
        <w:t xml:space="preserve"> b’mod sustanzjali;</w:t>
      </w:r>
    </w:p>
    <w:p w14:paraId="19126343" w14:textId="77777777" w:rsidR="00F55ADF" w:rsidRPr="005B2495" w:rsidRDefault="00F55ADF" w:rsidP="00F55ADF">
      <w:pPr>
        <w:pStyle w:val="NormalHanging12a"/>
      </w:pPr>
      <w:r w:rsidRPr="005B2495">
        <w:t>3.</w:t>
      </w:r>
      <w:r w:rsidRPr="005B2495">
        <w:tab/>
        <w:t>Jagħti istruzzjonijiet lill-President tiegħu biex tgħaddi l-pożizzjoni tal-Parlament lill-Kunsill u lill-Kummissjoni kif ukoll lill-parlamenti nazzjonali.</w:t>
      </w:r>
    </w:p>
    <w:p w14:paraId="442DD425" w14:textId="77777777" w:rsidR="00314AD3" w:rsidRDefault="00314AD3" w:rsidP="00F55ADF">
      <w:pPr>
        <w:sectPr w:rsidR="00314AD3" w:rsidSect="005B249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978B565" w14:textId="77777777" w:rsidR="00314AD3" w:rsidRPr="002C5CE5" w:rsidRDefault="00314AD3" w:rsidP="00314AD3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314AD3">
        <w:rPr>
          <w:b/>
          <w:bCs/>
          <w:color w:val="000000"/>
        </w:rPr>
        <w:lastRenderedPageBreak/>
        <w:t>P10_</w:t>
      </w:r>
      <w:r w:rsidRPr="002C5CE5">
        <w:rPr>
          <w:b/>
          <w:bCs/>
          <w:color w:val="000000"/>
        </w:rPr>
        <w:t>TC1-COD(2023)0</w:t>
      </w:r>
      <w:r>
        <w:rPr>
          <w:b/>
          <w:bCs/>
          <w:color w:val="000000"/>
        </w:rPr>
        <w:t>202</w:t>
      </w:r>
    </w:p>
    <w:p w14:paraId="725E952B" w14:textId="55E863FF" w:rsidR="00C007B8" w:rsidRDefault="00B2484F" w:rsidP="00F915DA">
      <w:pPr>
        <w:rPr>
          <w:rFonts w:eastAsia="Calibri"/>
          <w:b/>
          <w:color w:val="000000"/>
          <w:szCs w:val="22"/>
          <w:lang w:eastAsia="en-US"/>
        </w:rPr>
      </w:pPr>
      <w:r w:rsidRPr="00CE3598">
        <w:rPr>
          <w:rFonts w:eastAsia="Calibri"/>
          <w:b/>
          <w:bCs/>
        </w:rPr>
        <w:t xml:space="preserve">Pożizzjoni tal-Parlament Ewropew adottata fl-ewwel </w:t>
      </w:r>
      <w:r w:rsidRPr="00F915DA">
        <w:rPr>
          <w:rFonts w:eastAsia="Calibri"/>
          <w:b/>
          <w:bCs/>
        </w:rPr>
        <w:t>qari tal-</w:t>
      </w:r>
      <w:r w:rsidR="00F915DA" w:rsidRPr="00F915DA">
        <w:rPr>
          <w:rFonts w:eastAsia="Calibri"/>
          <w:b/>
          <w:bCs/>
        </w:rPr>
        <w:t>2</w:t>
      </w:r>
      <w:r w:rsidRPr="00F915DA">
        <w:rPr>
          <w:rFonts w:eastAsia="Calibri"/>
          <w:b/>
          <w:bCs/>
        </w:rPr>
        <w:t>1</w:t>
      </w:r>
      <w:r w:rsidRPr="00F915DA">
        <w:rPr>
          <w:b/>
        </w:rPr>
        <w:t xml:space="preserve"> </w:t>
      </w:r>
      <w:r w:rsidRPr="00F915DA">
        <w:rPr>
          <w:rFonts w:eastAsia="Calibri"/>
          <w:b/>
          <w:bCs/>
        </w:rPr>
        <w:t xml:space="preserve">ta' </w:t>
      </w:r>
      <w:r w:rsidR="00F915DA" w:rsidRPr="00F915DA">
        <w:rPr>
          <w:rFonts w:eastAsia="Calibri"/>
          <w:b/>
          <w:bCs/>
        </w:rPr>
        <w:t>Ottubru</w:t>
      </w:r>
      <w:r w:rsidR="000F2227">
        <w:rPr>
          <w:rFonts w:eastAsia="Calibri"/>
          <w:b/>
          <w:bCs/>
        </w:rPr>
        <w:t xml:space="preserve"> </w:t>
      </w:r>
      <w:r w:rsidRPr="00F915DA">
        <w:rPr>
          <w:rFonts w:eastAsia="Calibri"/>
          <w:b/>
          <w:bCs/>
        </w:rPr>
        <w:t>2025</w:t>
      </w:r>
      <w:r w:rsidRPr="00CE3598">
        <w:rPr>
          <w:rFonts w:eastAsia="Calibri"/>
          <w:b/>
          <w:bCs/>
        </w:rPr>
        <w:t xml:space="preserve"> bil-ħsieb tal-</w:t>
      </w:r>
      <w:r w:rsidRPr="00F915DA">
        <w:rPr>
          <w:rFonts w:eastAsia="Calibri"/>
          <w:b/>
          <w:bCs/>
        </w:rPr>
        <w:t xml:space="preserve">adozzjoni tar-Regolament (UE) 2025/... </w:t>
      </w:r>
      <w:r w:rsidRPr="00F915DA">
        <w:rPr>
          <w:b/>
          <w:color w:val="000000"/>
          <w:szCs w:val="22"/>
        </w:rPr>
        <w:t>tal</w:t>
      </w:r>
      <w:r w:rsidRPr="00CE3598">
        <w:rPr>
          <w:b/>
          <w:color w:val="000000"/>
          <w:szCs w:val="22"/>
        </w:rPr>
        <w:t>-Parlament Ewropew u tal-Kunsill</w:t>
      </w:r>
      <w:r w:rsidRPr="00CE3598">
        <w:rPr>
          <w:rFonts w:eastAsia="Calibri"/>
          <w:b/>
          <w:szCs w:val="22"/>
        </w:rPr>
        <w:t xml:space="preserve"> </w:t>
      </w:r>
      <w:r w:rsidR="0078506D" w:rsidRPr="0078506D">
        <w:rPr>
          <w:rFonts w:eastAsia="Calibri"/>
          <w:b/>
          <w:color w:val="000000"/>
          <w:szCs w:val="22"/>
          <w:lang w:eastAsia="en-US"/>
        </w:rPr>
        <w:t>li jistabbilixxi regoli proċedurali addizzjonali dwar l-infurzar tar-Regolament (UE) 2016/679</w:t>
      </w:r>
    </w:p>
    <w:p w14:paraId="1B5B479D" w14:textId="29410635" w:rsidR="00C007B8" w:rsidRPr="00F915DA" w:rsidRDefault="00C007B8" w:rsidP="00C007B8">
      <w:pPr>
        <w:pStyle w:val="Institutionquiagit"/>
        <w:spacing w:before="240" w:after="0" w:line="240" w:lineRule="auto"/>
        <w:rPr>
          <w:b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C007B8">
        <w:rPr>
          <w:i/>
        </w:rPr>
        <w:t>t</w:t>
      </w:r>
      <w:r w:rsidRPr="0050178C">
        <w:rPr>
          <w:i/>
        </w:rPr>
        <w:t>aqbel mal-att leġislattiv finali,</w:t>
      </w:r>
      <w:r>
        <w:rPr>
          <w:i/>
        </w:rPr>
        <w:t xml:space="preserve"> r-Regolament (UE) </w:t>
      </w:r>
      <w:r w:rsidRPr="002800C0">
        <w:rPr>
          <w:i/>
        </w:rPr>
        <w:t>20</w:t>
      </w:r>
      <w:r>
        <w:rPr>
          <w:i/>
        </w:rPr>
        <w:t>2</w:t>
      </w:r>
      <w:r w:rsidRPr="002800C0">
        <w:rPr>
          <w:i/>
        </w:rPr>
        <w:t>5</w:t>
      </w:r>
      <w:r>
        <w:rPr>
          <w:i/>
        </w:rPr>
        <w:t>/</w:t>
      </w:r>
      <w:r>
        <w:rPr>
          <w:i/>
        </w:rPr>
        <w:t>2518</w:t>
      </w:r>
      <w:r w:rsidRPr="0050178C">
        <w:rPr>
          <w:i/>
        </w:rPr>
        <w:t>.)</w:t>
      </w:r>
    </w:p>
    <w:sectPr w:rsidR="00C007B8" w:rsidRPr="00F915DA" w:rsidSect="005B249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9289B" w14:textId="77777777" w:rsidR="00117BAF" w:rsidRPr="005B2495" w:rsidRDefault="00117BAF">
      <w:r w:rsidRPr="005B2495">
        <w:separator/>
      </w:r>
    </w:p>
  </w:endnote>
  <w:endnote w:type="continuationSeparator" w:id="0">
    <w:p w14:paraId="2FA239C4" w14:textId="77777777" w:rsidR="00117BAF" w:rsidRPr="005B2495" w:rsidRDefault="00117BAF">
      <w:r w:rsidRPr="005B249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C8EC3" w14:textId="77777777" w:rsidR="00064002" w:rsidRPr="005B249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30E0C" w14:textId="77777777" w:rsidR="00064002" w:rsidRPr="005B249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F6BCD" w14:textId="77777777" w:rsidR="00064002" w:rsidRPr="005B249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C5005" w14:textId="77777777" w:rsidR="00117BAF" w:rsidRPr="005B2495" w:rsidRDefault="00117BAF">
      <w:r w:rsidRPr="005B2495">
        <w:separator/>
      </w:r>
    </w:p>
  </w:footnote>
  <w:footnote w:type="continuationSeparator" w:id="0">
    <w:p w14:paraId="51F8F3F2" w14:textId="77777777" w:rsidR="00117BAF" w:rsidRPr="005B2495" w:rsidRDefault="00117BAF">
      <w:r w:rsidRPr="005B2495">
        <w:continuationSeparator/>
      </w:r>
    </w:p>
  </w:footnote>
  <w:footnote w:id="1">
    <w:p w14:paraId="1413D324" w14:textId="08430290" w:rsidR="00F55ADF" w:rsidRPr="00823895" w:rsidRDefault="00F55ADF" w:rsidP="00605DBC">
      <w:pPr>
        <w:ind w:left="567" w:hanging="567"/>
        <w:rPr>
          <w:color w:val="000000"/>
          <w:szCs w:val="24"/>
        </w:rPr>
      </w:pPr>
      <w:r w:rsidRPr="00823895">
        <w:rPr>
          <w:rStyle w:val="FootnoteReference"/>
          <w:szCs w:val="24"/>
        </w:rPr>
        <w:footnoteRef/>
      </w:r>
      <w:r w:rsidR="005B2495" w:rsidRPr="00823895">
        <w:rPr>
          <w:szCs w:val="24"/>
        </w:rPr>
        <w:t xml:space="preserve"> </w:t>
      </w:r>
      <w:r w:rsidR="005B2495" w:rsidRPr="00823895">
        <w:rPr>
          <w:szCs w:val="24"/>
        </w:rPr>
        <w:tab/>
      </w:r>
      <w:r w:rsidRPr="00823895">
        <w:rPr>
          <w:szCs w:val="24"/>
        </w:rPr>
        <w:t xml:space="preserve">ĠU C, </w:t>
      </w:r>
      <w:r w:rsidR="00314AD3" w:rsidRPr="00823895">
        <w:rPr>
          <w:szCs w:val="24"/>
        </w:rPr>
        <w:t xml:space="preserve">C/2024/1578, 5.3.2024, ELI: </w:t>
      </w:r>
      <w:hyperlink r:id="rId1" w:history="1">
        <w:r w:rsidR="00314AD3" w:rsidRPr="00605DBC">
          <w:rPr>
            <w:rStyle w:val="Hyperlink"/>
            <w:szCs w:val="24"/>
          </w:rPr>
          <w:t>http://data.europa.eu/eli/C/2024/1578/oj</w:t>
        </w:r>
      </w:hyperlink>
      <w:r w:rsidRPr="00823895">
        <w:rPr>
          <w:szCs w:val="24"/>
        </w:rPr>
        <w:t>.</w:t>
      </w:r>
    </w:p>
  </w:footnote>
  <w:footnote w:id="2">
    <w:p w14:paraId="34BEFB35" w14:textId="04B48045" w:rsidR="00823895" w:rsidRPr="007612FB" w:rsidRDefault="00823895" w:rsidP="00605DBC">
      <w:pPr>
        <w:pStyle w:val="FootnoteText"/>
        <w:ind w:left="567" w:hanging="567"/>
        <w:rPr>
          <w:sz w:val="24"/>
          <w:szCs w:val="24"/>
          <w:lang w:val="mt-MT"/>
        </w:rPr>
      </w:pPr>
      <w:r w:rsidRPr="007612FB">
        <w:rPr>
          <w:rStyle w:val="FootnoteReference"/>
          <w:sz w:val="24"/>
          <w:szCs w:val="24"/>
        </w:rPr>
        <w:footnoteRef/>
      </w:r>
      <w:r w:rsidRPr="007612FB">
        <w:rPr>
          <w:sz w:val="24"/>
          <w:szCs w:val="24"/>
          <w:lang w:val="it-IT"/>
        </w:rPr>
        <w:t xml:space="preserve"> </w:t>
      </w:r>
      <w:r w:rsidRPr="007612FB">
        <w:rPr>
          <w:sz w:val="24"/>
          <w:szCs w:val="24"/>
          <w:lang w:val="mt-MT"/>
        </w:rPr>
        <w:tab/>
      </w:r>
      <w:r>
        <w:rPr>
          <w:sz w:val="24"/>
          <w:szCs w:val="24"/>
          <w:lang w:val="mt-MT"/>
        </w:rPr>
        <w:t>Din il-pożizzjoni tissostitwixxi l-emendi adottati fl-10 ta’ April 2024 (Testi adottati P9_TA(2024)0187).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88609" w14:textId="77777777" w:rsidR="00064002" w:rsidRPr="005B249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AD5B9" w14:textId="77777777" w:rsidR="00064002" w:rsidRPr="005B249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4A52D" w14:textId="77777777" w:rsidR="00064002" w:rsidRPr="005B249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673945287">
    <w:abstractNumId w:val="0"/>
  </w:num>
  <w:num w:numId="2" w16cid:durableId="1426458931">
    <w:abstractNumId w:val="7"/>
  </w:num>
  <w:num w:numId="3" w16cid:durableId="226957406">
    <w:abstractNumId w:val="4"/>
  </w:num>
  <w:num w:numId="4" w16cid:durableId="1440644609">
    <w:abstractNumId w:val="11"/>
  </w:num>
  <w:num w:numId="5" w16cid:durableId="1063597301">
    <w:abstractNumId w:val="14"/>
  </w:num>
  <w:num w:numId="6" w16cid:durableId="1287661494">
    <w:abstractNumId w:val="13"/>
  </w:num>
  <w:num w:numId="7" w16cid:durableId="574781517">
    <w:abstractNumId w:val="21"/>
  </w:num>
  <w:num w:numId="8" w16cid:durableId="1597976485">
    <w:abstractNumId w:val="8"/>
  </w:num>
  <w:num w:numId="9" w16cid:durableId="546726067">
    <w:abstractNumId w:val="9"/>
  </w:num>
  <w:num w:numId="10" w16cid:durableId="351299664">
    <w:abstractNumId w:val="10"/>
  </w:num>
  <w:num w:numId="11" w16cid:durableId="1943298967">
    <w:abstractNumId w:val="12"/>
  </w:num>
  <w:num w:numId="12" w16cid:durableId="2079404079">
    <w:abstractNumId w:val="5"/>
  </w:num>
  <w:num w:numId="13" w16cid:durableId="1867133626">
    <w:abstractNumId w:val="22"/>
  </w:num>
  <w:num w:numId="14" w16cid:durableId="487289792">
    <w:abstractNumId w:val="6"/>
  </w:num>
  <w:num w:numId="15" w16cid:durableId="102120299">
    <w:abstractNumId w:val="2"/>
  </w:num>
  <w:num w:numId="16" w16cid:durableId="1408728384">
    <w:abstractNumId w:val="1"/>
  </w:num>
  <w:num w:numId="17" w16cid:durableId="1638102316">
    <w:abstractNumId w:val="17"/>
  </w:num>
  <w:num w:numId="18" w16cid:durableId="343895831">
    <w:abstractNumId w:val="16"/>
  </w:num>
  <w:num w:numId="19" w16cid:durableId="496967308">
    <w:abstractNumId w:val="15"/>
  </w:num>
  <w:num w:numId="20" w16cid:durableId="687292453">
    <w:abstractNumId w:val="19"/>
  </w:num>
  <w:num w:numId="21" w16cid:durableId="1079058070">
    <w:abstractNumId w:val="18"/>
  </w:num>
  <w:num w:numId="22" w16cid:durableId="1098332911">
    <w:abstractNumId w:val="20"/>
  </w:num>
  <w:num w:numId="23" w16cid:durableId="12464476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045/2024"/>
    <w:docVar w:name="dvlangue" w:val="MT"/>
    <w:docVar w:name="dvnumam" w:val="336"/>
    <w:docVar w:name="dvpe" w:val="755.005"/>
    <w:docVar w:name="dvrapporteur" w:val="Rapporteur: "/>
    <w:docVar w:name="dvstar" w:val="***I"/>
    <w:docVar w:name="dvtitre" w:val="Riżoluzzjoni leġiżlattiva tal-Parlament Ewropew tal-21 ta' Ottubru 2025 dwar il-proposta għal regolament tal-Parlament Ewropew u tal-Kunsill li jistabbilixxi regoli proċedurali addizzjonali relatati mal-infurzar tar-Regolament (UE) 2016/679(COM(2023)0348 – C9-0231/2023 – 2023/0202(COD))"/>
  </w:docVars>
  <w:rsids>
    <w:rsidRoot w:val="00117BAF"/>
    <w:rsid w:val="00002272"/>
    <w:rsid w:val="00064002"/>
    <w:rsid w:val="000677B9"/>
    <w:rsid w:val="000831BA"/>
    <w:rsid w:val="000A42CC"/>
    <w:rsid w:val="000E7DD9"/>
    <w:rsid w:val="000F2227"/>
    <w:rsid w:val="0010095E"/>
    <w:rsid w:val="00117BAF"/>
    <w:rsid w:val="00125B37"/>
    <w:rsid w:val="00187494"/>
    <w:rsid w:val="001C791F"/>
    <w:rsid w:val="001F32AE"/>
    <w:rsid w:val="002767FF"/>
    <w:rsid w:val="002B18FE"/>
    <w:rsid w:val="002B5493"/>
    <w:rsid w:val="002B6F8D"/>
    <w:rsid w:val="00314AD3"/>
    <w:rsid w:val="00343214"/>
    <w:rsid w:val="00361C00"/>
    <w:rsid w:val="00395FA1"/>
    <w:rsid w:val="003E15D4"/>
    <w:rsid w:val="004028B9"/>
    <w:rsid w:val="00411CCE"/>
    <w:rsid w:val="0041666E"/>
    <w:rsid w:val="00421060"/>
    <w:rsid w:val="00471C19"/>
    <w:rsid w:val="00471C2D"/>
    <w:rsid w:val="004867E3"/>
    <w:rsid w:val="00494A28"/>
    <w:rsid w:val="004C0004"/>
    <w:rsid w:val="004C5D52"/>
    <w:rsid w:val="0050519A"/>
    <w:rsid w:val="005072A1"/>
    <w:rsid w:val="0051135D"/>
    <w:rsid w:val="00514517"/>
    <w:rsid w:val="00545827"/>
    <w:rsid w:val="00560270"/>
    <w:rsid w:val="005B2495"/>
    <w:rsid w:val="005C2568"/>
    <w:rsid w:val="005F1B17"/>
    <w:rsid w:val="006037C0"/>
    <w:rsid w:val="00605DBC"/>
    <w:rsid w:val="006631B6"/>
    <w:rsid w:val="00680577"/>
    <w:rsid w:val="006F74FA"/>
    <w:rsid w:val="00731ADD"/>
    <w:rsid w:val="00734777"/>
    <w:rsid w:val="00747932"/>
    <w:rsid w:val="00751A4A"/>
    <w:rsid w:val="00756632"/>
    <w:rsid w:val="007612FB"/>
    <w:rsid w:val="00762C74"/>
    <w:rsid w:val="0078506D"/>
    <w:rsid w:val="00786EC0"/>
    <w:rsid w:val="007D1690"/>
    <w:rsid w:val="007E22AD"/>
    <w:rsid w:val="00817416"/>
    <w:rsid w:val="00823895"/>
    <w:rsid w:val="00842779"/>
    <w:rsid w:val="00865F67"/>
    <w:rsid w:val="00873B3E"/>
    <w:rsid w:val="00881A7B"/>
    <w:rsid w:val="008840E5"/>
    <w:rsid w:val="00887B3E"/>
    <w:rsid w:val="008C2AC6"/>
    <w:rsid w:val="008E050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484F"/>
    <w:rsid w:val="00B558F0"/>
    <w:rsid w:val="00B77599"/>
    <w:rsid w:val="00BD48FE"/>
    <w:rsid w:val="00BD7BD8"/>
    <w:rsid w:val="00BE6ADC"/>
    <w:rsid w:val="00C007B8"/>
    <w:rsid w:val="00C05BFE"/>
    <w:rsid w:val="00C23CD4"/>
    <w:rsid w:val="00C60216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30A8"/>
    <w:rsid w:val="00EB006A"/>
    <w:rsid w:val="00EB4772"/>
    <w:rsid w:val="00ED169E"/>
    <w:rsid w:val="00ED4235"/>
    <w:rsid w:val="00F04346"/>
    <w:rsid w:val="00F075DC"/>
    <w:rsid w:val="00F149E9"/>
    <w:rsid w:val="00F4485C"/>
    <w:rsid w:val="00F5134D"/>
    <w:rsid w:val="00F55ADF"/>
    <w:rsid w:val="00F74202"/>
    <w:rsid w:val="00F87713"/>
    <w:rsid w:val="00F915D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01434E"/>
  <w15:chartTrackingRefBased/>
  <w15:docId w15:val="{16629B26-602B-45D3-8876-B87A50004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55AD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5AD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5AD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5AD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5AD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5ADF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5ADF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F55ADF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F55ADF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F55AD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55AD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55AD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55ADF"/>
    <w:pPr>
      <w:spacing w:after="120"/>
    </w:pPr>
  </w:style>
  <w:style w:type="paragraph" w:customStyle="1" w:styleId="PageHeading">
    <w:name w:val="PageHeading"/>
    <w:basedOn w:val="Normal"/>
    <w:rsid w:val="00F55AD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55ADF"/>
    <w:rPr>
      <w:b/>
    </w:rPr>
  </w:style>
  <w:style w:type="character" w:customStyle="1" w:styleId="NormalBoldChar">
    <w:name w:val="NormalBold Char"/>
    <w:basedOn w:val="DefaultParagraphFont"/>
    <w:link w:val="NormalBold"/>
    <w:rsid w:val="00F55ADF"/>
    <w:rPr>
      <w:b/>
      <w:sz w:val="24"/>
      <w:lang w:val="mt-MT"/>
    </w:rPr>
  </w:style>
  <w:style w:type="paragraph" w:customStyle="1" w:styleId="NormalBold12a">
    <w:name w:val="NormalBold12a"/>
    <w:basedOn w:val="Normal"/>
    <w:rsid w:val="00F55ADF"/>
    <w:pPr>
      <w:spacing w:after="240"/>
    </w:pPr>
    <w:rPr>
      <w:b/>
    </w:rPr>
  </w:style>
  <w:style w:type="paragraph" w:customStyle="1" w:styleId="AmJustText">
    <w:name w:val="AmJustText"/>
    <w:basedOn w:val="Normal"/>
    <w:rsid w:val="00F55AD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55AD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55ADF"/>
    <w:pPr>
      <w:spacing w:after="480"/>
      <w:ind w:left="1417"/>
    </w:pPr>
  </w:style>
  <w:style w:type="paragraph" w:customStyle="1" w:styleId="CoverNormal">
    <w:name w:val="CoverNormal"/>
    <w:basedOn w:val="Normal"/>
    <w:rsid w:val="00F55ADF"/>
    <w:pPr>
      <w:ind w:left="1418"/>
    </w:pPr>
  </w:style>
  <w:style w:type="paragraph" w:customStyle="1" w:styleId="AmCrossRef">
    <w:name w:val="AmCrossRef"/>
    <w:basedOn w:val="Normal"/>
    <w:rsid w:val="00F55AD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55AD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55AD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55AD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55AD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55AD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55A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5ADF"/>
    <w:rPr>
      <w:sz w:val="24"/>
      <w:lang w:val="mt-MT"/>
    </w:rPr>
  </w:style>
  <w:style w:type="paragraph" w:customStyle="1" w:styleId="AmOrLang">
    <w:name w:val="AmOrLang"/>
    <w:basedOn w:val="Normal"/>
    <w:rsid w:val="00F55AD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55AD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F55AD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F55ADF"/>
    <w:rPr>
      <w:b/>
      <w:sz w:val="24"/>
      <w:lang w:val="mt-MT"/>
    </w:rPr>
  </w:style>
  <w:style w:type="paragraph" w:customStyle="1" w:styleId="NormalBold12b">
    <w:name w:val="NormalBold12b"/>
    <w:basedOn w:val="Normal"/>
    <w:link w:val="NormalBold12bChar"/>
    <w:rsid w:val="00F55ADF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F55ADF"/>
    <w:rPr>
      <w:b/>
      <w:sz w:val="24"/>
      <w:lang w:val="mt-MT"/>
    </w:rPr>
  </w:style>
  <w:style w:type="paragraph" w:customStyle="1" w:styleId="EPBody">
    <w:name w:val="EPBody"/>
    <w:basedOn w:val="Normal"/>
    <w:rsid w:val="00F55AD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55AD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55ADF"/>
    <w:pPr>
      <w:spacing w:before="480" w:after="240"/>
    </w:pPr>
  </w:style>
  <w:style w:type="paragraph" w:customStyle="1" w:styleId="Lgendesigne">
    <w:name w:val="Légende signe"/>
    <w:basedOn w:val="Normal"/>
    <w:rsid w:val="00F55AD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55AD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55ADF"/>
    <w:rPr>
      <w:sz w:val="18"/>
    </w:rPr>
  </w:style>
  <w:style w:type="paragraph" w:customStyle="1" w:styleId="EntPE">
    <w:name w:val="EntPE"/>
    <w:basedOn w:val="Normal12"/>
    <w:rsid w:val="00F55ADF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F55ADF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F55ADF"/>
    <w:rPr>
      <w:noProof/>
      <w:sz w:val="24"/>
      <w:lang w:val="mt-MT"/>
    </w:rPr>
  </w:style>
  <w:style w:type="paragraph" w:customStyle="1" w:styleId="Normal6">
    <w:name w:val="Normal6"/>
    <w:basedOn w:val="Normal"/>
    <w:link w:val="Normal6Char"/>
    <w:rsid w:val="00F55ADF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F55ADF"/>
    <w:rPr>
      <w:sz w:val="24"/>
      <w:lang w:val="mt-MT"/>
    </w:rPr>
  </w:style>
  <w:style w:type="paragraph" w:customStyle="1" w:styleId="Normal12Italic">
    <w:name w:val="Normal12Italic"/>
    <w:basedOn w:val="Normal12"/>
    <w:rsid w:val="00F55ADF"/>
    <w:rPr>
      <w:i/>
    </w:rPr>
  </w:style>
  <w:style w:type="paragraph" w:customStyle="1" w:styleId="AMNumberTabs0">
    <w:name w:val="AMNumberTabs"/>
    <w:basedOn w:val="Normal"/>
    <w:rsid w:val="00F55AD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F55ADF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F55ADF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F55ADF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iPriority w:val="99"/>
    <w:unhideWhenUsed/>
    <w:rsid w:val="00F55A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55ADF"/>
    <w:rPr>
      <w:rFonts w:ascii="Segoe UI" w:hAnsi="Segoe UI" w:cs="Segoe UI"/>
      <w:sz w:val="18"/>
      <w:szCs w:val="18"/>
      <w:lang w:val="mt-MT"/>
    </w:rPr>
  </w:style>
  <w:style w:type="character" w:styleId="Hyperlink">
    <w:name w:val="Hyperlink"/>
    <w:basedOn w:val="DefaultParagraphFont"/>
    <w:uiPriority w:val="99"/>
    <w:unhideWhenUsed/>
    <w:rsid w:val="00F55AD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55ADF"/>
    <w:pPr>
      <w:widowControl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F55ADF"/>
    <w:pPr>
      <w:widowControl/>
      <w:spacing w:before="100" w:beforeAutospacing="1" w:after="100" w:afterAutospacing="1"/>
    </w:pPr>
    <w:rPr>
      <w:szCs w:val="24"/>
    </w:rPr>
  </w:style>
  <w:style w:type="character" w:styleId="CommentReference">
    <w:name w:val="annotation reference"/>
    <w:basedOn w:val="DefaultParagraphFont"/>
    <w:uiPriority w:val="99"/>
    <w:rsid w:val="00F55A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F55AD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F55ADF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55A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55ADF"/>
    <w:rPr>
      <w:b/>
      <w:bCs/>
      <w:lang w:val="mt-MT"/>
    </w:rPr>
  </w:style>
  <w:style w:type="paragraph" w:customStyle="1" w:styleId="Normal12a">
    <w:name w:val="Normal12a"/>
    <w:basedOn w:val="Normal"/>
    <w:rsid w:val="00F55ADF"/>
    <w:pPr>
      <w:spacing w:after="240"/>
    </w:pPr>
  </w:style>
  <w:style w:type="paragraph" w:customStyle="1" w:styleId="PageHeadingNotTOC">
    <w:name w:val="PageHeadingNotTOC"/>
    <w:basedOn w:val="Normal"/>
    <w:rsid w:val="00F55AD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F55ADF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msonormal0">
    <w:name w:val="msonormal"/>
    <w:basedOn w:val="Normal"/>
    <w:rsid w:val="00F55ADF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F55ADF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55ADF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55ADF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F55ADF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F55ADF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F55ADF"/>
    <w:pPr>
      <w:spacing w:before="240"/>
      <w:jc w:val="center"/>
    </w:pPr>
    <w:rPr>
      <w:i/>
    </w:rPr>
  </w:style>
  <w:style w:type="character" w:customStyle="1" w:styleId="Footer2Middle">
    <w:name w:val="Footer2Middle"/>
    <w:rsid w:val="00F55ADF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RollCallSymbols14pt">
    <w:name w:val="RollCallSymbols14pt"/>
    <w:basedOn w:val="Normal"/>
    <w:rsid w:val="00F55AD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F55AD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F55AD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F55ADF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F55ADF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F55ADF"/>
    <w:rPr>
      <w:sz w:val="24"/>
      <w:lang w:val="mt-MT"/>
    </w:rPr>
  </w:style>
  <w:style w:type="paragraph" w:styleId="Revision">
    <w:name w:val="Revision"/>
    <w:uiPriority w:val="99"/>
    <w:semiHidden/>
    <w:rsid w:val="00F55ADF"/>
    <w:rPr>
      <w:sz w:val="24"/>
      <w:lang w:val="mt-MT"/>
    </w:rPr>
  </w:style>
  <w:style w:type="paragraph" w:customStyle="1" w:styleId="CoverBold">
    <w:name w:val="CoverBold"/>
    <w:basedOn w:val="Normal"/>
    <w:rsid w:val="00F55ADF"/>
    <w:pPr>
      <w:ind w:left="1417"/>
    </w:pPr>
    <w:rPr>
      <w:b/>
    </w:rPr>
  </w:style>
  <w:style w:type="paragraph" w:customStyle="1" w:styleId="Default">
    <w:name w:val="Default"/>
    <w:rsid w:val="00F55ADF"/>
    <w:pPr>
      <w:autoSpaceDE w:val="0"/>
      <w:autoSpaceDN w:val="0"/>
      <w:adjustRightInd w:val="0"/>
    </w:pPr>
    <w:rPr>
      <w:color w:val="000000"/>
      <w:sz w:val="24"/>
      <w:szCs w:val="24"/>
      <w:lang w:val="mt-MT"/>
    </w:rPr>
  </w:style>
  <w:style w:type="paragraph" w:customStyle="1" w:styleId="NormalBoldCenter">
    <w:name w:val="NormalBoldCenter"/>
    <w:basedOn w:val="Normal"/>
    <w:rsid w:val="00F55ADF"/>
    <w:pPr>
      <w:jc w:val="center"/>
    </w:pPr>
    <w:rPr>
      <w:b/>
      <w:lang w:val="en-GB"/>
    </w:rPr>
  </w:style>
  <w:style w:type="paragraph" w:styleId="Footer">
    <w:name w:val="footer"/>
    <w:basedOn w:val="Normal"/>
    <w:link w:val="FooterChar"/>
    <w:uiPriority w:val="99"/>
    <w:rsid w:val="00F55A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5ADF"/>
    <w:rPr>
      <w:sz w:val="24"/>
      <w:lang w:val="mt-MT"/>
    </w:rPr>
  </w:style>
  <w:style w:type="numbering" w:customStyle="1" w:styleId="NoList1">
    <w:name w:val="No List1"/>
    <w:next w:val="NoList"/>
    <w:uiPriority w:val="99"/>
    <w:semiHidden/>
    <w:unhideWhenUsed/>
    <w:rsid w:val="0078506D"/>
  </w:style>
  <w:style w:type="paragraph" w:styleId="TOC4">
    <w:name w:val="toc 4"/>
    <w:basedOn w:val="Normal"/>
    <w:next w:val="Normal"/>
    <w:uiPriority w:val="39"/>
    <w:unhideWhenUsed/>
    <w:rsid w:val="0078506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78506D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78506D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78506D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78506D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78506D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78506D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78506D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78506D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78506D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78506D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78506D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78506D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78506D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78506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78506D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78506D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78506D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78506D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78506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78506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78506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78506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78506D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78506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78506D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78506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78506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78506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78506D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78506D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78506D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78506D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78506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78506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78506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78506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78506D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78506D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78506D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78506D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78506D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78506D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78506D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78506D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78506D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78506D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78506D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78506D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78506D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78506D"/>
    <w:pPr>
      <w:widowControl/>
      <w:numPr>
        <w:numId w:val="4"/>
      </w:numPr>
      <w:tabs>
        <w:tab w:val="clear" w:pos="1417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78506D"/>
    <w:pPr>
      <w:widowControl/>
      <w:numPr>
        <w:numId w:val="5"/>
      </w:numPr>
      <w:tabs>
        <w:tab w:val="clear" w:pos="1984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78506D"/>
    <w:pPr>
      <w:widowControl/>
      <w:numPr>
        <w:numId w:val="6"/>
      </w:numPr>
      <w:tabs>
        <w:tab w:val="clear" w:pos="255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78506D"/>
    <w:pPr>
      <w:widowControl/>
      <w:numPr>
        <w:numId w:val="7"/>
      </w:numPr>
      <w:tabs>
        <w:tab w:val="clear" w:pos="311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78506D"/>
    <w:pPr>
      <w:widowControl/>
      <w:numPr>
        <w:numId w:val="8"/>
      </w:numPr>
      <w:tabs>
        <w:tab w:val="clear" w:pos="368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78506D"/>
    <w:pPr>
      <w:widowControl/>
      <w:numPr>
        <w:numId w:val="9"/>
      </w:numPr>
      <w:tabs>
        <w:tab w:val="clear" w:pos="4252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78506D"/>
    <w:pPr>
      <w:widowControl/>
      <w:numPr>
        <w:numId w:val="10"/>
      </w:numPr>
      <w:tabs>
        <w:tab w:val="clear" w:pos="4819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78506D"/>
    <w:pPr>
      <w:widowControl/>
      <w:numPr>
        <w:numId w:val="11"/>
      </w:numPr>
      <w:tabs>
        <w:tab w:val="clear" w:pos="5386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78506D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78506D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78506D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78506D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78506D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78506D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78506D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78506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78506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78506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78506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78506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78506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78506D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78506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78506D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78506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78506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78506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78506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78506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78506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78506D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78506D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78506D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78506D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78506D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78506D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78506D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78506D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78506D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78506D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78506D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78506D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78506D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78506D"/>
    <w:pPr>
      <w:widowControl/>
      <w:numPr>
        <w:numId w:val="14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78506D"/>
    <w:pPr>
      <w:widowControl/>
      <w:numPr>
        <w:numId w:val="15"/>
      </w:numPr>
      <w:tabs>
        <w:tab w:val="clear" w:pos="1417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78506D"/>
    <w:pPr>
      <w:widowControl/>
      <w:numPr>
        <w:numId w:val="16"/>
      </w:numPr>
      <w:tabs>
        <w:tab w:val="clear" w:pos="198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78506D"/>
    <w:pPr>
      <w:widowControl/>
      <w:numPr>
        <w:numId w:val="17"/>
      </w:numPr>
      <w:tabs>
        <w:tab w:val="clear" w:pos="255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78506D"/>
    <w:pPr>
      <w:widowControl/>
      <w:numPr>
        <w:numId w:val="18"/>
      </w:numPr>
      <w:tabs>
        <w:tab w:val="clear" w:pos="311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78506D"/>
    <w:pPr>
      <w:widowControl/>
      <w:numPr>
        <w:numId w:val="19"/>
      </w:numPr>
      <w:tabs>
        <w:tab w:val="clear" w:pos="368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78506D"/>
    <w:pPr>
      <w:widowControl/>
      <w:numPr>
        <w:numId w:val="20"/>
      </w:numPr>
      <w:tabs>
        <w:tab w:val="clear" w:pos="4252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78506D"/>
    <w:pPr>
      <w:widowControl/>
      <w:numPr>
        <w:numId w:val="21"/>
      </w:numPr>
      <w:tabs>
        <w:tab w:val="clear" w:pos="4819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78506D"/>
    <w:pPr>
      <w:widowControl/>
      <w:numPr>
        <w:numId w:val="22"/>
      </w:numPr>
      <w:tabs>
        <w:tab w:val="clear" w:pos="5386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78506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78506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78506D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78506D"/>
    <w:pPr>
      <w:widowControl/>
      <w:numPr>
        <w:numId w:val="23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78506D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8506D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8506D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8506D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8506D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78506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8506D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78506D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78506D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8506D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78506D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78506D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78506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78506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78506D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78506D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78506D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78506D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78506D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78506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78506D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78506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78506D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78506D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78506D"/>
    <w:pPr>
      <w:spacing w:before="240"/>
    </w:pPr>
  </w:style>
  <w:style w:type="paragraph" w:customStyle="1" w:styleId="Accordtitre">
    <w:name w:val="Accord titre"/>
    <w:basedOn w:val="Normal"/>
    <w:rsid w:val="0078506D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78506D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78506D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78506D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78506D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78506D"/>
    <w:pPr>
      <w:spacing w:after="240"/>
    </w:pPr>
  </w:style>
  <w:style w:type="paragraph" w:customStyle="1" w:styleId="Annexetitre">
    <w:name w:val="Annexe titre"/>
    <w:basedOn w:val="Normal"/>
    <w:next w:val="Normal"/>
    <w:rsid w:val="0078506D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78506D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78506D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8506D"/>
    <w:rPr>
      <w:rFonts w:eastAsia="Calibri"/>
      <w:lang w:val="mt-MT" w:eastAsia="en-US"/>
    </w:rPr>
  </w:style>
  <w:style w:type="character" w:styleId="EndnoteReference">
    <w:name w:val="endnote reference"/>
    <w:basedOn w:val="DefaultParagraphFont"/>
    <w:uiPriority w:val="99"/>
    <w:unhideWhenUsed/>
    <w:rsid w:val="0078506D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78506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78506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78506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78506D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78506D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78506D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78506D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78506D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78506D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78506D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78506D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78506D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78506D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78506D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78506D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78506D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78506D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78506D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78506D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78506D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78506D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78506D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78506D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78506D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78506D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78506D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78506D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mt-MT" w:eastAsia="en-US"/>
    </w:rPr>
  </w:style>
  <w:style w:type="paragraph" w:customStyle="1" w:styleId="CommentFwdQuotedText">
    <w:name w:val="CommentFwdQuotedText"/>
    <w:basedOn w:val="Normal"/>
    <w:rsid w:val="0078506D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78506D"/>
    <w:pPr>
      <w:pBdr>
        <w:top w:val="none" w:sz="0" w:space="0" w:color="auto"/>
        <w:left w:val="single" w:sz="4" w:space="20" w:color="auto"/>
      </w:pBdr>
    </w:p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78506D"/>
    <w:rPr>
      <w:color w:val="954F7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506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78506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7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299</Words>
  <Characters>2569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2026-01-07T11:16:00Z</dcterms:created>
  <dcterms:modified xsi:type="dcterms:W3CDTF">2026-01-07T11:16:00Z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P10_TA(2025)0238_</vt:lpwstr>
  </property>
  <property fmtid="{D5CDD505-2E9C-101B-9397-08002B2CF9AE}" pid="4" name="&lt;Type&gt;">
    <vt:lpwstr>RR</vt:lpwstr>
  </property>
</Properties>
</file>