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2540" w14:paraId="3F0B9D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040657" w14:textId="77777777" w:rsidR="00751A4A" w:rsidRPr="00FA2540" w:rsidRDefault="00971B3E" w:rsidP="0010095E">
            <w:pPr>
              <w:pStyle w:val="EPName"/>
            </w:pPr>
            <w:r w:rsidRPr="00FA2540">
              <w:t>Európsky parlament</w:t>
            </w:r>
          </w:p>
          <w:p w14:paraId="2074338A" w14:textId="77777777" w:rsidR="00751A4A" w:rsidRPr="00FA25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2540">
              <w:t>2024</w:t>
            </w:r>
            <w:r w:rsidR="00817416" w:rsidRPr="00FA2540">
              <w:t>-202</w:t>
            </w:r>
            <w:r w:rsidRPr="00FA2540">
              <w:t>9</w:t>
            </w:r>
          </w:p>
        </w:tc>
        <w:tc>
          <w:tcPr>
            <w:tcW w:w="2268" w:type="dxa"/>
            <w:shd w:val="clear" w:color="auto" w:fill="auto"/>
          </w:tcPr>
          <w:p w14:paraId="24E9F93F" w14:textId="77777777" w:rsidR="00751A4A" w:rsidRPr="00FA2540" w:rsidRDefault="00187494" w:rsidP="0010095E">
            <w:pPr>
              <w:pStyle w:val="EPLogo"/>
            </w:pPr>
            <w:r w:rsidRPr="00FA2540">
              <w:rPr>
                <w:noProof/>
                <w:lang w:eastAsia="ja-JP"/>
              </w:rPr>
              <w:drawing>
                <wp:inline distT="0" distB="0" distL="0" distR="0" wp14:anchorId="38ECAEC0" wp14:editId="6AF8BD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B2F16" w14:textId="77777777" w:rsidR="00D058B8" w:rsidRPr="00FA2540" w:rsidRDefault="00D058B8" w:rsidP="004C5D52">
      <w:pPr>
        <w:pStyle w:val="LineTop"/>
      </w:pPr>
    </w:p>
    <w:p w14:paraId="313A33AA" w14:textId="77777777" w:rsidR="00680577" w:rsidRPr="00FA2540" w:rsidRDefault="00971B3E" w:rsidP="00680577">
      <w:pPr>
        <w:pStyle w:val="EPBodyTA1"/>
      </w:pPr>
      <w:r w:rsidRPr="00FA2540">
        <w:t>PRIJATÉ TEXTY</w:t>
      </w:r>
    </w:p>
    <w:p w14:paraId="20DCBDFA" w14:textId="77777777" w:rsidR="00D058B8" w:rsidRPr="00FA2540" w:rsidRDefault="00D058B8" w:rsidP="00D058B8">
      <w:pPr>
        <w:pStyle w:val="LineBottom"/>
      </w:pPr>
    </w:p>
    <w:p w14:paraId="4F70E2A8" w14:textId="155219BD" w:rsidR="00971B3E" w:rsidRPr="00FA2540" w:rsidRDefault="00971B3E" w:rsidP="00971B3E">
      <w:pPr>
        <w:pStyle w:val="ATHeading1"/>
      </w:pPr>
      <w:bookmarkStart w:id="0" w:name="TANumber"/>
      <w:r w:rsidRPr="00FA2540">
        <w:t>P</w:t>
      </w:r>
      <w:r w:rsidR="001969A7" w:rsidRPr="00FA2540">
        <w:t>10</w:t>
      </w:r>
      <w:r w:rsidRPr="00FA2540">
        <w:t>_TA(2025)0</w:t>
      </w:r>
      <w:r w:rsidR="00CD5B33" w:rsidRPr="00FA2540">
        <w:t>238</w:t>
      </w:r>
      <w:bookmarkEnd w:id="0"/>
    </w:p>
    <w:p w14:paraId="38B421C5" w14:textId="77777777" w:rsidR="00971B3E" w:rsidRPr="00FA2540" w:rsidRDefault="00971B3E" w:rsidP="00971B3E">
      <w:pPr>
        <w:pStyle w:val="ATHeading2"/>
      </w:pPr>
      <w:bookmarkStart w:id="1" w:name="title"/>
      <w:r w:rsidRPr="00FA2540">
        <w:t>Všeobecné nariadenie o ochrane údajov: ďalšie procesné pravidlá na presadzovanie nariadenia</w:t>
      </w:r>
      <w:bookmarkEnd w:id="1"/>
    </w:p>
    <w:p w14:paraId="71805B21" w14:textId="0FBA2554" w:rsidR="00971B3E" w:rsidRPr="00FA2540" w:rsidRDefault="00971B3E" w:rsidP="00971B3E">
      <w:pPr>
        <w:rPr>
          <w:i/>
          <w:vanish/>
        </w:rPr>
      </w:pPr>
      <w:r w:rsidRPr="00FA2540">
        <w:rPr>
          <w:i/>
        </w:rPr>
        <w:fldChar w:fldCharType="begin"/>
      </w:r>
      <w:r w:rsidRPr="00FA2540">
        <w:rPr>
          <w:i/>
        </w:rPr>
        <w:instrText xml:space="preserve"> TC"(</w:instrText>
      </w:r>
      <w:bookmarkStart w:id="2" w:name="DocNumber"/>
      <w:r w:rsidRPr="00FA2540">
        <w:rPr>
          <w:i/>
        </w:rPr>
        <w:instrText>A9-0045/2024</w:instrText>
      </w:r>
      <w:bookmarkEnd w:id="2"/>
      <w:r w:rsidRPr="00FA2540">
        <w:rPr>
          <w:i/>
        </w:rPr>
        <w:instrText xml:space="preserve"> - Spravodaj</w:instrText>
      </w:r>
      <w:r w:rsidR="00F8669E" w:rsidRPr="00FA2540">
        <w:rPr>
          <w:i/>
        </w:rPr>
        <w:instrText>kyňa</w:instrText>
      </w:r>
      <w:r w:rsidRPr="00FA2540">
        <w:rPr>
          <w:i/>
        </w:rPr>
        <w:instrText xml:space="preserve">: </w:instrText>
      </w:r>
      <w:r w:rsidR="00F8669E" w:rsidRPr="00FA2540">
        <w:rPr>
          <w:i/>
        </w:rPr>
        <w:instrText>Markéta Gregorová</w:instrText>
      </w:r>
      <w:r w:rsidRPr="00FA2540">
        <w:rPr>
          <w:i/>
        </w:rPr>
        <w:instrText xml:space="preserve">)"\l3 \n&gt; \* MERGEFORMAT </w:instrText>
      </w:r>
      <w:r w:rsidRPr="00FA2540">
        <w:rPr>
          <w:i/>
        </w:rPr>
        <w:fldChar w:fldCharType="end"/>
      </w:r>
    </w:p>
    <w:p w14:paraId="6434F5A6" w14:textId="77777777" w:rsidR="00971B3E" w:rsidRPr="00FA2540" w:rsidRDefault="00971B3E" w:rsidP="00971B3E">
      <w:pPr>
        <w:rPr>
          <w:vanish/>
        </w:rPr>
      </w:pPr>
      <w:bookmarkStart w:id="3" w:name="Commission"/>
      <w:r w:rsidRPr="00FA2540">
        <w:rPr>
          <w:vanish/>
        </w:rPr>
        <w:t>Výbor pre občianske slobody, spravodlivosť a vnútorné veci</w:t>
      </w:r>
      <w:bookmarkEnd w:id="3"/>
    </w:p>
    <w:p w14:paraId="5EC0DA76" w14:textId="77777777" w:rsidR="00971B3E" w:rsidRPr="00FA2540" w:rsidRDefault="00971B3E" w:rsidP="00971B3E">
      <w:pPr>
        <w:rPr>
          <w:vanish/>
        </w:rPr>
      </w:pPr>
      <w:bookmarkStart w:id="4" w:name="PE"/>
      <w:r w:rsidRPr="00FA2540">
        <w:rPr>
          <w:vanish/>
        </w:rPr>
        <w:t>PE755.005</w:t>
      </w:r>
      <w:bookmarkEnd w:id="4"/>
    </w:p>
    <w:p w14:paraId="2789D60F" w14:textId="1600F054" w:rsidR="00971B3E" w:rsidRPr="00FA2540" w:rsidRDefault="00971B3E" w:rsidP="00971B3E">
      <w:pPr>
        <w:pStyle w:val="ATHeading3"/>
      </w:pPr>
      <w:bookmarkStart w:id="5" w:name="Sujet"/>
      <w:r w:rsidRPr="00FA2540">
        <w:t>Legislatívne uznesenie Európskeho parlamentu z</w:t>
      </w:r>
      <w:r w:rsidR="001969A7" w:rsidRPr="00FA2540">
        <w:t> 21</w:t>
      </w:r>
      <w:r w:rsidRPr="00FA2540">
        <w:t>. októbra 2025 o návrhu nariadenia Európskeho parlamentu a Rady, ktorým sa stanovujú ďalšie procesné pravidlá na presadzovanie nariadenia (EÚ) 2016/679</w:t>
      </w:r>
      <w:bookmarkEnd w:id="5"/>
      <w:r w:rsidRPr="00FA2540">
        <w:t xml:space="preserve"> </w:t>
      </w:r>
      <w:bookmarkStart w:id="6" w:name="References"/>
      <w:r w:rsidRPr="00FA2540">
        <w:t>(COM(2023)0348 – C9-0231/2023 – 2023/0202(COD))</w:t>
      </w:r>
      <w:bookmarkEnd w:id="6"/>
    </w:p>
    <w:p w14:paraId="0D277D18" w14:textId="77777777" w:rsidR="001B1B08" w:rsidRPr="00FA2540" w:rsidRDefault="001B1B08" w:rsidP="001B1B08">
      <w:pPr>
        <w:pStyle w:val="NormalBold"/>
      </w:pPr>
      <w:r w:rsidRPr="00FA2540">
        <w:t>(Riadny legislatívny postup prvé čítanie)</w:t>
      </w:r>
    </w:p>
    <w:p w14:paraId="3EF6B01A" w14:textId="77777777" w:rsidR="001B1B08" w:rsidRPr="00FA2540" w:rsidRDefault="001B1B08" w:rsidP="001B1B08">
      <w:pPr>
        <w:pStyle w:val="EPComma"/>
      </w:pPr>
      <w:r w:rsidRPr="00FA2540">
        <w:rPr>
          <w:i/>
        </w:rPr>
        <w:t>Európsky parlament</w:t>
      </w:r>
      <w:r w:rsidRPr="00FA2540">
        <w:t>,</w:t>
      </w:r>
    </w:p>
    <w:p w14:paraId="18CE99A2" w14:textId="77777777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>so zreteľom na návrh Komisie pre Európsky parlament a Radu (COM(2023)0348),</w:t>
      </w:r>
    </w:p>
    <w:p w14:paraId="48E89A91" w14:textId="40C58BF0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>so zreteľom na článok 294 ods. 2 a článok 16 Zmluvy o fungovaní Európskej únie, v súlade s ktorými Komisia predložila návrh Európskemu parlamentu (C9</w:t>
      </w:r>
      <w:r w:rsidR="001969A7" w:rsidRPr="00FA2540">
        <w:t>-</w:t>
      </w:r>
      <w:r w:rsidRPr="00FA2540">
        <w:t>0231/2023),</w:t>
      </w:r>
    </w:p>
    <w:p w14:paraId="1E7E87CA" w14:textId="77777777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>so zreteľom na článok 294 ods. 3 Zmluvy o fungovaní Európskej únie,</w:t>
      </w:r>
    </w:p>
    <w:p w14:paraId="772C256C" w14:textId="77777777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>so zreteľom na odôvodnené stanovisko predložené na základe Protokolu č. 2 o uplatňovaní zásad subsidiarity a proporcionality švédskym parlamentom, ktorý tvrdí, že návrh legislatívneho aktu nie je v súlade so zásadou subsidiarity,</w:t>
      </w:r>
    </w:p>
    <w:p w14:paraId="73A4A6A7" w14:textId="77777777" w:rsidR="001B1B08" w:rsidRPr="00FA2540" w:rsidRDefault="001B1B08" w:rsidP="001B1B08">
      <w:pPr>
        <w:spacing w:after="160"/>
        <w:ind w:left="567" w:hanging="567"/>
      </w:pPr>
      <w:r w:rsidRPr="00FA2540">
        <w:t>–</w:t>
      </w:r>
      <w:r w:rsidRPr="00FA2540">
        <w:tab/>
        <w:t>so zreteľom na stanovisko Európskeho hospodárskeho a sociálneho výboru z 13. decembra 2023</w:t>
      </w:r>
      <w:r w:rsidRPr="00FA2540">
        <w:rPr>
          <w:vertAlign w:val="superscript"/>
        </w:rPr>
        <w:footnoteReference w:id="1"/>
      </w:r>
      <w:r w:rsidRPr="00FA2540">
        <w:t xml:space="preserve">, </w:t>
      </w:r>
    </w:p>
    <w:p w14:paraId="1E7A1ABD" w14:textId="04798A69" w:rsidR="001969A7" w:rsidRPr="00FA2540" w:rsidRDefault="001969A7" w:rsidP="001969A7">
      <w:pPr>
        <w:spacing w:after="160"/>
        <w:ind w:left="567" w:hanging="567"/>
      </w:pPr>
      <w:r w:rsidRPr="00FA2540">
        <w:t>–</w:t>
      </w:r>
      <w:r w:rsidRPr="00FA2540">
        <w:tab/>
        <w:t>so zreteľom na predbežnú dohodu schválenú gestorským výborom podľa článku 75 ods. 4 rokovacieho poriadku, a na záväzok zástupcu Rady, vyjadrený v liste z 27. júna 2025, schváliť pozíciu Európskeho parlamentu v súlade s článkom 294 ods. 4 Zmluvy o fungovaní Európskej únie,</w:t>
      </w:r>
    </w:p>
    <w:p w14:paraId="0E9A4FC7" w14:textId="4376A28D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 xml:space="preserve">so zreteľom na článok </w:t>
      </w:r>
      <w:r w:rsidR="001969A7" w:rsidRPr="00FA2540">
        <w:t xml:space="preserve">60 </w:t>
      </w:r>
      <w:r w:rsidRPr="00FA2540">
        <w:t>rokovacieho poriadku,</w:t>
      </w:r>
    </w:p>
    <w:p w14:paraId="50F3498D" w14:textId="77777777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>so zreteľom na stanovisko Výboru pre právne veci,</w:t>
      </w:r>
    </w:p>
    <w:p w14:paraId="20599246" w14:textId="77777777" w:rsidR="001B1B08" w:rsidRPr="00FA2540" w:rsidRDefault="001B1B08" w:rsidP="001B1B08">
      <w:pPr>
        <w:pStyle w:val="NormalHanging12a"/>
      </w:pPr>
      <w:r w:rsidRPr="00FA2540">
        <w:t>–</w:t>
      </w:r>
      <w:r w:rsidRPr="00FA2540">
        <w:tab/>
        <w:t xml:space="preserve">so zreteľom na správu Výboru pre občianske slobody, spravodlivosť a vnútorné veci </w:t>
      </w:r>
      <w:r w:rsidRPr="00FA2540">
        <w:lastRenderedPageBreak/>
        <w:t>(A9-0045/2024),</w:t>
      </w:r>
    </w:p>
    <w:p w14:paraId="274D380F" w14:textId="295DBD80" w:rsidR="001B1B08" w:rsidRPr="00FA2540" w:rsidRDefault="001B1B08" w:rsidP="001B1B08">
      <w:pPr>
        <w:pStyle w:val="NormalHanging12a"/>
      </w:pPr>
      <w:r w:rsidRPr="00FA2540">
        <w:t>1.</w:t>
      </w:r>
      <w:r w:rsidRPr="00FA2540">
        <w:tab/>
        <w:t>prijíma nasledujúcu pozíciu v prvom čítaní</w:t>
      </w:r>
      <w:r w:rsidR="00BA0D27" w:rsidRPr="00FA2540">
        <w:rPr>
          <w:rStyle w:val="FootnoteReference"/>
        </w:rPr>
        <w:footnoteReference w:id="2"/>
      </w:r>
      <w:r w:rsidRPr="00FA2540">
        <w:t>;</w:t>
      </w:r>
    </w:p>
    <w:p w14:paraId="586C6CDE" w14:textId="77777777" w:rsidR="001B1B08" w:rsidRPr="00FA2540" w:rsidRDefault="001B1B08" w:rsidP="001B1B08">
      <w:pPr>
        <w:pStyle w:val="NormalHanging12a"/>
      </w:pPr>
      <w:r w:rsidRPr="00FA2540">
        <w:t>2.</w:t>
      </w:r>
      <w:r w:rsidRPr="00FA2540">
        <w:tab/>
        <w:t>žiada Komisiu, aby mu vec znovu predložila, ak nahrádza, podstatne mení alebo má v úmysle podstatne zmeniť svoj návrh;</w:t>
      </w:r>
    </w:p>
    <w:p w14:paraId="52995D2F" w14:textId="77777777" w:rsidR="001B1B08" w:rsidRPr="00FA2540" w:rsidRDefault="001B1B08" w:rsidP="001B1B08">
      <w:pPr>
        <w:pStyle w:val="NormalHanging12a"/>
      </w:pPr>
      <w:r w:rsidRPr="00FA2540">
        <w:t>3.</w:t>
      </w:r>
      <w:r w:rsidRPr="00FA2540">
        <w:tab/>
        <w:t>poveruje svoju predsedníčku, aby postúpila túto pozíciu Rade, Komisii a národným parlamentom.</w:t>
      </w:r>
    </w:p>
    <w:p w14:paraId="75A5FB4B" w14:textId="77777777" w:rsidR="00764640" w:rsidRPr="00FA2540" w:rsidRDefault="00764640" w:rsidP="001B1B08">
      <w:pPr>
        <w:sectPr w:rsidR="00764640" w:rsidRPr="00FA2540" w:rsidSect="007A07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5B7F9C" w14:textId="170E3440" w:rsidR="00764640" w:rsidRPr="00FA2540" w:rsidRDefault="00764640" w:rsidP="00764640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FA2540">
        <w:rPr>
          <w:b/>
          <w:lang w:val="sk-SK"/>
        </w:rPr>
        <w:lastRenderedPageBreak/>
        <w:t>P10_TC1-COD(2023)0202</w:t>
      </w:r>
    </w:p>
    <w:p w14:paraId="355585B3" w14:textId="6B82CE57" w:rsidR="00764640" w:rsidRDefault="00764640" w:rsidP="00764640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FA2540">
        <w:rPr>
          <w:b/>
        </w:rPr>
        <w:t xml:space="preserve">Pozícia Európskeho parlamentu prijatá v prvom čítaní 21. októbra 2025 na účely prijatia nariadenia Európskeho parlamentu a Rady (EÚ) 2025/..., </w:t>
      </w:r>
      <w:r w:rsidRPr="00FA2540">
        <w:rPr>
          <w:rFonts w:eastAsia="Calibri"/>
          <w:b/>
          <w:szCs w:val="22"/>
          <w:lang w:eastAsia="en-US"/>
        </w:rPr>
        <w:t>ktorým sa stanovujú ďalšie procesné pravidlá na presadzovanie nariadenia (EÚ) 2016/679</w:t>
      </w:r>
    </w:p>
    <w:p w14:paraId="0A114958" w14:textId="77777777" w:rsidR="00A430C1" w:rsidRDefault="00A430C1" w:rsidP="00764640">
      <w:pPr>
        <w:widowControl/>
        <w:spacing w:after="240"/>
        <w:rPr>
          <w:rFonts w:eastAsia="Calibri"/>
          <w:b/>
          <w:szCs w:val="22"/>
          <w:lang w:eastAsia="en-US"/>
        </w:rPr>
      </w:pPr>
    </w:p>
    <w:p w14:paraId="04810DCD" w14:textId="753EDEC3" w:rsidR="00A430C1" w:rsidRPr="00731EF8" w:rsidRDefault="00A430C1" w:rsidP="00A430C1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A430C1">
        <w:rPr>
          <w:i/>
          <w:iCs/>
        </w:rPr>
        <w:t>legislatívnemu aktu, nariadeniu (EÚ) 2025/</w:t>
      </w:r>
      <w:r>
        <w:rPr>
          <w:i/>
          <w:iCs/>
        </w:rPr>
        <w:t>2518</w:t>
      </w:r>
      <w:r w:rsidRPr="00A430C1">
        <w:rPr>
          <w:i/>
          <w:iCs/>
        </w:rPr>
        <w:t>.)</w:t>
      </w:r>
    </w:p>
    <w:p w14:paraId="6EA89852" w14:textId="77777777" w:rsidR="00A430C1" w:rsidRDefault="00A430C1" w:rsidP="00764640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A430C1" w:rsidSect="007A07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211EC" w14:textId="77777777" w:rsidR="00971B3E" w:rsidRPr="007A07A7" w:rsidRDefault="00971B3E">
      <w:r w:rsidRPr="007A07A7">
        <w:separator/>
      </w:r>
    </w:p>
  </w:endnote>
  <w:endnote w:type="continuationSeparator" w:id="0">
    <w:p w14:paraId="16BD5896" w14:textId="77777777" w:rsidR="00971B3E" w:rsidRPr="007A07A7" w:rsidRDefault="00971B3E">
      <w:r w:rsidRPr="007A07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F6667" w14:textId="77777777" w:rsidR="00064002" w:rsidRPr="007A07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2BC6A" w14:textId="77777777" w:rsidR="00064002" w:rsidRPr="007A07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84BF1" w14:textId="77777777" w:rsidR="00064002" w:rsidRPr="007A07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30622" w14:textId="77777777" w:rsidR="00971B3E" w:rsidRPr="007A07A7" w:rsidRDefault="00971B3E">
      <w:r w:rsidRPr="007A07A7">
        <w:separator/>
      </w:r>
    </w:p>
  </w:footnote>
  <w:footnote w:type="continuationSeparator" w:id="0">
    <w:p w14:paraId="67CD6B27" w14:textId="77777777" w:rsidR="00971B3E" w:rsidRPr="007A07A7" w:rsidRDefault="00971B3E">
      <w:r w:rsidRPr="007A07A7">
        <w:continuationSeparator/>
      </w:r>
    </w:p>
  </w:footnote>
  <w:footnote w:id="1">
    <w:p w14:paraId="71530E65" w14:textId="63F1AE7C" w:rsidR="001B1B08" w:rsidRPr="00764640" w:rsidRDefault="001B1B08" w:rsidP="00764640">
      <w:pPr>
        <w:ind w:left="567" w:hanging="567"/>
        <w:rPr>
          <w:color w:val="000000"/>
          <w:szCs w:val="24"/>
        </w:rPr>
      </w:pPr>
      <w:r w:rsidRPr="00764640">
        <w:rPr>
          <w:rStyle w:val="FootnoteReference"/>
          <w:szCs w:val="24"/>
        </w:rPr>
        <w:footnoteRef/>
      </w:r>
      <w:r w:rsidR="007A07A7" w:rsidRPr="00764640">
        <w:rPr>
          <w:color w:val="000000"/>
          <w:szCs w:val="24"/>
        </w:rPr>
        <w:t xml:space="preserve"> </w:t>
      </w:r>
      <w:r w:rsidR="007A07A7" w:rsidRPr="00764640">
        <w:rPr>
          <w:color w:val="000000"/>
          <w:szCs w:val="24"/>
        </w:rPr>
        <w:tab/>
      </w:r>
      <w:r w:rsidRPr="00764640">
        <w:rPr>
          <w:color w:val="000000"/>
          <w:szCs w:val="24"/>
        </w:rPr>
        <w:t>Ú. v. EÚ C</w:t>
      </w:r>
      <w:r w:rsidR="001969A7" w:rsidRPr="00764640">
        <w:rPr>
          <w:color w:val="000000"/>
          <w:szCs w:val="24"/>
        </w:rPr>
        <w:t xml:space="preserve">, C/2024/1578, 5.3.2024, ELI: </w:t>
      </w:r>
      <w:hyperlink r:id="rId1" w:history="1">
        <w:r w:rsidR="001969A7" w:rsidRPr="00764640">
          <w:rPr>
            <w:rStyle w:val="Hyperlink"/>
            <w:szCs w:val="24"/>
          </w:rPr>
          <w:t>http://data.europa.eu/eli/C/2024/1578/oj</w:t>
        </w:r>
      </w:hyperlink>
      <w:r w:rsidRPr="00764640">
        <w:rPr>
          <w:color w:val="000000"/>
          <w:szCs w:val="24"/>
        </w:rPr>
        <w:t>.</w:t>
      </w:r>
    </w:p>
  </w:footnote>
  <w:footnote w:id="2">
    <w:p w14:paraId="0C3BA26F" w14:textId="77CBA428" w:rsidR="00BA0D27" w:rsidRPr="00CD5B33" w:rsidRDefault="00BA0D27" w:rsidP="00CD5B33">
      <w:pPr>
        <w:pStyle w:val="FootnoteText"/>
        <w:ind w:left="567" w:hanging="567"/>
        <w:rPr>
          <w:sz w:val="24"/>
          <w:szCs w:val="24"/>
          <w:lang w:val="sk-SK"/>
        </w:rPr>
      </w:pPr>
      <w:r w:rsidRPr="00CD5B33">
        <w:rPr>
          <w:rStyle w:val="FootnoteReference"/>
          <w:sz w:val="24"/>
          <w:szCs w:val="24"/>
          <w:lang w:val="sk-SK"/>
        </w:rPr>
        <w:footnoteRef/>
      </w:r>
      <w:r w:rsidRPr="00CD5B33">
        <w:rPr>
          <w:sz w:val="24"/>
          <w:szCs w:val="24"/>
          <w:lang w:val="sk-SK"/>
        </w:rPr>
        <w:t xml:space="preserve"> </w:t>
      </w:r>
      <w:r w:rsidRPr="00CD5B33">
        <w:rPr>
          <w:sz w:val="24"/>
          <w:szCs w:val="24"/>
          <w:lang w:val="sk-SK"/>
        </w:rPr>
        <w:tab/>
      </w:r>
      <w:r w:rsidRPr="00BA0D27">
        <w:rPr>
          <w:sz w:val="24"/>
          <w:szCs w:val="24"/>
          <w:lang w:val="sk-SK"/>
        </w:rPr>
        <w:t>Táto pozícia nahrádza pozmeňujúce návrhy prijaté 10. apríla 2024 (Prijaté texty,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286C" w14:textId="77777777" w:rsidR="00064002" w:rsidRPr="007A07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2A25E" w14:textId="77777777" w:rsidR="00064002" w:rsidRPr="007A07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FD96" w14:textId="77777777" w:rsidR="00064002" w:rsidRPr="007A07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020854716">
    <w:abstractNumId w:val="0"/>
  </w:num>
  <w:num w:numId="2" w16cid:durableId="1407386362">
    <w:abstractNumId w:val="7"/>
  </w:num>
  <w:num w:numId="3" w16cid:durableId="1611736636">
    <w:abstractNumId w:val="4"/>
  </w:num>
  <w:num w:numId="4" w16cid:durableId="345445723">
    <w:abstractNumId w:val="11"/>
  </w:num>
  <w:num w:numId="5" w16cid:durableId="765923267">
    <w:abstractNumId w:val="14"/>
  </w:num>
  <w:num w:numId="6" w16cid:durableId="1382829936">
    <w:abstractNumId w:val="13"/>
  </w:num>
  <w:num w:numId="7" w16cid:durableId="860778190">
    <w:abstractNumId w:val="21"/>
  </w:num>
  <w:num w:numId="8" w16cid:durableId="1720208638">
    <w:abstractNumId w:val="8"/>
  </w:num>
  <w:num w:numId="9" w16cid:durableId="58209280">
    <w:abstractNumId w:val="9"/>
  </w:num>
  <w:num w:numId="10" w16cid:durableId="1877355672">
    <w:abstractNumId w:val="10"/>
  </w:num>
  <w:num w:numId="11" w16cid:durableId="991908583">
    <w:abstractNumId w:val="12"/>
  </w:num>
  <w:num w:numId="12" w16cid:durableId="1232423371">
    <w:abstractNumId w:val="5"/>
  </w:num>
  <w:num w:numId="13" w16cid:durableId="1037200772">
    <w:abstractNumId w:val="22"/>
  </w:num>
  <w:num w:numId="14" w16cid:durableId="881476510">
    <w:abstractNumId w:val="6"/>
  </w:num>
  <w:num w:numId="15" w16cid:durableId="1224684449">
    <w:abstractNumId w:val="2"/>
  </w:num>
  <w:num w:numId="16" w16cid:durableId="1818181124">
    <w:abstractNumId w:val="1"/>
  </w:num>
  <w:num w:numId="17" w16cid:durableId="474177225">
    <w:abstractNumId w:val="17"/>
  </w:num>
  <w:num w:numId="18" w16cid:durableId="1212617407">
    <w:abstractNumId w:val="16"/>
  </w:num>
  <w:num w:numId="19" w16cid:durableId="2042389224">
    <w:abstractNumId w:val="15"/>
  </w:num>
  <w:num w:numId="20" w16cid:durableId="792212129">
    <w:abstractNumId w:val="19"/>
  </w:num>
  <w:num w:numId="21" w16cid:durableId="797643367">
    <w:abstractNumId w:val="18"/>
  </w:num>
  <w:num w:numId="22" w16cid:durableId="468740802">
    <w:abstractNumId w:val="20"/>
  </w:num>
  <w:num w:numId="23" w16cid:durableId="727189919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SK"/>
    <w:docVar w:name="dvnumam" w:val="336"/>
    <w:docVar w:name="dvpe" w:val="755.005"/>
    <w:docVar w:name="dvrapporteur" w:val="Spravodajca: "/>
    <w:docVar w:name="dvstar" w:val="***I"/>
    <w:docVar w:name="dvtitre" w:val="Legislatívne uznesenie Európskeho parlamentu z xx. októbra 2025 o návrhu nariadenia Európskeho parlamentu a Rady, ktorým sa stanovujú ďalšie procesné pravidlá na presadzovanie nariadenia (EÚ) 2016/679(COM(2023)0348 – C9-0231/2023 – 2023/0202(COD))"/>
  </w:docVars>
  <w:rsids>
    <w:rsidRoot w:val="00971B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9A7"/>
    <w:rsid w:val="001B1B08"/>
    <w:rsid w:val="001F32AE"/>
    <w:rsid w:val="002767FF"/>
    <w:rsid w:val="002B18FE"/>
    <w:rsid w:val="002B5493"/>
    <w:rsid w:val="003122A6"/>
    <w:rsid w:val="00343214"/>
    <w:rsid w:val="00361C00"/>
    <w:rsid w:val="0038785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BE0"/>
    <w:rsid w:val="004F2071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63A89"/>
    <w:rsid w:val="00672A1B"/>
    <w:rsid w:val="00680577"/>
    <w:rsid w:val="00693884"/>
    <w:rsid w:val="006F74FA"/>
    <w:rsid w:val="0070699B"/>
    <w:rsid w:val="00731ADD"/>
    <w:rsid w:val="00734777"/>
    <w:rsid w:val="00747932"/>
    <w:rsid w:val="00751A4A"/>
    <w:rsid w:val="00756632"/>
    <w:rsid w:val="00762C74"/>
    <w:rsid w:val="00764640"/>
    <w:rsid w:val="00786EC0"/>
    <w:rsid w:val="007A07A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B3E"/>
    <w:rsid w:val="00977704"/>
    <w:rsid w:val="00980D69"/>
    <w:rsid w:val="00981893"/>
    <w:rsid w:val="009E42AA"/>
    <w:rsid w:val="00A1687D"/>
    <w:rsid w:val="00A430C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D27"/>
    <w:rsid w:val="00BD48FE"/>
    <w:rsid w:val="00BD7BD8"/>
    <w:rsid w:val="00BE6ADC"/>
    <w:rsid w:val="00C05BFE"/>
    <w:rsid w:val="00C23CD4"/>
    <w:rsid w:val="00C61C0C"/>
    <w:rsid w:val="00C941CB"/>
    <w:rsid w:val="00CC2357"/>
    <w:rsid w:val="00CD5B33"/>
    <w:rsid w:val="00CF071A"/>
    <w:rsid w:val="00D058B8"/>
    <w:rsid w:val="00D56C11"/>
    <w:rsid w:val="00D834A0"/>
    <w:rsid w:val="00D872DF"/>
    <w:rsid w:val="00D91E21"/>
    <w:rsid w:val="00DA7FCD"/>
    <w:rsid w:val="00E32E81"/>
    <w:rsid w:val="00E365E1"/>
    <w:rsid w:val="00E820A4"/>
    <w:rsid w:val="00E9108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69E"/>
    <w:rsid w:val="00F87713"/>
    <w:rsid w:val="00FA2540"/>
    <w:rsid w:val="00FB4360"/>
    <w:rsid w:val="00FC73F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5B0C9"/>
  <w15:chartTrackingRefBased/>
  <w15:docId w15:val="{57684EBB-F3CB-403B-962A-3F83237D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B1B0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B0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B0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B0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B0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B08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B08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1B1B08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1B1B08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1B1B0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B1B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B1B0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B1B08"/>
    <w:pPr>
      <w:spacing w:after="120"/>
    </w:pPr>
  </w:style>
  <w:style w:type="paragraph" w:customStyle="1" w:styleId="PageHeading">
    <w:name w:val="PageHeading"/>
    <w:basedOn w:val="Normal"/>
    <w:rsid w:val="001B1B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B1B08"/>
    <w:rPr>
      <w:b/>
    </w:rPr>
  </w:style>
  <w:style w:type="character" w:customStyle="1" w:styleId="NormalBoldChar">
    <w:name w:val="NormalBold Char"/>
    <w:basedOn w:val="DefaultParagraphFont"/>
    <w:link w:val="NormalBold"/>
    <w:rsid w:val="001B1B08"/>
    <w:rPr>
      <w:b/>
      <w:sz w:val="24"/>
      <w:lang w:val="sk-SK"/>
    </w:rPr>
  </w:style>
  <w:style w:type="paragraph" w:customStyle="1" w:styleId="NormalBold12a">
    <w:name w:val="NormalBold12a"/>
    <w:basedOn w:val="Normal"/>
    <w:rsid w:val="001B1B08"/>
    <w:pPr>
      <w:spacing w:after="240"/>
    </w:pPr>
    <w:rPr>
      <w:b/>
    </w:rPr>
  </w:style>
  <w:style w:type="paragraph" w:customStyle="1" w:styleId="AmJustText">
    <w:name w:val="AmJustText"/>
    <w:basedOn w:val="Normal"/>
    <w:rsid w:val="001B1B0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B1B0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B1B08"/>
    <w:pPr>
      <w:spacing w:after="480"/>
      <w:ind w:left="1417"/>
    </w:pPr>
  </w:style>
  <w:style w:type="paragraph" w:customStyle="1" w:styleId="CoverNormal">
    <w:name w:val="CoverNormal"/>
    <w:basedOn w:val="Normal"/>
    <w:rsid w:val="001B1B08"/>
    <w:pPr>
      <w:ind w:left="1418"/>
    </w:pPr>
  </w:style>
  <w:style w:type="paragraph" w:customStyle="1" w:styleId="AmCrossRef">
    <w:name w:val="AmCrossRef"/>
    <w:basedOn w:val="Normal"/>
    <w:rsid w:val="001B1B0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B1B0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B1B0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B1B0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B1B0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B1B0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B1B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B08"/>
    <w:rPr>
      <w:sz w:val="24"/>
      <w:lang w:val="sk-SK"/>
    </w:rPr>
  </w:style>
  <w:style w:type="paragraph" w:customStyle="1" w:styleId="AmOrLang">
    <w:name w:val="AmOrLang"/>
    <w:basedOn w:val="Normal"/>
    <w:rsid w:val="001B1B0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B1B0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B1B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B1B08"/>
    <w:pPr>
      <w:spacing w:before="240"/>
    </w:pPr>
    <w:rPr>
      <w:b/>
    </w:rPr>
  </w:style>
  <w:style w:type="paragraph" w:customStyle="1" w:styleId="EPBody">
    <w:name w:val="EPBody"/>
    <w:basedOn w:val="Normal"/>
    <w:rsid w:val="001B1B0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B1B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B1B08"/>
    <w:pPr>
      <w:spacing w:before="480" w:after="240"/>
    </w:pPr>
  </w:style>
  <w:style w:type="paragraph" w:customStyle="1" w:styleId="Lgendesigne">
    <w:name w:val="Légende signe"/>
    <w:basedOn w:val="Normal"/>
    <w:rsid w:val="001B1B0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B1B0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B1B08"/>
    <w:rPr>
      <w:sz w:val="18"/>
    </w:rPr>
  </w:style>
  <w:style w:type="paragraph" w:customStyle="1" w:styleId="EntPE">
    <w:name w:val="EntPE"/>
    <w:basedOn w:val="Normal12"/>
    <w:rsid w:val="001B1B0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B1B0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B1B08"/>
    <w:rPr>
      <w:noProof/>
      <w:sz w:val="24"/>
      <w:lang w:val="sk-SK"/>
    </w:rPr>
  </w:style>
  <w:style w:type="paragraph" w:customStyle="1" w:styleId="Normal6">
    <w:name w:val="Normal6"/>
    <w:basedOn w:val="Normal"/>
    <w:link w:val="Normal6Char"/>
    <w:rsid w:val="001B1B0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B1B08"/>
    <w:rPr>
      <w:sz w:val="24"/>
      <w:lang w:val="sk-SK"/>
    </w:rPr>
  </w:style>
  <w:style w:type="paragraph" w:customStyle="1" w:styleId="Normal12Italic">
    <w:name w:val="Normal12Italic"/>
    <w:basedOn w:val="Normal12"/>
    <w:rsid w:val="001B1B08"/>
    <w:rPr>
      <w:i/>
    </w:rPr>
  </w:style>
  <w:style w:type="paragraph" w:customStyle="1" w:styleId="AMNumberTabs0">
    <w:name w:val="AMNumberTabs"/>
    <w:basedOn w:val="Normal"/>
    <w:rsid w:val="001B1B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B1B0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B1B0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B1B08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1B1B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B1B08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basedOn w:val="DefaultParagraphFont"/>
    <w:unhideWhenUsed/>
    <w:rsid w:val="001B1B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1B08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1B1B08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1B1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1B1B0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B1B08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B1B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B1B08"/>
    <w:rPr>
      <w:b/>
      <w:bCs/>
      <w:lang w:val="sk-SK"/>
    </w:rPr>
  </w:style>
  <w:style w:type="paragraph" w:customStyle="1" w:styleId="Normal12a">
    <w:name w:val="Normal12a"/>
    <w:basedOn w:val="Normal"/>
    <w:rsid w:val="001B1B08"/>
    <w:pPr>
      <w:spacing w:after="240"/>
    </w:pPr>
  </w:style>
  <w:style w:type="paragraph" w:customStyle="1" w:styleId="PageHeadingNotTOC">
    <w:name w:val="PageHeadingNotTOC"/>
    <w:basedOn w:val="Normal"/>
    <w:rsid w:val="001B1B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B1B0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1B1B0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1B1B0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B1B0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B1B0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B1B0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B1B08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1B1B08"/>
    <w:pPr>
      <w:spacing w:before="240"/>
      <w:jc w:val="center"/>
    </w:pPr>
    <w:rPr>
      <w:i/>
    </w:rPr>
  </w:style>
  <w:style w:type="character" w:customStyle="1" w:styleId="Footer2Middle">
    <w:name w:val="Footer2Middle"/>
    <w:rsid w:val="001B1B0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1B1B08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1B1B08"/>
    <w:rPr>
      <w:b/>
      <w:sz w:val="24"/>
      <w:lang w:val="sk-SK"/>
    </w:rPr>
  </w:style>
  <w:style w:type="paragraph" w:customStyle="1" w:styleId="RollCallSymbols14pt">
    <w:name w:val="RollCallSymbols14pt"/>
    <w:basedOn w:val="Normal"/>
    <w:rsid w:val="001B1B0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B1B0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B1B0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B1B0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B1B0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B1B08"/>
    <w:rPr>
      <w:sz w:val="24"/>
      <w:lang w:val="sk-SK"/>
    </w:rPr>
  </w:style>
  <w:style w:type="paragraph" w:styleId="Footer">
    <w:name w:val="footer"/>
    <w:basedOn w:val="Normal"/>
    <w:link w:val="FooterChar"/>
    <w:uiPriority w:val="99"/>
    <w:rsid w:val="001B1B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B08"/>
    <w:rPr>
      <w:sz w:val="24"/>
      <w:lang w:val="sk-SK"/>
    </w:rPr>
  </w:style>
  <w:style w:type="paragraph" w:styleId="Revision">
    <w:name w:val="Revision"/>
    <w:uiPriority w:val="99"/>
    <w:semiHidden/>
    <w:rsid w:val="001B1B08"/>
    <w:rPr>
      <w:sz w:val="24"/>
      <w:lang w:val="sk-SK"/>
    </w:rPr>
  </w:style>
  <w:style w:type="paragraph" w:customStyle="1" w:styleId="CoverBold">
    <w:name w:val="CoverBold"/>
    <w:basedOn w:val="Normal"/>
    <w:rsid w:val="001B1B08"/>
    <w:pPr>
      <w:ind w:left="1417"/>
    </w:pPr>
    <w:rPr>
      <w:b/>
    </w:rPr>
  </w:style>
  <w:style w:type="paragraph" w:customStyle="1" w:styleId="Default">
    <w:name w:val="Default"/>
    <w:rsid w:val="001B1B08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1969A7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764640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76464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64640"/>
    <w:pPr>
      <w:spacing w:after="240"/>
      <w:jc w:val="center"/>
    </w:pPr>
  </w:style>
  <w:style w:type="paragraph" w:customStyle="1" w:styleId="AmDateTab">
    <w:name w:val="AmDateTab"/>
    <w:basedOn w:val="Normal"/>
    <w:rsid w:val="0076464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6464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64640"/>
  </w:style>
  <w:style w:type="paragraph" w:styleId="TOC4">
    <w:name w:val="toc 4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6464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6464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6464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6464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6464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64640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6464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6464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6464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6464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6464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6464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6464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6464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6464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6464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6464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6464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64640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646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64640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6464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6464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6464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6464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6464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6464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6464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6464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6464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6464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6464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6464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6464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6464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6464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6464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6464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6464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6464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6464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6464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6464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64640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64640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64640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64640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64640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64640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64640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64640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64640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64640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64640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64640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64640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64640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64640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64640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464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464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464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6464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464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6464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4640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4640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4640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464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64640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64640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64640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64640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64640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64640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64640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64640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64640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64640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64640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64640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64640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64640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64640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64640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64640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64640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6464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6464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64640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64640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464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64640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4640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64640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64640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6464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464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4640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64640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6464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464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6464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6464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6464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6464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6464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6464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646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6464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6464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6464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6464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64640"/>
    <w:pPr>
      <w:spacing w:before="240"/>
    </w:pPr>
  </w:style>
  <w:style w:type="paragraph" w:customStyle="1" w:styleId="Accordtitre">
    <w:name w:val="Accord titre"/>
    <w:basedOn w:val="Normal"/>
    <w:rsid w:val="0076464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6464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6464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6464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464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4640"/>
    <w:pPr>
      <w:spacing w:after="240"/>
    </w:pPr>
  </w:style>
  <w:style w:type="paragraph" w:customStyle="1" w:styleId="Annexetitre">
    <w:name w:val="Annexe titre"/>
    <w:basedOn w:val="Normal"/>
    <w:next w:val="Normal"/>
    <w:rsid w:val="0076464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6464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6464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64640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76464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6464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6464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6464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6464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6464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6464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6464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6464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6464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6464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6464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6464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6464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6464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6464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6464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6464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6464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6464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6464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6464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6464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6464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6464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646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646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6464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76464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64640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764640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64640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46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64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2026-01-05T16:18:00Z</dcterms:created>
  <dcterms:modified xsi:type="dcterms:W3CDTF">2026-01-05T16:18:00Z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