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365D" w14:paraId="17F3B5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874276" w14:textId="77777777" w:rsidR="00751A4A" w:rsidRPr="0045365D" w:rsidRDefault="004729A4" w:rsidP="0010095E">
            <w:pPr>
              <w:pStyle w:val="EPName"/>
            </w:pPr>
            <w:r w:rsidRPr="0045365D">
              <w:t>Parlamento Europeo</w:t>
            </w:r>
          </w:p>
          <w:p w14:paraId="680D7EE2" w14:textId="77777777" w:rsidR="00751A4A" w:rsidRPr="004536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365D">
              <w:t>2024</w:t>
            </w:r>
            <w:r w:rsidR="00817416" w:rsidRPr="0045365D">
              <w:t>-202</w:t>
            </w:r>
            <w:r w:rsidRPr="0045365D">
              <w:t>9</w:t>
            </w:r>
          </w:p>
        </w:tc>
        <w:tc>
          <w:tcPr>
            <w:tcW w:w="2268" w:type="dxa"/>
            <w:shd w:val="clear" w:color="auto" w:fill="auto"/>
          </w:tcPr>
          <w:p w14:paraId="68C99205" w14:textId="77777777" w:rsidR="00751A4A" w:rsidRPr="0045365D" w:rsidRDefault="00187494" w:rsidP="0010095E">
            <w:pPr>
              <w:pStyle w:val="EPLogo"/>
            </w:pPr>
            <w:r w:rsidRPr="0045365D">
              <w:rPr>
                <w:noProof/>
                <w:lang w:eastAsia="ja-JP"/>
              </w:rPr>
              <w:drawing>
                <wp:inline distT="0" distB="0" distL="0" distR="0" wp14:anchorId="51CC6D80" wp14:editId="2A91B8C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8936CA" w14:textId="77777777" w:rsidR="00D058B8" w:rsidRPr="0045365D" w:rsidRDefault="00D058B8" w:rsidP="004C5D52">
      <w:pPr>
        <w:pStyle w:val="LineTop"/>
      </w:pPr>
    </w:p>
    <w:p w14:paraId="5A07EFA6" w14:textId="77777777" w:rsidR="00680577" w:rsidRPr="0045365D" w:rsidRDefault="004729A4" w:rsidP="00680577">
      <w:pPr>
        <w:pStyle w:val="EPBodyTA1"/>
      </w:pPr>
      <w:r w:rsidRPr="0045365D">
        <w:t>TEXTOS APROBADOS</w:t>
      </w:r>
    </w:p>
    <w:p w14:paraId="7D818E57" w14:textId="77777777" w:rsidR="00D058B8" w:rsidRPr="0045365D" w:rsidRDefault="00D058B8" w:rsidP="00D058B8">
      <w:pPr>
        <w:pStyle w:val="LineBottom"/>
      </w:pPr>
    </w:p>
    <w:p w14:paraId="6E3E940B" w14:textId="7273BCDB" w:rsidR="004729A4" w:rsidRPr="0045365D" w:rsidRDefault="004729A4" w:rsidP="004729A4">
      <w:pPr>
        <w:pStyle w:val="ATHeading1"/>
      </w:pPr>
      <w:bookmarkStart w:id="0" w:name="TANumber"/>
      <w:r w:rsidRPr="0045365D">
        <w:t>P</w:t>
      </w:r>
      <w:r w:rsidR="00090135" w:rsidRPr="0045365D">
        <w:t>10</w:t>
      </w:r>
      <w:r w:rsidRPr="0045365D">
        <w:t>_</w:t>
      </w:r>
      <w:proofErr w:type="gramStart"/>
      <w:r w:rsidRPr="0045365D">
        <w:t>TA(</w:t>
      </w:r>
      <w:proofErr w:type="gramEnd"/>
      <w:r w:rsidRPr="0045365D">
        <w:t>2025)0</w:t>
      </w:r>
      <w:r w:rsidR="005779D7" w:rsidRPr="0045365D">
        <w:t>239</w:t>
      </w:r>
      <w:bookmarkEnd w:id="0"/>
    </w:p>
    <w:p w14:paraId="71C24E53" w14:textId="77777777" w:rsidR="004729A4" w:rsidRPr="0045365D" w:rsidRDefault="004729A4" w:rsidP="004729A4">
      <w:pPr>
        <w:pStyle w:val="ATHeading2"/>
      </w:pPr>
      <w:bookmarkStart w:id="1" w:name="title"/>
      <w:r w:rsidRPr="0045365D">
        <w:t>Estatuto y financiación de los partidos políticos europeos y las fundaciones políticas europeas</w:t>
      </w:r>
      <w:bookmarkEnd w:id="1"/>
    </w:p>
    <w:p w14:paraId="4643A862" w14:textId="34E890A6" w:rsidR="004729A4" w:rsidRPr="0045365D" w:rsidRDefault="004729A4" w:rsidP="004729A4">
      <w:pPr>
        <w:rPr>
          <w:i/>
          <w:vanish/>
        </w:rPr>
      </w:pPr>
      <w:r w:rsidRPr="0045365D">
        <w:rPr>
          <w:i/>
        </w:rPr>
        <w:fldChar w:fldCharType="begin"/>
      </w:r>
      <w:r w:rsidRPr="0045365D">
        <w:rPr>
          <w:i/>
        </w:rPr>
        <w:instrText xml:space="preserve"> TC"(</w:instrText>
      </w:r>
      <w:bookmarkStart w:id="2" w:name="DocNumber"/>
      <w:r w:rsidRPr="0045365D">
        <w:rPr>
          <w:i/>
        </w:rPr>
        <w:instrText>A9-0223/2022</w:instrText>
      </w:r>
      <w:bookmarkEnd w:id="2"/>
      <w:r w:rsidRPr="0045365D">
        <w:rPr>
          <w:i/>
        </w:rPr>
        <w:instrText xml:space="preserve"> - Ponente</w:instrText>
      </w:r>
      <w:r w:rsidR="003A5740" w:rsidRPr="0045365D">
        <w:rPr>
          <w:i/>
        </w:rPr>
        <w:instrText>s</w:instrText>
      </w:r>
      <w:r w:rsidRPr="0045365D">
        <w:rPr>
          <w:i/>
        </w:rPr>
        <w:instrText xml:space="preserve">: </w:instrText>
      </w:r>
      <w:r w:rsidR="00090135" w:rsidRPr="0045365D">
        <w:rPr>
          <w:i/>
          <w:lang w:val="es-ES"/>
        </w:rPr>
        <w:instrText xml:space="preserve">Loránt Vincze, </w:instrText>
      </w:r>
      <w:r w:rsidRPr="0045365D">
        <w:rPr>
          <w:i/>
        </w:rPr>
        <w:instrText xml:space="preserve">Charles Goerens)"\l3 \n&gt; \* MERGEFORMAT </w:instrText>
      </w:r>
      <w:r w:rsidRPr="0045365D">
        <w:rPr>
          <w:i/>
        </w:rPr>
        <w:fldChar w:fldCharType="end"/>
      </w:r>
    </w:p>
    <w:p w14:paraId="2C9F968A" w14:textId="77777777" w:rsidR="004729A4" w:rsidRPr="0045365D" w:rsidRDefault="004729A4" w:rsidP="004729A4">
      <w:pPr>
        <w:rPr>
          <w:vanish/>
        </w:rPr>
      </w:pPr>
      <w:bookmarkStart w:id="3" w:name="Commission"/>
      <w:r w:rsidRPr="0045365D">
        <w:rPr>
          <w:vanish/>
        </w:rPr>
        <w:t>Comisión de Asuntos Constitucionales</w:t>
      </w:r>
      <w:bookmarkEnd w:id="3"/>
    </w:p>
    <w:p w14:paraId="015EE4EF" w14:textId="77777777" w:rsidR="004729A4" w:rsidRPr="0045365D" w:rsidRDefault="004729A4" w:rsidP="004729A4">
      <w:pPr>
        <w:rPr>
          <w:vanish/>
        </w:rPr>
      </w:pPr>
      <w:bookmarkStart w:id="4" w:name="PE"/>
      <w:r w:rsidRPr="0045365D">
        <w:rPr>
          <w:vanish/>
        </w:rPr>
        <w:t>PE719.606</w:t>
      </w:r>
      <w:bookmarkEnd w:id="4"/>
    </w:p>
    <w:p w14:paraId="30814C2A" w14:textId="6FB9D7F1" w:rsidR="004729A4" w:rsidRPr="0045365D" w:rsidRDefault="004729A4" w:rsidP="004729A4">
      <w:pPr>
        <w:pStyle w:val="ATHeading3"/>
      </w:pPr>
      <w:bookmarkStart w:id="5" w:name="Sujet"/>
      <w:r w:rsidRPr="0045365D">
        <w:t xml:space="preserve">Resolución legislativa del Parlamento Europeo, de 21 de octubre de 2025, sobre la propuesta de Reglamento del Parlamento Europeo y del Consejo sobre el estatuto y la financiación de los partidos políticos europeos y las fundaciones políticas europeas (refundición) </w:t>
      </w:r>
      <w:bookmarkStart w:id="6" w:name="References"/>
      <w:bookmarkEnd w:id="5"/>
      <w:r w:rsidRPr="0045365D">
        <w:t>(</w:t>
      </w:r>
      <w:proofErr w:type="gramStart"/>
      <w:r w:rsidRPr="0045365D">
        <w:t>COM(</w:t>
      </w:r>
      <w:proofErr w:type="gramEnd"/>
      <w:r w:rsidRPr="0045365D">
        <w:t>2021)0734 – C9-0432/2021 – 2021/0375(COD))</w:t>
      </w:r>
      <w:bookmarkEnd w:id="6"/>
    </w:p>
    <w:p w14:paraId="6B53A898" w14:textId="77777777" w:rsidR="004729A4" w:rsidRPr="0045365D" w:rsidRDefault="004729A4" w:rsidP="004729A4"/>
    <w:p w14:paraId="33147E76" w14:textId="77777777" w:rsidR="00744F17" w:rsidRPr="0045365D" w:rsidRDefault="00744F17" w:rsidP="00744F17">
      <w:pPr>
        <w:pStyle w:val="NormalBold"/>
      </w:pPr>
      <w:bookmarkStart w:id="7" w:name="TextBodyBegin"/>
      <w:bookmarkEnd w:id="7"/>
      <w:r w:rsidRPr="0045365D">
        <w:t>(Procedimiento legislativo ordinario – refundición)</w:t>
      </w:r>
    </w:p>
    <w:p w14:paraId="3444475D" w14:textId="77777777" w:rsidR="00744F17" w:rsidRPr="0045365D" w:rsidRDefault="00744F17" w:rsidP="00744F17">
      <w:pPr>
        <w:pStyle w:val="EPComma"/>
      </w:pPr>
      <w:r w:rsidRPr="0045365D">
        <w:rPr>
          <w:i/>
          <w:iCs/>
        </w:rPr>
        <w:t>El Parlamento Europeo</w:t>
      </w:r>
      <w:r w:rsidRPr="0045365D">
        <w:t>,</w:t>
      </w:r>
    </w:p>
    <w:p w14:paraId="3A72941A" w14:textId="77777777" w:rsidR="00744F17" w:rsidRPr="0045365D" w:rsidRDefault="00744F17" w:rsidP="00744F17">
      <w:pPr>
        <w:pStyle w:val="NormalHanging12a"/>
      </w:pPr>
      <w:r w:rsidRPr="0045365D">
        <w:t>–</w:t>
      </w:r>
      <w:r w:rsidRPr="0045365D">
        <w:tab/>
        <w:t>Vista la propuesta de la Comisión al Parlamento Europeo y al Consejo (</w:t>
      </w:r>
      <w:proofErr w:type="gramStart"/>
      <w:r w:rsidRPr="0045365D">
        <w:t>COM(</w:t>
      </w:r>
      <w:proofErr w:type="gramEnd"/>
      <w:r w:rsidRPr="0045365D">
        <w:t>2021)0734),</w:t>
      </w:r>
    </w:p>
    <w:p w14:paraId="58A870B3" w14:textId="77777777" w:rsidR="00744F17" w:rsidRPr="0045365D" w:rsidRDefault="00744F17" w:rsidP="00744F17">
      <w:pPr>
        <w:pStyle w:val="NormalHanging12a"/>
      </w:pPr>
      <w:r w:rsidRPr="0045365D">
        <w:t>–</w:t>
      </w:r>
      <w:r w:rsidRPr="0045365D">
        <w:tab/>
        <w:t>Vistos el artículo 294, apartado 2, y el artículo 224 del Tratado de Funcionamiento de la Unión Europea, así como el artículo 106 bis del Tratado constitutivo de la Comunidad Europea de la Energía Atómica, conforme a los cuales la Comisión le ha presentado su propuesta (C9</w:t>
      </w:r>
      <w:r w:rsidRPr="0045365D">
        <w:noBreakHyphen/>
      </w:r>
      <w:r w:rsidRPr="0045365D">
        <w:rPr>
          <w:snapToGrid w:val="0"/>
        </w:rPr>
        <w:t>0432/2021</w:t>
      </w:r>
      <w:r w:rsidRPr="0045365D">
        <w:t>),</w:t>
      </w:r>
    </w:p>
    <w:p w14:paraId="50F87943" w14:textId="77777777" w:rsidR="00744F17" w:rsidRPr="0045365D" w:rsidRDefault="00744F17" w:rsidP="00744F17">
      <w:pPr>
        <w:pStyle w:val="NormalHanging12a"/>
      </w:pPr>
      <w:r w:rsidRPr="0045365D">
        <w:t>–</w:t>
      </w:r>
      <w:r w:rsidRPr="0045365D">
        <w:tab/>
        <w:t>Visto el artículo 294, apartado 3, del Tratado de Funcionamiento de la Unión Europea,</w:t>
      </w:r>
    </w:p>
    <w:p w14:paraId="6750F14E" w14:textId="5901F1F1" w:rsidR="00744F17" w:rsidRPr="0045365D" w:rsidRDefault="00744F17" w:rsidP="00744F17">
      <w:pPr>
        <w:pStyle w:val="NormalHanging12a"/>
      </w:pPr>
      <w:r w:rsidRPr="0045365D">
        <w:t>–</w:t>
      </w:r>
      <w:r w:rsidRPr="0045365D">
        <w:tab/>
        <w:t>Visto el dictamen del Tribunal de Cuentas de 7 de abril de 2022</w:t>
      </w:r>
      <w:r w:rsidRPr="0045365D">
        <w:rPr>
          <w:rStyle w:val="FootnoteReference"/>
        </w:rPr>
        <w:footnoteReference w:id="1"/>
      </w:r>
      <w:r w:rsidRPr="0045365D">
        <w:t>,</w:t>
      </w:r>
    </w:p>
    <w:p w14:paraId="274621BE" w14:textId="602F6D92" w:rsidR="00744F17" w:rsidRPr="0045365D" w:rsidRDefault="00744F17" w:rsidP="00744F17">
      <w:pPr>
        <w:pStyle w:val="NormalHanging12a"/>
      </w:pPr>
      <w:r w:rsidRPr="0045365D">
        <w:t>–</w:t>
      </w:r>
      <w:r w:rsidRPr="0045365D">
        <w:tab/>
        <w:t xml:space="preserve">Visto el dictamen del Comité Económico y Social Europeo de </w:t>
      </w:r>
      <w:r w:rsidR="00090135" w:rsidRPr="0045365D">
        <w:t>23 de febrero de 2022</w:t>
      </w:r>
      <w:r w:rsidR="00090135" w:rsidRPr="0045365D">
        <w:rPr>
          <w:rStyle w:val="FootnoteReference"/>
        </w:rPr>
        <w:footnoteReference w:id="2"/>
      </w:r>
      <w:r w:rsidRPr="0045365D">
        <w:t>,</w:t>
      </w:r>
    </w:p>
    <w:p w14:paraId="488938C9" w14:textId="168B51DC" w:rsidR="00744F17" w:rsidRPr="0045365D" w:rsidRDefault="00744F17" w:rsidP="00744F17">
      <w:pPr>
        <w:pStyle w:val="NormalHanging12a"/>
      </w:pPr>
      <w:r w:rsidRPr="0045365D">
        <w:t>–</w:t>
      </w:r>
      <w:r w:rsidRPr="0045365D">
        <w:tab/>
        <w:t>Visto el dictamen del Comité de las Regiones de 28 de abril de 2022</w:t>
      </w:r>
      <w:r w:rsidRPr="0045365D">
        <w:rPr>
          <w:rStyle w:val="FootnoteReference"/>
        </w:rPr>
        <w:footnoteReference w:id="3"/>
      </w:r>
      <w:r w:rsidRPr="0045365D">
        <w:t>,</w:t>
      </w:r>
    </w:p>
    <w:p w14:paraId="53544ACA" w14:textId="77777777" w:rsidR="00744F17" w:rsidRPr="0045365D" w:rsidRDefault="00744F17" w:rsidP="00744F17">
      <w:pPr>
        <w:pStyle w:val="NormalHanging12a"/>
      </w:pPr>
      <w:r w:rsidRPr="0045365D">
        <w:t>–</w:t>
      </w:r>
      <w:r w:rsidRPr="0045365D">
        <w:tab/>
      </w:r>
      <w:r w:rsidRPr="0045365D">
        <w:rPr>
          <w:snapToGrid w:val="0"/>
        </w:rPr>
        <w:t>Visto el Acuerdo Interinstitucional, de 28 de noviembre de 2001, para un recurso más estructurado a la técnica de la refundición de los actos jurídicos</w:t>
      </w:r>
      <w:r w:rsidRPr="0045365D">
        <w:rPr>
          <w:rStyle w:val="FootnoteReference"/>
          <w:snapToGrid w:val="0"/>
          <w:szCs w:val="24"/>
        </w:rPr>
        <w:footnoteReference w:id="4"/>
      </w:r>
      <w:r w:rsidRPr="0045365D">
        <w:rPr>
          <w:snapToGrid w:val="0"/>
        </w:rPr>
        <w:t>,</w:t>
      </w:r>
    </w:p>
    <w:p w14:paraId="63C60411" w14:textId="79D013E6" w:rsidR="00744F17" w:rsidRPr="0045365D" w:rsidRDefault="00744F17" w:rsidP="00744F17">
      <w:pPr>
        <w:pStyle w:val="NormalHanging12a"/>
        <w:rPr>
          <w:snapToGrid w:val="0"/>
        </w:rPr>
      </w:pPr>
      <w:r w:rsidRPr="0045365D">
        <w:t>–</w:t>
      </w:r>
      <w:r w:rsidRPr="0045365D">
        <w:tab/>
      </w:r>
      <w:r w:rsidRPr="0045365D">
        <w:rPr>
          <w:snapToGrid w:val="0"/>
        </w:rPr>
        <w:t>Vista la carta dirigida el 16 de junio de 2022 por la Comisión de Asuntos Jurídicos a la Comisión de Asuntos Constitucionales, de conformidad con el artículo 11</w:t>
      </w:r>
      <w:r w:rsidR="00656A6A" w:rsidRPr="0045365D">
        <w:rPr>
          <w:snapToGrid w:val="0"/>
        </w:rPr>
        <w:t>3</w:t>
      </w:r>
      <w:r w:rsidRPr="0045365D">
        <w:rPr>
          <w:snapToGrid w:val="0"/>
        </w:rPr>
        <w:t>, apartado 3, de su Reglamento interno,</w:t>
      </w:r>
    </w:p>
    <w:p w14:paraId="2AF8D802" w14:textId="2AB2AA47" w:rsidR="00E4223A" w:rsidRPr="0045365D" w:rsidRDefault="00E4223A" w:rsidP="00744F17">
      <w:pPr>
        <w:pStyle w:val="NormalHanging12a"/>
      </w:pPr>
      <w:r w:rsidRPr="0045365D">
        <w:t>–</w:t>
      </w:r>
      <w:r w:rsidRPr="0045365D">
        <w:tab/>
        <w:t xml:space="preserve">Vistos el acuerdo provisional aprobado por la comisión competente con arreglo al </w:t>
      </w:r>
      <w:r w:rsidRPr="0045365D">
        <w:lastRenderedPageBreak/>
        <w:t>artículo 75, apartado 4, de su Reglamento interno y el compromiso asumido por el representante del Consejo, mediante carta de 9 de julio de 2025, de aprobar la Posición del Parlamento Europeo, de conformidad con el artículo 294, apartado 4, del Tratado de Funcionamiento de la Unión Europea,</w:t>
      </w:r>
    </w:p>
    <w:p w14:paraId="3E96F477" w14:textId="75D431AB" w:rsidR="00744F17" w:rsidRPr="0045365D" w:rsidRDefault="00744F17" w:rsidP="00744F17">
      <w:pPr>
        <w:pStyle w:val="NormalHanging12a"/>
      </w:pPr>
      <w:r w:rsidRPr="0045365D">
        <w:t>–</w:t>
      </w:r>
      <w:r w:rsidRPr="0045365D">
        <w:tab/>
        <w:t>Vistos los artículos 11</w:t>
      </w:r>
      <w:r w:rsidR="00090135" w:rsidRPr="0045365D">
        <w:t>3</w:t>
      </w:r>
      <w:r w:rsidRPr="0045365D">
        <w:t xml:space="preserve"> y </w:t>
      </w:r>
      <w:r w:rsidR="00090135" w:rsidRPr="0045365D">
        <w:t>60</w:t>
      </w:r>
      <w:r w:rsidRPr="0045365D">
        <w:t xml:space="preserve"> de su Reglamento interno,</w:t>
      </w:r>
    </w:p>
    <w:p w14:paraId="402D4F79" w14:textId="77777777" w:rsidR="00744F17" w:rsidRPr="0045365D" w:rsidRDefault="00744F17" w:rsidP="00744F17">
      <w:pPr>
        <w:pStyle w:val="NormalHanging12a"/>
      </w:pPr>
      <w:r w:rsidRPr="0045365D">
        <w:t>–</w:t>
      </w:r>
      <w:r w:rsidRPr="0045365D">
        <w:tab/>
        <w:t>Vista la opinión de la Comisión de Presupuestos,</w:t>
      </w:r>
    </w:p>
    <w:p w14:paraId="254EB16C" w14:textId="77777777" w:rsidR="00744F17" w:rsidRPr="0045365D" w:rsidRDefault="00744F17" w:rsidP="00744F17">
      <w:pPr>
        <w:pStyle w:val="NormalHanging12a"/>
      </w:pPr>
      <w:r w:rsidRPr="0045365D">
        <w:t>–</w:t>
      </w:r>
      <w:r w:rsidRPr="0045365D">
        <w:tab/>
        <w:t>Visto el informe de la Comisión de Asuntos Constitucionales (A9-0223/2022),</w:t>
      </w:r>
    </w:p>
    <w:p w14:paraId="56F93541" w14:textId="77777777" w:rsidR="00744F17" w:rsidRPr="0045365D" w:rsidRDefault="00744F17" w:rsidP="00744F17">
      <w:pPr>
        <w:pStyle w:val="NormalHanging12a"/>
      </w:pPr>
      <w:r w:rsidRPr="0045365D">
        <w:t>A.</w:t>
      </w:r>
      <w:r w:rsidRPr="0045365D">
        <w:tab/>
      </w:r>
      <w:r w:rsidRPr="0045365D">
        <w:rPr>
          <w:snapToGrid w:val="0"/>
        </w:rPr>
        <w:t>Considerando que, según el grupo consultivo de los Servicios Jurídicos del Parlamento Europeo, del Consejo y de la Comisión, la propuesta de la Comisión no contiene ninguna modificación de fondo aparte de las señaladas como tales en ella, y que, en lo que se refiere a la codificación de las disposiciones inalteradas de los actos anteriores junto con dichas modificaciones, la propuesta se limita a una codificación pura y simple de los textos existentes, sin ninguna modificación sustancial de estos;</w:t>
      </w:r>
    </w:p>
    <w:p w14:paraId="317CE138" w14:textId="77777777" w:rsidR="00744F17" w:rsidRPr="0045365D" w:rsidRDefault="00744F17" w:rsidP="00744F17">
      <w:pPr>
        <w:pStyle w:val="NormalHanging12a"/>
      </w:pPr>
      <w:r w:rsidRPr="0045365D">
        <w:t>1.</w:t>
      </w:r>
      <w:r w:rsidRPr="0045365D">
        <w:tab/>
        <w:t>Aprueba la Posición en primera lectura que figura a continuación, teniendo en cuenta las recomendaciones del grupo consultivo de los Servicios Jurídicos del Parlamento Europeo, del Consejo y de la Comisión;</w:t>
      </w:r>
    </w:p>
    <w:p w14:paraId="1ED8FCAF" w14:textId="77777777" w:rsidR="00744F17" w:rsidRPr="0045365D" w:rsidRDefault="00744F17" w:rsidP="00744F17">
      <w:pPr>
        <w:pStyle w:val="NormalHanging12a"/>
      </w:pPr>
      <w:r w:rsidRPr="0045365D">
        <w:t>2.</w:t>
      </w:r>
      <w:r w:rsidRPr="0045365D">
        <w:tab/>
        <w:t>Pide a la Comisión que le consulte de nuevo si sustituye su propuesta, la modifica sustancialmente o se propone modificarla sustancialmente;</w:t>
      </w:r>
    </w:p>
    <w:p w14:paraId="0562892A" w14:textId="6A4ADFEF" w:rsidR="00C00261" w:rsidRPr="0045365D" w:rsidRDefault="00744F17" w:rsidP="00C00261">
      <w:pPr>
        <w:pStyle w:val="NormalHanging12a"/>
      </w:pPr>
      <w:r w:rsidRPr="0045365D">
        <w:t>3.</w:t>
      </w:r>
      <w:r w:rsidRPr="0045365D">
        <w:tab/>
        <w:t>Encarga a su presidenta que transmita la Posición del Parlamento al Consejo y a la Comisión, así como a los Parlamentos nacionales.</w:t>
      </w:r>
    </w:p>
    <w:p w14:paraId="6FB0786F" w14:textId="77777777" w:rsidR="00090135" w:rsidRPr="0045365D" w:rsidRDefault="00090135" w:rsidP="004729A4">
      <w:pPr>
        <w:sectPr w:rsidR="00090135" w:rsidRPr="0045365D" w:rsidSect="00C0026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A4B0E20" w14:textId="16C23289" w:rsidR="00E4223A" w:rsidRPr="0045365D" w:rsidRDefault="00E4223A" w:rsidP="00E4223A">
      <w:pPr>
        <w:pStyle w:val="Normal12Hanging"/>
        <w:ind w:left="0" w:firstLine="0"/>
        <w:jc w:val="both"/>
        <w:rPr>
          <w:b/>
          <w:lang w:val="es-ES"/>
        </w:rPr>
      </w:pPr>
      <w:r w:rsidRPr="0045365D">
        <w:rPr>
          <w:b/>
          <w:lang w:val="es-ES"/>
        </w:rPr>
        <w:lastRenderedPageBreak/>
        <w:t>P10_TC1-</w:t>
      </w:r>
      <w:proofErr w:type="gramStart"/>
      <w:r w:rsidRPr="0045365D">
        <w:rPr>
          <w:b/>
          <w:lang w:val="es-ES"/>
        </w:rPr>
        <w:t>COD(</w:t>
      </w:r>
      <w:proofErr w:type="gramEnd"/>
      <w:r w:rsidRPr="0045365D">
        <w:rPr>
          <w:b/>
          <w:lang w:val="es-ES"/>
        </w:rPr>
        <w:t>2021)0375</w:t>
      </w:r>
    </w:p>
    <w:p w14:paraId="0B3A24FD" w14:textId="55A33AF5" w:rsidR="00090135" w:rsidRPr="0045365D" w:rsidRDefault="00E4223A" w:rsidP="008300EC">
      <w:pPr>
        <w:widowControl/>
        <w:rPr>
          <w:rFonts w:eastAsia="Calibri"/>
          <w:b/>
          <w:noProof/>
          <w:szCs w:val="24"/>
          <w:lang w:eastAsia="en-US"/>
        </w:rPr>
      </w:pPr>
      <w:r w:rsidRPr="0045365D">
        <w:rPr>
          <w:b/>
        </w:rPr>
        <w:t>Posición del Parlamento Europeo aprobada en primera lectura el 21 de octubre de 2025 con vistas a la adopción del Reglamento (UE</w:t>
      </w:r>
      <w:r w:rsidR="00E6172A">
        <w:rPr>
          <w:b/>
        </w:rPr>
        <w:t>, Euratom</w:t>
      </w:r>
      <w:r w:rsidRPr="0045365D">
        <w:rPr>
          <w:b/>
        </w:rPr>
        <w:t xml:space="preserve">) 2025/... del Parlamento Europeo y del Consejo </w:t>
      </w:r>
      <w:r w:rsidR="00090135" w:rsidRPr="0045365D">
        <w:rPr>
          <w:rFonts w:eastAsia="Calibri"/>
          <w:b/>
          <w:szCs w:val="22"/>
          <w:lang w:eastAsia="en-US"/>
        </w:rPr>
        <w:t>sobre el estatuto y la financiación de los partidos políticos europeos y las fundaciones políticas europeas</w:t>
      </w:r>
      <w:r w:rsidR="008300EC" w:rsidRPr="0045365D">
        <w:rPr>
          <w:rFonts w:eastAsia="Calibri"/>
          <w:b/>
          <w:szCs w:val="22"/>
          <w:lang w:eastAsia="en-US"/>
        </w:rPr>
        <w:t xml:space="preserve"> </w:t>
      </w:r>
      <w:r w:rsidR="00090135" w:rsidRPr="0045365D">
        <w:rPr>
          <w:rFonts w:eastAsia="Calibri"/>
          <w:b/>
          <w:szCs w:val="22"/>
          <w:lang w:eastAsia="en-US"/>
        </w:rPr>
        <w:t>(versión refundida)</w:t>
      </w:r>
    </w:p>
    <w:p w14:paraId="4898B863" w14:textId="252D00C3" w:rsidR="00E6172A" w:rsidRPr="00E6172A" w:rsidRDefault="00E6172A" w:rsidP="00E6172A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definitivo, </w:t>
      </w:r>
      <w:r w:rsidRPr="00E6172A">
        <w:rPr>
          <w:i/>
          <w:lang w:val="es-ES_tradnl"/>
        </w:rPr>
        <w:t>el Reglamento (UE</w:t>
      </w:r>
      <w:r w:rsidRPr="00E6172A">
        <w:rPr>
          <w:i/>
          <w:lang w:val="es-ES_tradnl"/>
        </w:rPr>
        <w:t>, Euratom</w:t>
      </w:r>
      <w:r w:rsidRPr="00E6172A">
        <w:rPr>
          <w:i/>
          <w:lang w:val="es-ES_tradnl"/>
        </w:rPr>
        <w:t>) 202</w:t>
      </w:r>
      <w:r>
        <w:rPr>
          <w:i/>
          <w:lang w:val="es-ES_tradnl"/>
        </w:rPr>
        <w:t>5</w:t>
      </w:r>
      <w:r w:rsidRPr="00E6172A">
        <w:rPr>
          <w:i/>
          <w:lang w:val="es-ES_tradnl"/>
        </w:rPr>
        <w:t>/</w:t>
      </w:r>
      <w:r>
        <w:rPr>
          <w:i/>
          <w:lang w:val="es-ES_tradnl"/>
        </w:rPr>
        <w:t>2445</w:t>
      </w:r>
      <w:r w:rsidRPr="00E6172A">
        <w:rPr>
          <w:i/>
          <w:lang w:val="es-ES_tradnl"/>
        </w:rPr>
        <w:t>.)</w:t>
      </w:r>
    </w:p>
    <w:sectPr w:rsidR="00E6172A" w:rsidRPr="00E6172A" w:rsidSect="00C00261">
      <w:footerReference w:type="default" r:id="rId9"/>
      <w:footerReference w:type="first" r:id="rId1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46A16" w14:textId="77777777" w:rsidR="004729A4" w:rsidRPr="00C00261" w:rsidRDefault="004729A4">
      <w:r w:rsidRPr="00C00261">
        <w:separator/>
      </w:r>
    </w:p>
  </w:endnote>
  <w:endnote w:type="continuationSeparator" w:id="0">
    <w:p w14:paraId="7D9C5A99" w14:textId="77777777" w:rsidR="004729A4" w:rsidRPr="00C00261" w:rsidRDefault="004729A4">
      <w:r w:rsidRPr="00C002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7A7AE" w14:textId="1CBF0666" w:rsidR="00090135" w:rsidRPr="00090135" w:rsidRDefault="00090135" w:rsidP="000901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CB706" w14:textId="77777777" w:rsidR="00090135" w:rsidRPr="00F134F1" w:rsidRDefault="00090135" w:rsidP="00FC2F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9ECF6" w14:textId="77777777" w:rsidR="004729A4" w:rsidRPr="00C00261" w:rsidRDefault="004729A4">
      <w:r w:rsidRPr="00C00261">
        <w:separator/>
      </w:r>
    </w:p>
  </w:footnote>
  <w:footnote w:type="continuationSeparator" w:id="0">
    <w:p w14:paraId="122A5A39" w14:textId="77777777" w:rsidR="004729A4" w:rsidRPr="00C00261" w:rsidRDefault="004729A4">
      <w:r w:rsidRPr="00C00261">
        <w:continuationSeparator/>
      </w:r>
    </w:p>
  </w:footnote>
  <w:footnote w:id="1">
    <w:p w14:paraId="725A1F92" w14:textId="6882592A" w:rsidR="00744F17" w:rsidRPr="005779D7" w:rsidRDefault="00744F17" w:rsidP="00C00261">
      <w:pPr>
        <w:pStyle w:val="FootnoteText"/>
        <w:ind w:left="567" w:hanging="567"/>
        <w:rPr>
          <w:sz w:val="24"/>
          <w:szCs w:val="24"/>
          <w:lang w:val="pt-PT"/>
        </w:rPr>
      </w:pPr>
      <w:r w:rsidRPr="00E4223A">
        <w:rPr>
          <w:rStyle w:val="FootnoteReference"/>
          <w:sz w:val="24"/>
          <w:szCs w:val="24"/>
          <w:lang w:val="es-ES_tradnl"/>
        </w:rPr>
        <w:footnoteRef/>
      </w:r>
      <w:r w:rsidR="00C00261" w:rsidRPr="005779D7">
        <w:rPr>
          <w:sz w:val="24"/>
          <w:szCs w:val="24"/>
          <w:lang w:val="pt-PT"/>
        </w:rPr>
        <w:t xml:space="preserve"> </w:t>
      </w:r>
      <w:r w:rsidR="00C00261" w:rsidRPr="005779D7">
        <w:rPr>
          <w:sz w:val="24"/>
          <w:szCs w:val="24"/>
          <w:lang w:val="pt-PT"/>
        </w:rPr>
        <w:tab/>
      </w:r>
      <w:r w:rsidR="00090135" w:rsidRPr="005779D7">
        <w:rPr>
          <w:sz w:val="24"/>
          <w:szCs w:val="24"/>
          <w:lang w:val="pt-PT"/>
        </w:rPr>
        <w:t>DO C 182 de 4.5.2022, p. 14</w:t>
      </w:r>
      <w:r w:rsidRPr="005779D7">
        <w:rPr>
          <w:sz w:val="24"/>
          <w:szCs w:val="24"/>
          <w:lang w:val="pt-PT"/>
        </w:rPr>
        <w:t>.</w:t>
      </w:r>
    </w:p>
  </w:footnote>
  <w:footnote w:id="2">
    <w:p w14:paraId="3BB7DD2F" w14:textId="25EE0506" w:rsidR="00090135" w:rsidRPr="005779D7" w:rsidRDefault="00090135" w:rsidP="005779D7">
      <w:pPr>
        <w:pStyle w:val="FootnoteText"/>
        <w:ind w:left="567" w:hanging="567"/>
        <w:rPr>
          <w:sz w:val="24"/>
          <w:szCs w:val="24"/>
          <w:lang w:val="pt-PT"/>
        </w:rPr>
      </w:pPr>
      <w:r w:rsidRPr="005779D7">
        <w:rPr>
          <w:rStyle w:val="FootnoteReference"/>
          <w:sz w:val="24"/>
          <w:szCs w:val="24"/>
        </w:rPr>
        <w:footnoteRef/>
      </w:r>
      <w:r w:rsidRPr="005779D7">
        <w:rPr>
          <w:sz w:val="24"/>
          <w:szCs w:val="24"/>
          <w:lang w:val="pt-PT"/>
        </w:rPr>
        <w:t xml:space="preserve"> </w:t>
      </w:r>
      <w:r w:rsidRPr="005779D7">
        <w:rPr>
          <w:sz w:val="24"/>
          <w:szCs w:val="24"/>
          <w:lang w:val="pt-PT"/>
        </w:rPr>
        <w:tab/>
        <w:t>DO C 275 de 18.7.2022, p. 66.</w:t>
      </w:r>
    </w:p>
  </w:footnote>
  <w:footnote w:id="3">
    <w:p w14:paraId="067A1C74" w14:textId="6BA39DC3" w:rsidR="00744F17" w:rsidRPr="005779D7" w:rsidRDefault="00744F17" w:rsidP="00C00261">
      <w:pPr>
        <w:pStyle w:val="FootnoteText"/>
        <w:ind w:left="567" w:hanging="567"/>
        <w:rPr>
          <w:sz w:val="24"/>
          <w:szCs w:val="24"/>
          <w:lang w:val="pt-PT"/>
        </w:rPr>
      </w:pPr>
      <w:r w:rsidRPr="00E4223A">
        <w:rPr>
          <w:rStyle w:val="FootnoteReference"/>
          <w:sz w:val="24"/>
          <w:szCs w:val="24"/>
          <w:lang w:val="es-ES_tradnl"/>
        </w:rPr>
        <w:footnoteRef/>
      </w:r>
      <w:r w:rsidR="00C00261" w:rsidRPr="005779D7">
        <w:rPr>
          <w:sz w:val="24"/>
          <w:szCs w:val="24"/>
          <w:lang w:val="pt-PT"/>
        </w:rPr>
        <w:t xml:space="preserve"> </w:t>
      </w:r>
      <w:r w:rsidR="00C00261" w:rsidRPr="005779D7">
        <w:rPr>
          <w:sz w:val="24"/>
          <w:szCs w:val="24"/>
          <w:lang w:val="pt-PT"/>
        </w:rPr>
        <w:tab/>
      </w:r>
      <w:r w:rsidR="00090135" w:rsidRPr="005779D7">
        <w:rPr>
          <w:sz w:val="24"/>
          <w:szCs w:val="24"/>
          <w:lang w:val="pt-PT"/>
        </w:rPr>
        <w:t>DO C 301 de 5.8.2022, p. 102</w:t>
      </w:r>
      <w:r w:rsidRPr="005779D7">
        <w:rPr>
          <w:sz w:val="24"/>
          <w:szCs w:val="24"/>
          <w:lang w:val="pt-PT"/>
        </w:rPr>
        <w:t>.</w:t>
      </w:r>
    </w:p>
  </w:footnote>
  <w:footnote w:id="4">
    <w:p w14:paraId="15A23DB9" w14:textId="7EE82531" w:rsidR="00744F17" w:rsidRPr="005779D7" w:rsidRDefault="00744F17" w:rsidP="00C00261">
      <w:pPr>
        <w:pStyle w:val="FootnoteText"/>
        <w:ind w:left="567" w:hanging="567"/>
        <w:rPr>
          <w:sz w:val="24"/>
          <w:szCs w:val="24"/>
          <w:lang w:val="pt-PT"/>
        </w:rPr>
      </w:pPr>
      <w:r w:rsidRPr="00E4223A">
        <w:rPr>
          <w:rStyle w:val="FootnoteReference"/>
          <w:sz w:val="24"/>
          <w:szCs w:val="24"/>
          <w:lang w:val="es-ES_tradnl"/>
        </w:rPr>
        <w:footnoteRef/>
      </w:r>
      <w:r w:rsidR="00C00261" w:rsidRPr="005779D7">
        <w:rPr>
          <w:sz w:val="24"/>
          <w:szCs w:val="24"/>
          <w:lang w:val="pt-PT"/>
        </w:rPr>
        <w:t xml:space="preserve"> </w:t>
      </w:r>
      <w:r w:rsidR="00C00261" w:rsidRPr="005779D7">
        <w:rPr>
          <w:sz w:val="24"/>
          <w:szCs w:val="24"/>
          <w:lang w:val="pt-PT"/>
        </w:rPr>
        <w:tab/>
      </w:r>
      <w:r w:rsidRPr="005779D7">
        <w:rPr>
          <w:sz w:val="24"/>
          <w:szCs w:val="24"/>
          <w:lang w:val="pt-PT"/>
        </w:rPr>
        <w:t>DO C 77 de 28.3.20</w:t>
      </w:r>
      <w:r w:rsidR="00CE5038">
        <w:rPr>
          <w:sz w:val="24"/>
          <w:szCs w:val="24"/>
          <w:lang w:val="pt-PT"/>
        </w:rPr>
        <w:t>0</w:t>
      </w:r>
      <w:r w:rsidRPr="005779D7">
        <w:rPr>
          <w:sz w:val="24"/>
          <w:szCs w:val="24"/>
          <w:lang w:val="pt-PT"/>
        </w:rPr>
        <w:t>2, p.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CBE4812"/>
    <w:multiLevelType w:val="singleLevel"/>
    <w:tmpl w:val="FDFEB9B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color w:val="auto"/>
      </w:rPr>
    </w:lvl>
  </w:abstractNum>
  <w:num w:numId="1" w16cid:durableId="1379667759">
    <w:abstractNumId w:val="0"/>
  </w:num>
  <w:num w:numId="2" w16cid:durableId="114644205">
    <w:abstractNumId w:val="6"/>
  </w:num>
  <w:num w:numId="3" w16cid:durableId="604266497">
    <w:abstractNumId w:val="16"/>
  </w:num>
  <w:num w:numId="4" w16cid:durableId="1386415615">
    <w:abstractNumId w:val="5"/>
  </w:num>
  <w:num w:numId="5" w16cid:durableId="374892692">
    <w:abstractNumId w:val="7"/>
    <w:lvlOverride w:ilvl="0">
      <w:startOverride w:val="1"/>
    </w:lvlOverride>
  </w:num>
  <w:num w:numId="6" w16cid:durableId="1132946027">
    <w:abstractNumId w:val="14"/>
  </w:num>
  <w:num w:numId="7" w16cid:durableId="1662276080">
    <w:abstractNumId w:val="15"/>
  </w:num>
  <w:num w:numId="8" w16cid:durableId="1176117891">
    <w:abstractNumId w:val="4"/>
  </w:num>
  <w:num w:numId="9" w16cid:durableId="1822964334">
    <w:abstractNumId w:val="8"/>
  </w:num>
  <w:num w:numId="10" w16cid:durableId="1709989863">
    <w:abstractNumId w:val="2"/>
  </w:num>
  <w:num w:numId="11" w16cid:durableId="1506700194">
    <w:abstractNumId w:val="1"/>
  </w:num>
  <w:num w:numId="12" w16cid:durableId="888110184">
    <w:abstractNumId w:val="10"/>
  </w:num>
  <w:num w:numId="13" w16cid:durableId="54208376">
    <w:abstractNumId w:val="12"/>
  </w:num>
  <w:num w:numId="14" w16cid:durableId="237792357">
    <w:abstractNumId w:val="13"/>
  </w:num>
  <w:num w:numId="15" w16cid:durableId="2064789199">
    <w:abstractNumId w:val="3"/>
  </w:num>
  <w:num w:numId="16" w16cid:durableId="1867448726">
    <w:abstractNumId w:val="11"/>
  </w:num>
  <w:num w:numId="17" w16cid:durableId="189839961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223/2022"/>
    <w:docVar w:name="dvlangue" w:val="ES"/>
    <w:docVar w:name="dvnumam" w:val="153"/>
    <w:docVar w:name="dvpe" w:val="719.606"/>
    <w:docVar w:name="dvrapporteur" w:val="Ponente: "/>
    <w:docVar w:name="dvstar" w:val="***I"/>
    <w:docVar w:name="dvtitre" w:val="Resolución legislativa del Parlamento Europeo, de 21 de octubre de 2025, sobre la propuesta de Reglamento del Parlamento Europeo y del Consejo sobre el estatuto y la financiación de los partidos políticos europeos y las fundaciones políticas europeas (refundición) (COM(2021)0734 – C9-0432/2021 – 2021/0375(COD))"/>
  </w:docVars>
  <w:rsids>
    <w:rsidRoot w:val="004729A4"/>
    <w:rsid w:val="00002272"/>
    <w:rsid w:val="00064002"/>
    <w:rsid w:val="000677B9"/>
    <w:rsid w:val="000831BA"/>
    <w:rsid w:val="00090135"/>
    <w:rsid w:val="000A42CC"/>
    <w:rsid w:val="000E7DD9"/>
    <w:rsid w:val="0010095E"/>
    <w:rsid w:val="00125B37"/>
    <w:rsid w:val="00187494"/>
    <w:rsid w:val="001F2FC1"/>
    <w:rsid w:val="001F32AE"/>
    <w:rsid w:val="00256978"/>
    <w:rsid w:val="002767FF"/>
    <w:rsid w:val="002B18FE"/>
    <w:rsid w:val="002B5493"/>
    <w:rsid w:val="00343214"/>
    <w:rsid w:val="00361C00"/>
    <w:rsid w:val="00395FA1"/>
    <w:rsid w:val="003A5740"/>
    <w:rsid w:val="003E15D4"/>
    <w:rsid w:val="00411CCE"/>
    <w:rsid w:val="0041666E"/>
    <w:rsid w:val="00421060"/>
    <w:rsid w:val="0045365D"/>
    <w:rsid w:val="00471C19"/>
    <w:rsid w:val="004729A4"/>
    <w:rsid w:val="004867E3"/>
    <w:rsid w:val="00494A28"/>
    <w:rsid w:val="004C0004"/>
    <w:rsid w:val="004C5D52"/>
    <w:rsid w:val="004E72A4"/>
    <w:rsid w:val="0050519A"/>
    <w:rsid w:val="005072A1"/>
    <w:rsid w:val="00514517"/>
    <w:rsid w:val="00545827"/>
    <w:rsid w:val="00560270"/>
    <w:rsid w:val="005779D7"/>
    <w:rsid w:val="005C2568"/>
    <w:rsid w:val="005F1B17"/>
    <w:rsid w:val="006037C0"/>
    <w:rsid w:val="00656A6A"/>
    <w:rsid w:val="006631B6"/>
    <w:rsid w:val="00680577"/>
    <w:rsid w:val="006F74FA"/>
    <w:rsid w:val="00721368"/>
    <w:rsid w:val="00731ADD"/>
    <w:rsid w:val="00734777"/>
    <w:rsid w:val="00744F17"/>
    <w:rsid w:val="00747932"/>
    <w:rsid w:val="00751A4A"/>
    <w:rsid w:val="00756632"/>
    <w:rsid w:val="00762C74"/>
    <w:rsid w:val="00786EC0"/>
    <w:rsid w:val="007D1690"/>
    <w:rsid w:val="007E22AD"/>
    <w:rsid w:val="00817416"/>
    <w:rsid w:val="008300E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D8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261"/>
    <w:rsid w:val="00C05BFE"/>
    <w:rsid w:val="00C23CD4"/>
    <w:rsid w:val="00C61C0C"/>
    <w:rsid w:val="00C941CB"/>
    <w:rsid w:val="00CC2357"/>
    <w:rsid w:val="00CE5038"/>
    <w:rsid w:val="00CF071A"/>
    <w:rsid w:val="00D058B8"/>
    <w:rsid w:val="00D56C11"/>
    <w:rsid w:val="00D834A0"/>
    <w:rsid w:val="00D872DF"/>
    <w:rsid w:val="00D91E21"/>
    <w:rsid w:val="00D95F35"/>
    <w:rsid w:val="00DA7FCD"/>
    <w:rsid w:val="00DD7165"/>
    <w:rsid w:val="00E365E1"/>
    <w:rsid w:val="00E4223A"/>
    <w:rsid w:val="00E6172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10A424"/>
  <w15:chartTrackingRefBased/>
  <w15:docId w15:val="{3BF1A777-49A3-4F36-A7CB-3BA1519DC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44F17"/>
    <w:rPr>
      <w:b/>
    </w:rPr>
  </w:style>
  <w:style w:type="paragraph" w:customStyle="1" w:styleId="NormalHanging12a">
    <w:name w:val="NormalHanging12a"/>
    <w:basedOn w:val="Normal"/>
    <w:rsid w:val="00744F17"/>
    <w:pPr>
      <w:spacing w:after="240"/>
      <w:ind w:left="567" w:hanging="567"/>
    </w:pPr>
  </w:style>
  <w:style w:type="paragraph" w:customStyle="1" w:styleId="EPComma">
    <w:name w:val="EPComma"/>
    <w:basedOn w:val="Normal"/>
    <w:rsid w:val="00744F17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744F17"/>
    <w:rPr>
      <w:b/>
      <w:sz w:val="24"/>
      <w:lang w:val="es-ES_tradnl"/>
    </w:rPr>
  </w:style>
  <w:style w:type="paragraph" w:styleId="Revision">
    <w:name w:val="Revision"/>
    <w:hidden/>
    <w:uiPriority w:val="99"/>
    <w:semiHidden/>
    <w:rsid w:val="00090135"/>
    <w:rPr>
      <w:sz w:val="24"/>
      <w:lang w:val="es-ES_tradnl"/>
    </w:rPr>
  </w:style>
  <w:style w:type="paragraph" w:styleId="Header">
    <w:name w:val="header"/>
    <w:basedOn w:val="Normal"/>
    <w:link w:val="HeaderChar"/>
    <w:uiPriority w:val="99"/>
    <w:rsid w:val="000901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0135"/>
    <w:rPr>
      <w:sz w:val="24"/>
      <w:lang w:val="es-ES_tradnl"/>
    </w:rPr>
  </w:style>
  <w:style w:type="paragraph" w:customStyle="1" w:styleId="AmDocTypeTab">
    <w:name w:val="AmDocTypeTab"/>
    <w:basedOn w:val="Normal"/>
    <w:rsid w:val="00090135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090135"/>
    <w:pPr>
      <w:spacing w:after="240"/>
    </w:pPr>
  </w:style>
  <w:style w:type="paragraph" w:customStyle="1" w:styleId="EPFooter2">
    <w:name w:val="EPFooter2"/>
    <w:basedOn w:val="Normal"/>
    <w:next w:val="Normal"/>
    <w:rsid w:val="0009013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090135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090135"/>
    <w:pPr>
      <w:spacing w:after="240"/>
      <w:jc w:val="center"/>
    </w:pPr>
  </w:style>
  <w:style w:type="paragraph" w:customStyle="1" w:styleId="AmDateTab">
    <w:name w:val="AmDateTab"/>
    <w:basedOn w:val="Normal"/>
    <w:rsid w:val="00090135"/>
    <w:pPr>
      <w:tabs>
        <w:tab w:val="right" w:pos="9072"/>
      </w:tabs>
    </w:pPr>
  </w:style>
  <w:style w:type="paragraph" w:customStyle="1" w:styleId="AmNumberTabs">
    <w:name w:val="AmNumberTabs"/>
    <w:basedOn w:val="Normal"/>
    <w:rsid w:val="0009013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90135"/>
    <w:pPr>
      <w:spacing w:before="720" w:after="240"/>
      <w:jc w:val="center"/>
    </w:pPr>
  </w:style>
  <w:style w:type="paragraph" w:customStyle="1" w:styleId="EPFooter">
    <w:name w:val="EPFooter"/>
    <w:basedOn w:val="Normal"/>
    <w:rsid w:val="0009013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90135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0901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135"/>
    <w:rPr>
      <w:sz w:val="24"/>
      <w:lang w:val="es-ES_tradnl"/>
    </w:rPr>
  </w:style>
  <w:style w:type="numbering" w:customStyle="1" w:styleId="NoList1">
    <w:name w:val="No List1"/>
    <w:next w:val="NoList"/>
    <w:uiPriority w:val="99"/>
    <w:semiHidden/>
    <w:unhideWhenUsed/>
    <w:rsid w:val="00090135"/>
  </w:style>
  <w:style w:type="paragraph" w:customStyle="1" w:styleId="Text1">
    <w:name w:val="Text 1"/>
    <w:basedOn w:val="Normal"/>
    <w:rsid w:val="0009013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090135"/>
    <w:rPr>
      <w:b/>
      <w:kern w:val="28"/>
      <w:sz w:val="28"/>
      <w:lang w:val="fr-FR" w:eastAsia="fr-FR"/>
    </w:rPr>
  </w:style>
  <w:style w:type="character" w:customStyle="1" w:styleId="Heading2Char">
    <w:name w:val="Heading 2 Char"/>
    <w:link w:val="Heading2"/>
    <w:uiPriority w:val="9"/>
    <w:semiHidden/>
    <w:rsid w:val="00090135"/>
    <w:rPr>
      <w:sz w:val="24"/>
      <w:lang w:val="fr-FR" w:eastAsia="fr-FR"/>
    </w:rPr>
  </w:style>
  <w:style w:type="character" w:customStyle="1" w:styleId="Heading3Char">
    <w:name w:val="Heading 3 Char"/>
    <w:link w:val="Heading3"/>
    <w:uiPriority w:val="9"/>
    <w:semiHidden/>
    <w:rsid w:val="0009013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link w:val="Heading4"/>
    <w:uiPriority w:val="9"/>
    <w:semiHidden/>
    <w:rsid w:val="00090135"/>
    <w:rPr>
      <w:sz w:val="24"/>
      <w:lang w:val="en-US" w:eastAsia="fr-FR"/>
    </w:rPr>
  </w:style>
  <w:style w:type="paragraph" w:customStyle="1" w:styleId="Text2">
    <w:name w:val="Text 2"/>
    <w:basedOn w:val="Normal"/>
    <w:rsid w:val="0009013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character" w:customStyle="1" w:styleId="Heading5Char">
    <w:name w:val="Heading 5 Char"/>
    <w:link w:val="Heading5"/>
    <w:uiPriority w:val="9"/>
    <w:rsid w:val="00090135"/>
    <w:rPr>
      <w:sz w:val="24"/>
      <w:lang w:val="en-US" w:eastAsia="fr-FR"/>
    </w:rPr>
  </w:style>
  <w:style w:type="character" w:customStyle="1" w:styleId="Heading6Char">
    <w:name w:val="Heading 6 Char"/>
    <w:link w:val="Heading6"/>
    <w:uiPriority w:val="9"/>
    <w:rsid w:val="00090135"/>
    <w:rPr>
      <w:i/>
      <w:sz w:val="22"/>
      <w:lang w:val="es-ES_tradnl"/>
    </w:rPr>
  </w:style>
  <w:style w:type="character" w:customStyle="1" w:styleId="Heading7Char">
    <w:name w:val="Heading 7 Char"/>
    <w:link w:val="Heading7"/>
    <w:uiPriority w:val="9"/>
    <w:rsid w:val="00090135"/>
    <w:rPr>
      <w:rFonts w:ascii="Arial" w:hAnsi="Arial"/>
      <w:sz w:val="24"/>
      <w:lang w:val="es-ES_tradnl"/>
    </w:rPr>
  </w:style>
  <w:style w:type="character" w:customStyle="1" w:styleId="Heading8Char">
    <w:name w:val="Heading 8 Char"/>
    <w:link w:val="Heading8"/>
    <w:uiPriority w:val="99"/>
    <w:rsid w:val="00090135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link w:val="Heading9"/>
    <w:uiPriority w:val="99"/>
    <w:rsid w:val="00090135"/>
    <w:rPr>
      <w:rFonts w:ascii="Arial" w:hAnsi="Arial"/>
      <w:b/>
      <w:i/>
      <w:sz w:val="18"/>
      <w:lang w:val="es-ES_tradnl"/>
    </w:rPr>
  </w:style>
  <w:style w:type="paragraph" w:customStyle="1" w:styleId="Annexetitreacte">
    <w:name w:val="Annexe titre (acte)"/>
    <w:basedOn w:val="Normal"/>
    <w:next w:val="Normal"/>
    <w:uiPriority w:val="99"/>
    <w:rsid w:val="0009013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es-ES"/>
    </w:rPr>
  </w:style>
  <w:style w:type="paragraph" w:customStyle="1" w:styleId="Annexetitreexposglobal">
    <w:name w:val="Annexe titre (exposé global)"/>
    <w:basedOn w:val="Normal"/>
    <w:next w:val="Normal"/>
    <w:uiPriority w:val="99"/>
    <w:rsid w:val="0009013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es-ES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09013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es-ES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09013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es-ES"/>
    </w:rPr>
  </w:style>
  <w:style w:type="paragraph" w:customStyle="1" w:styleId="Annexetitreglobale">
    <w:name w:val="Annexe titre (globale)"/>
    <w:basedOn w:val="Normal"/>
    <w:next w:val="Normal"/>
    <w:uiPriority w:val="99"/>
    <w:rsid w:val="0009013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es-ES"/>
    </w:rPr>
  </w:style>
  <w:style w:type="paragraph" w:styleId="Caption">
    <w:name w:val="caption"/>
    <w:basedOn w:val="Normal"/>
    <w:next w:val="Normal"/>
    <w:uiPriority w:val="99"/>
    <w:qFormat/>
    <w:rsid w:val="00090135"/>
    <w:pPr>
      <w:widowControl/>
      <w:autoSpaceDE w:val="0"/>
      <w:autoSpaceDN w:val="0"/>
      <w:spacing w:before="120" w:after="120"/>
      <w:jc w:val="both"/>
    </w:pPr>
    <w:rPr>
      <w:b/>
      <w:bCs/>
      <w:szCs w:val="24"/>
      <w:lang w:val="es-ES"/>
    </w:rPr>
  </w:style>
  <w:style w:type="character" w:styleId="CommentReference">
    <w:name w:val="annotation reference"/>
    <w:uiPriority w:val="99"/>
    <w:rsid w:val="00090135"/>
    <w:rPr>
      <w:rFonts w:cs="Times New Roman"/>
      <w:sz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090135"/>
    <w:pPr>
      <w:widowControl/>
      <w:autoSpaceDE w:val="0"/>
      <w:autoSpaceDN w:val="0"/>
      <w:spacing w:before="120" w:after="120"/>
      <w:jc w:val="both"/>
    </w:pPr>
    <w:rPr>
      <w:sz w:val="20"/>
      <w:lang w:val="es-ES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090135"/>
    <w:rPr>
      <w:lang w:val="es-ES"/>
    </w:rPr>
  </w:style>
  <w:style w:type="paragraph" w:customStyle="1" w:styleId="Rfrenceinstitutionelle">
    <w:name w:val="Référence institutionelle"/>
    <w:basedOn w:val="Normal"/>
    <w:next w:val="Statut"/>
    <w:uiPriority w:val="99"/>
    <w:rsid w:val="00090135"/>
    <w:pPr>
      <w:widowControl/>
      <w:autoSpaceDE w:val="0"/>
      <w:autoSpaceDN w:val="0"/>
      <w:spacing w:after="240"/>
      <w:ind w:left="5103"/>
    </w:pPr>
    <w:rPr>
      <w:szCs w:val="24"/>
      <w:lang w:val="es-ES"/>
    </w:rPr>
  </w:style>
  <w:style w:type="paragraph" w:customStyle="1" w:styleId="Statut">
    <w:name w:val="Statut"/>
    <w:basedOn w:val="Normal"/>
    <w:next w:val="Typedudocument"/>
    <w:rsid w:val="0009013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9013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90135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90135"/>
    <w:pPr>
      <w:spacing w:after="240"/>
    </w:pPr>
  </w:style>
  <w:style w:type="paragraph" w:customStyle="1" w:styleId="Languesfaisantfoi">
    <w:name w:val="Langues faisant foi"/>
    <w:basedOn w:val="Normal"/>
    <w:next w:val="Normal"/>
    <w:rsid w:val="0009013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Titreobjet"/>
    <w:uiPriority w:val="99"/>
    <w:rsid w:val="00090135"/>
    <w:pPr>
      <w:autoSpaceDE w:val="0"/>
      <w:autoSpaceDN w:val="0"/>
      <w:spacing w:before="0" w:after="0"/>
    </w:pPr>
    <w:rPr>
      <w:rFonts w:eastAsia="Times New Roman"/>
      <w:bCs/>
      <w:szCs w:val="24"/>
      <w:lang w:val="es-ES" w:eastAsia="en-GB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09013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es-ES"/>
    </w:rPr>
  </w:style>
  <w:style w:type="paragraph" w:customStyle="1" w:styleId="FichedimpactPMEtitre">
    <w:name w:val="Fiche d'impact PME titre"/>
    <w:basedOn w:val="Normal"/>
    <w:next w:val="Normal"/>
    <w:uiPriority w:val="99"/>
    <w:rsid w:val="00090135"/>
    <w:pPr>
      <w:widowControl/>
      <w:autoSpaceDE w:val="0"/>
      <w:autoSpaceDN w:val="0"/>
      <w:spacing w:before="120" w:after="120"/>
      <w:jc w:val="center"/>
    </w:pPr>
    <w:rPr>
      <w:b/>
      <w:bCs/>
      <w:szCs w:val="24"/>
      <w:lang w:val="es-ES"/>
    </w:rPr>
  </w:style>
  <w:style w:type="paragraph" w:customStyle="1" w:styleId="Fichefinanciretextetable">
    <w:name w:val="Fiche financière texte (table)"/>
    <w:basedOn w:val="Normal"/>
    <w:uiPriority w:val="99"/>
    <w:rsid w:val="00090135"/>
    <w:pPr>
      <w:widowControl/>
      <w:autoSpaceDE w:val="0"/>
      <w:autoSpaceDN w:val="0"/>
    </w:pPr>
    <w:rPr>
      <w:sz w:val="20"/>
      <w:lang w:val="es-ES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090135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es-ES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090135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es-ES"/>
    </w:rPr>
  </w:style>
  <w:style w:type="paragraph" w:customStyle="1" w:styleId="Fichefinanciretitretable">
    <w:name w:val="Fiche financière titre (table)"/>
    <w:basedOn w:val="Normal"/>
    <w:uiPriority w:val="99"/>
    <w:rsid w:val="00090135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es-ES"/>
    </w:rPr>
  </w:style>
  <w:style w:type="paragraph" w:customStyle="1" w:styleId="Langueoriginale">
    <w:name w:val="Langue originale"/>
    <w:basedOn w:val="Normal"/>
    <w:next w:val="Phrasefinale"/>
    <w:uiPriority w:val="99"/>
    <w:rsid w:val="00090135"/>
    <w:pPr>
      <w:widowControl/>
      <w:autoSpaceDE w:val="0"/>
      <w:autoSpaceDN w:val="0"/>
      <w:spacing w:before="360" w:after="120"/>
      <w:jc w:val="center"/>
    </w:pPr>
    <w:rPr>
      <w:caps/>
      <w:szCs w:val="24"/>
      <w:lang w:val="es-ES"/>
    </w:rPr>
  </w:style>
  <w:style w:type="paragraph" w:customStyle="1" w:styleId="Phrasefinale">
    <w:name w:val="Phrase finale"/>
    <w:basedOn w:val="Normal"/>
    <w:next w:val="Normal"/>
    <w:uiPriority w:val="99"/>
    <w:rsid w:val="00090135"/>
    <w:pPr>
      <w:widowControl/>
      <w:autoSpaceDE w:val="0"/>
      <w:autoSpaceDN w:val="0"/>
      <w:spacing w:before="360"/>
      <w:jc w:val="center"/>
    </w:pPr>
    <w:rPr>
      <w:szCs w:val="24"/>
      <w:lang w:val="es-ES"/>
    </w:rPr>
  </w:style>
  <w:style w:type="paragraph" w:customStyle="1" w:styleId="Prliminairetitre">
    <w:name w:val="Préliminaire titre"/>
    <w:basedOn w:val="Normal"/>
    <w:next w:val="Normal"/>
    <w:uiPriority w:val="99"/>
    <w:rsid w:val="00090135"/>
    <w:pPr>
      <w:widowControl/>
      <w:autoSpaceDE w:val="0"/>
      <w:autoSpaceDN w:val="0"/>
      <w:spacing w:before="360" w:after="360"/>
      <w:jc w:val="center"/>
    </w:pPr>
    <w:rPr>
      <w:b/>
      <w:bCs/>
      <w:szCs w:val="24"/>
      <w:lang w:val="es-ES"/>
    </w:rPr>
  </w:style>
  <w:style w:type="paragraph" w:customStyle="1" w:styleId="Prliminairetype">
    <w:name w:val="Préliminaire type"/>
    <w:basedOn w:val="Normal"/>
    <w:next w:val="Normal"/>
    <w:uiPriority w:val="99"/>
    <w:rsid w:val="00090135"/>
    <w:pPr>
      <w:widowControl/>
      <w:autoSpaceDE w:val="0"/>
      <w:autoSpaceDN w:val="0"/>
      <w:spacing w:before="360"/>
      <w:jc w:val="center"/>
    </w:pPr>
    <w:rPr>
      <w:b/>
      <w:bCs/>
      <w:szCs w:val="24"/>
      <w:lang w:val="es-ES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090135"/>
    <w:pPr>
      <w:widowControl/>
      <w:autoSpaceDE w:val="0"/>
      <w:autoSpaceDN w:val="0"/>
      <w:ind w:left="5103"/>
    </w:pPr>
    <w:rPr>
      <w:szCs w:val="24"/>
      <w:lang w:val="es-ES"/>
    </w:rPr>
  </w:style>
  <w:style w:type="paragraph" w:styleId="TOAHeading">
    <w:name w:val="toa heading"/>
    <w:basedOn w:val="Normal"/>
    <w:next w:val="Normal"/>
    <w:uiPriority w:val="99"/>
    <w:rsid w:val="00090135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  <w:lang w:val="es-ES"/>
    </w:rPr>
  </w:style>
  <w:style w:type="character" w:customStyle="1" w:styleId="CRTextDeleted">
    <w:name w:val="CR TextDeleted"/>
    <w:uiPriority w:val="99"/>
    <w:rsid w:val="00090135"/>
  </w:style>
  <w:style w:type="paragraph" w:customStyle="1" w:styleId="Titredumodificateur">
    <w:name w:val="Titre du modificateur"/>
    <w:basedOn w:val="Normal"/>
    <w:next w:val="Annexetitrefichefinacte"/>
    <w:uiPriority w:val="99"/>
    <w:rsid w:val="00090135"/>
    <w:pPr>
      <w:widowControl/>
      <w:autoSpaceDE w:val="0"/>
      <w:autoSpaceDN w:val="0"/>
      <w:spacing w:before="240" w:after="60"/>
    </w:pPr>
    <w:rPr>
      <w:b/>
      <w:bCs/>
      <w:szCs w:val="24"/>
      <w:lang w:val="es-ES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090135"/>
    <w:pPr>
      <w:widowControl/>
      <w:autoSpaceDE w:val="0"/>
      <w:autoSpaceDN w:val="0"/>
      <w:spacing w:after="120"/>
    </w:pPr>
    <w:rPr>
      <w:szCs w:val="24"/>
      <w:lang w:val="es-ES"/>
    </w:rPr>
  </w:style>
  <w:style w:type="paragraph" w:styleId="BalloonText">
    <w:name w:val="Balloon Text"/>
    <w:basedOn w:val="Normal"/>
    <w:link w:val="BalloonTextChar"/>
    <w:uiPriority w:val="99"/>
    <w:unhideWhenUsed/>
    <w:rsid w:val="00090135"/>
    <w:pPr>
      <w:widowControl/>
      <w:autoSpaceDE w:val="0"/>
      <w:autoSpaceDN w:val="0"/>
      <w:jc w:val="both"/>
    </w:pPr>
    <w:rPr>
      <w:rFonts w:ascii="Segoe UI" w:hAnsi="Segoe UI" w:cs="Segoe UI"/>
      <w:sz w:val="18"/>
      <w:szCs w:val="18"/>
      <w:lang w:val="es-E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90135"/>
    <w:rPr>
      <w:rFonts w:ascii="Segoe UI" w:hAnsi="Segoe UI" w:cs="Segoe UI"/>
      <w:sz w:val="18"/>
      <w:szCs w:val="18"/>
      <w:lang w:val="es-ES"/>
    </w:rPr>
  </w:style>
  <w:style w:type="paragraph" w:styleId="ListParagraph">
    <w:name w:val="List Paragraph"/>
    <w:basedOn w:val="Normal"/>
    <w:uiPriority w:val="34"/>
    <w:qFormat/>
    <w:rsid w:val="00090135"/>
    <w:pPr>
      <w:autoSpaceDE w:val="0"/>
      <w:autoSpaceDN w:val="0"/>
      <w:ind w:left="1002" w:right="2789" w:firstLine="2"/>
      <w:jc w:val="both"/>
    </w:pPr>
    <w:rPr>
      <w:sz w:val="22"/>
      <w:szCs w:val="22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901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90135"/>
    <w:rPr>
      <w:b/>
      <w:bCs/>
      <w:lang w:val="es-ES"/>
    </w:rPr>
  </w:style>
  <w:style w:type="paragraph" w:customStyle="1" w:styleId="LegalNumPar">
    <w:name w:val="LegalNumPar"/>
    <w:basedOn w:val="Normal"/>
    <w:rsid w:val="00090135"/>
    <w:pPr>
      <w:widowControl/>
      <w:numPr>
        <w:numId w:val="4"/>
      </w:numPr>
      <w:spacing w:before="120" w:after="120" w:line="360" w:lineRule="auto"/>
      <w:jc w:val="both"/>
    </w:pPr>
    <w:rPr>
      <w:szCs w:val="24"/>
      <w:lang w:val="es-ES"/>
    </w:rPr>
  </w:style>
  <w:style w:type="paragraph" w:customStyle="1" w:styleId="LegalNumPar2">
    <w:name w:val="LegalNumPar2"/>
    <w:basedOn w:val="Normal"/>
    <w:rsid w:val="00090135"/>
    <w:pPr>
      <w:widowControl/>
      <w:numPr>
        <w:ilvl w:val="1"/>
        <w:numId w:val="4"/>
      </w:numPr>
      <w:spacing w:before="120" w:after="120" w:line="360" w:lineRule="auto"/>
      <w:jc w:val="both"/>
    </w:pPr>
    <w:rPr>
      <w:szCs w:val="24"/>
      <w:lang w:val="es-ES"/>
    </w:rPr>
  </w:style>
  <w:style w:type="paragraph" w:customStyle="1" w:styleId="LegalNumPar3">
    <w:name w:val="LegalNumPar3"/>
    <w:basedOn w:val="Normal"/>
    <w:rsid w:val="00090135"/>
    <w:pPr>
      <w:widowControl/>
      <w:numPr>
        <w:ilvl w:val="2"/>
        <w:numId w:val="4"/>
      </w:numPr>
      <w:spacing w:before="120" w:after="120" w:line="360" w:lineRule="auto"/>
      <w:jc w:val="both"/>
    </w:pPr>
    <w:rPr>
      <w:szCs w:val="24"/>
      <w:lang w:val="es-ES"/>
    </w:rPr>
  </w:style>
  <w:style w:type="paragraph" w:styleId="EndnoteText">
    <w:name w:val="endnote text"/>
    <w:basedOn w:val="Normal"/>
    <w:link w:val="EndnoteTextChar"/>
    <w:uiPriority w:val="99"/>
    <w:unhideWhenUsed/>
    <w:rsid w:val="00090135"/>
    <w:pPr>
      <w:widowControl/>
      <w:autoSpaceDE w:val="0"/>
      <w:autoSpaceDN w:val="0"/>
      <w:spacing w:before="120" w:after="120"/>
      <w:jc w:val="both"/>
    </w:pPr>
    <w:rPr>
      <w:sz w:val="20"/>
      <w:lang w:val="es-E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90135"/>
    <w:rPr>
      <w:lang w:val="es-ES"/>
    </w:rPr>
  </w:style>
  <w:style w:type="character" w:styleId="EndnoteReference">
    <w:name w:val="endnote reference"/>
    <w:uiPriority w:val="99"/>
    <w:unhideWhenUsed/>
    <w:rsid w:val="00090135"/>
    <w:rPr>
      <w:rFonts w:cs="Times New Roman"/>
      <w:vertAlign w:val="superscript"/>
    </w:rPr>
  </w:style>
  <w:style w:type="character" w:styleId="Emphasis">
    <w:name w:val="Emphasis"/>
    <w:uiPriority w:val="20"/>
    <w:qFormat/>
    <w:rsid w:val="00090135"/>
    <w:rPr>
      <w:rFonts w:cs="Times New Roman"/>
      <w:i/>
    </w:rPr>
  </w:style>
  <w:style w:type="character" w:styleId="Hyperlink">
    <w:name w:val="Hyperlink"/>
    <w:uiPriority w:val="99"/>
    <w:unhideWhenUsed/>
    <w:rsid w:val="0009013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90135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paragraph" w:customStyle="1" w:styleId="ti-art">
    <w:name w:val="ti-art"/>
    <w:basedOn w:val="Normal"/>
    <w:rsid w:val="00090135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paragraph" w:customStyle="1" w:styleId="Normal1">
    <w:name w:val="Normal1"/>
    <w:basedOn w:val="Normal"/>
    <w:rsid w:val="00090135"/>
    <w:pPr>
      <w:widowControl/>
      <w:spacing w:before="100" w:beforeAutospacing="1" w:after="100" w:afterAutospacing="1"/>
    </w:pPr>
    <w:rPr>
      <w:szCs w:val="24"/>
      <w:lang w:val="es-ES" w:eastAsia="en-US"/>
    </w:rPr>
  </w:style>
  <w:style w:type="paragraph" w:customStyle="1" w:styleId="Nota">
    <w:name w:val="Nota"/>
    <w:aliases w:val="Char1,(NECG) Footnote Reference,fr,Appel note de bas de p,o,Style 6,Signature Ch"/>
    <w:basedOn w:val="Normal"/>
    <w:rsid w:val="00090135"/>
    <w:pPr>
      <w:widowControl/>
      <w:spacing w:after="160" w:line="240" w:lineRule="exact"/>
      <w:jc w:val="both"/>
    </w:pPr>
    <w:rPr>
      <w:rFonts w:ascii="Calibri" w:eastAsia="Calibri" w:hAnsi="Calibri"/>
      <w:sz w:val="22"/>
      <w:szCs w:val="22"/>
      <w:vertAlign w:val="superscript"/>
      <w:lang w:val="es-ES" w:eastAsia="en-US"/>
    </w:rPr>
  </w:style>
  <w:style w:type="paragraph" w:styleId="ListBullet">
    <w:name w:val="List Bullet"/>
    <w:basedOn w:val="Normal"/>
    <w:uiPriority w:val="99"/>
    <w:unhideWhenUsed/>
    <w:rsid w:val="00090135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090135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090135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090135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090135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090135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090135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090135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090135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090135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90135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90135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90135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90135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90135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90135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90135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09013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9013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9013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090135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90135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90135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9013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90135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90135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9013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9013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90135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90135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90135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090135"/>
    <w:pPr>
      <w:numPr>
        <w:numId w:val="6"/>
      </w:numPr>
    </w:pPr>
  </w:style>
  <w:style w:type="paragraph" w:customStyle="1" w:styleId="Tiret1">
    <w:name w:val="Tiret 1"/>
    <w:basedOn w:val="Point1"/>
    <w:rsid w:val="00090135"/>
    <w:pPr>
      <w:numPr>
        <w:numId w:val="5"/>
      </w:numPr>
    </w:pPr>
  </w:style>
  <w:style w:type="paragraph" w:customStyle="1" w:styleId="Tiret2">
    <w:name w:val="Tiret 2"/>
    <w:basedOn w:val="Point2"/>
    <w:rsid w:val="00090135"/>
    <w:pPr>
      <w:numPr>
        <w:numId w:val="7"/>
      </w:numPr>
    </w:pPr>
  </w:style>
  <w:style w:type="paragraph" w:customStyle="1" w:styleId="Tiret3">
    <w:name w:val="Tiret 3"/>
    <w:basedOn w:val="Point3"/>
    <w:rsid w:val="00090135"/>
    <w:pPr>
      <w:numPr>
        <w:numId w:val="8"/>
      </w:numPr>
    </w:pPr>
  </w:style>
  <w:style w:type="paragraph" w:customStyle="1" w:styleId="Tiret4">
    <w:name w:val="Tiret 4"/>
    <w:basedOn w:val="Point4"/>
    <w:rsid w:val="00090135"/>
    <w:pPr>
      <w:numPr>
        <w:numId w:val="9"/>
      </w:numPr>
    </w:pPr>
  </w:style>
  <w:style w:type="paragraph" w:customStyle="1" w:styleId="PointDouble0">
    <w:name w:val="PointDouble 0"/>
    <w:basedOn w:val="Normal"/>
    <w:rsid w:val="0009013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9013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9013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9013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9013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9013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9013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9013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9013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9013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90135"/>
    <w:pPr>
      <w:widowControl/>
      <w:numPr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90135"/>
    <w:pPr>
      <w:widowControl/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90135"/>
    <w:pPr>
      <w:widowControl/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90135"/>
    <w:pPr>
      <w:widowControl/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9013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9013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9013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90135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90135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9013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9013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9013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9013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9013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90135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90135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90135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090135"/>
    <w:rPr>
      <w:color w:val="0000FF"/>
      <w:shd w:val="clear" w:color="auto" w:fill="auto"/>
    </w:rPr>
  </w:style>
  <w:style w:type="character" w:customStyle="1" w:styleId="Marker1">
    <w:name w:val="Marker1"/>
    <w:rsid w:val="00090135"/>
    <w:rPr>
      <w:color w:val="008000"/>
      <w:shd w:val="clear" w:color="auto" w:fill="auto"/>
    </w:rPr>
  </w:style>
  <w:style w:type="character" w:customStyle="1" w:styleId="Marker2">
    <w:name w:val="Marker2"/>
    <w:rsid w:val="0009013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90135"/>
    <w:pPr>
      <w:widowControl/>
      <w:numPr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90135"/>
    <w:pPr>
      <w:widowControl/>
      <w:numPr>
        <w:ilvl w:val="2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90135"/>
    <w:pPr>
      <w:widowControl/>
      <w:numPr>
        <w:ilvl w:val="4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90135"/>
    <w:pPr>
      <w:widowControl/>
      <w:numPr>
        <w:ilvl w:val="6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90135"/>
    <w:pPr>
      <w:widowControl/>
      <w:numPr>
        <w:ilvl w:val="1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90135"/>
    <w:pPr>
      <w:widowControl/>
      <w:numPr>
        <w:ilvl w:val="3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90135"/>
    <w:pPr>
      <w:widowControl/>
      <w:numPr>
        <w:ilvl w:val="5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90135"/>
    <w:pPr>
      <w:widowControl/>
      <w:numPr>
        <w:ilvl w:val="7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90135"/>
    <w:pPr>
      <w:widowControl/>
      <w:numPr>
        <w:ilvl w:val="8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90135"/>
    <w:pPr>
      <w:widowControl/>
      <w:numPr>
        <w:numId w:val="1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90135"/>
    <w:pPr>
      <w:widowControl/>
      <w:numPr>
        <w:numId w:val="1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90135"/>
    <w:pPr>
      <w:widowControl/>
      <w:numPr>
        <w:numId w:val="1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90135"/>
    <w:pPr>
      <w:widowControl/>
      <w:numPr>
        <w:numId w:val="1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90135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90135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9013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9013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90135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90135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09013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90135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090135"/>
  </w:style>
  <w:style w:type="paragraph" w:customStyle="1" w:styleId="TitreobjetPagedecouverture">
    <w:name w:val="Titre objet (Page de couverture)"/>
    <w:basedOn w:val="Titreobjet"/>
    <w:next w:val="IntrtEEEPagedecouverture"/>
    <w:rsid w:val="00090135"/>
  </w:style>
  <w:style w:type="paragraph" w:customStyle="1" w:styleId="IntrtEEEPagedecouverture">
    <w:name w:val="Intérêt EEE (Page de couverture)"/>
    <w:basedOn w:val="IntrtEEE"/>
    <w:next w:val="Rfrencecroise"/>
    <w:rsid w:val="00090135"/>
  </w:style>
  <w:style w:type="paragraph" w:customStyle="1" w:styleId="Rfrencecroise">
    <w:name w:val="Référence croisée"/>
    <w:basedOn w:val="Normal"/>
    <w:rsid w:val="00090135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9013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90135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9013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9013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9013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9013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9013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9013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9013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90135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90135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90135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90135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090135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90135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90135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90135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90135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9013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090135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90135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90135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090135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090135"/>
    <w:rPr>
      <w:b/>
      <w:u w:val="single"/>
      <w:shd w:val="clear" w:color="auto" w:fill="auto"/>
    </w:rPr>
  </w:style>
  <w:style w:type="character" w:customStyle="1" w:styleId="Deleted">
    <w:name w:val="Deleted"/>
    <w:rsid w:val="0009013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9013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90135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90135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90135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9013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90135"/>
  </w:style>
  <w:style w:type="paragraph" w:customStyle="1" w:styleId="StatutPagedecouverture">
    <w:name w:val="Statut (Page de couverture)"/>
    <w:basedOn w:val="Statut"/>
    <w:next w:val="TypedudocumentPagedecouverture"/>
    <w:rsid w:val="00090135"/>
  </w:style>
  <w:style w:type="paragraph" w:customStyle="1" w:styleId="Volume">
    <w:name w:val="Volume"/>
    <w:basedOn w:val="Normal"/>
    <w:next w:val="Confidentialit"/>
    <w:rsid w:val="00090135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090135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90135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90135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09013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90135"/>
  </w:style>
  <w:style w:type="paragraph" w:customStyle="1" w:styleId="ObjetacteprincipalPagedecouverture">
    <w:name w:val="Objet acte principal (Page de couverture)"/>
    <w:basedOn w:val="Objetacteprincipal"/>
    <w:next w:val="Rfrencecroise"/>
    <w:rsid w:val="00090135"/>
  </w:style>
  <w:style w:type="paragraph" w:customStyle="1" w:styleId="LanguesfaisantfoiPagedecouverture">
    <w:name w:val="Langues faisant foi (Page de couverture)"/>
    <w:basedOn w:val="Normal"/>
    <w:next w:val="Normal"/>
    <w:rsid w:val="00090135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9013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9013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9013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90135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90135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90135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090135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090135"/>
    <w:pPr>
      <w:widowControl/>
      <w:numPr>
        <w:ilvl w:val="4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90135"/>
    <w:pPr>
      <w:widowControl/>
      <w:numPr>
        <w:ilvl w:val="5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90135"/>
    <w:pPr>
      <w:widowControl/>
      <w:numPr>
        <w:ilvl w:val="6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9013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9013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90135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090135"/>
    <w:rPr>
      <w:sz w:val="24"/>
      <w:szCs w:val="24"/>
    </w:rPr>
  </w:style>
  <w:style w:type="paragraph" w:customStyle="1" w:styleId="Normal2">
    <w:name w:val="Normal2"/>
    <w:basedOn w:val="Normal"/>
    <w:rsid w:val="00090135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090135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090135"/>
  </w:style>
  <w:style w:type="paragraph" w:customStyle="1" w:styleId="Normal3">
    <w:name w:val="Normal3"/>
    <w:basedOn w:val="Normal"/>
    <w:rsid w:val="00090135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090135"/>
  </w:style>
  <w:style w:type="paragraph" w:customStyle="1" w:styleId="norm">
    <w:name w:val="norm"/>
    <w:basedOn w:val="Normal"/>
    <w:rsid w:val="00090135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090135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090135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090135"/>
  </w:style>
  <w:style w:type="character" w:customStyle="1" w:styleId="highlight">
    <w:name w:val="highlight"/>
    <w:basedOn w:val="DefaultParagraphFont"/>
    <w:rsid w:val="00090135"/>
  </w:style>
  <w:style w:type="character" w:styleId="FollowedHyperlink">
    <w:name w:val="FollowedHyperlink"/>
    <w:basedOn w:val="DefaultParagraphFont"/>
    <w:uiPriority w:val="99"/>
    <w:unhideWhenUsed/>
    <w:rsid w:val="0009013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135"/>
    <w:rPr>
      <w:color w:val="605E5C"/>
      <w:shd w:val="clear" w:color="auto" w:fill="E1DFDD"/>
    </w:rPr>
  </w:style>
  <w:style w:type="paragraph" w:customStyle="1" w:styleId="Normal12Hanging">
    <w:name w:val="Normal12Hanging"/>
    <w:basedOn w:val="Normal"/>
    <w:rsid w:val="00E4223A"/>
    <w:pPr>
      <w:spacing w:after="240"/>
      <w:ind w:left="357" w:hanging="357"/>
    </w:pPr>
    <w:rPr>
      <w:snapToGrid w:val="0"/>
    </w:rPr>
  </w:style>
  <w:style w:type="paragraph" w:customStyle="1" w:styleId="normal12hanging0">
    <w:name w:val="normal12hanging"/>
    <w:basedOn w:val="Normal"/>
    <w:rsid w:val="00E6172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</dc:creator>
  <cp:keywords/>
  <cp:lastModifiedBy>Fernan Rodriguez</cp:lastModifiedBy>
  <cp:revision>2</cp:revision>
  <cp:lastPrinted>2004-11-19T15:42:00Z</cp:lastPrinted>
  <dcterms:created xsi:type="dcterms:W3CDTF">2026-01-06T15:48:00Z</dcterms:created>
  <dcterms:modified xsi:type="dcterms:W3CDTF">2026-01-06T15:48:00Z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P10_TA(2025)0239_</vt:lpwstr>
  </property>
  <property fmtid="{D5CDD505-2E9C-101B-9397-08002B2CF9AE}" pid="4" name="&lt;Type&gt;">
    <vt:lpwstr>RR</vt:lpwstr>
  </property>
</Properties>
</file>