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421B" w14:paraId="455E24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EDCEF2" w14:textId="77777777" w:rsidR="00751A4A" w:rsidRPr="00A5421B" w:rsidRDefault="00CB710B" w:rsidP="0010095E">
            <w:pPr>
              <w:pStyle w:val="EPName"/>
            </w:pPr>
            <w:r w:rsidRPr="00A5421B">
              <w:t>Európsky parlament</w:t>
            </w:r>
          </w:p>
          <w:p w14:paraId="3C28D5A2" w14:textId="77777777" w:rsidR="00751A4A" w:rsidRPr="00A542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421B">
              <w:t>2024</w:t>
            </w:r>
            <w:r w:rsidR="00817416" w:rsidRPr="00A5421B">
              <w:t>-202</w:t>
            </w:r>
            <w:r w:rsidRPr="00A5421B">
              <w:t>9</w:t>
            </w:r>
          </w:p>
        </w:tc>
        <w:tc>
          <w:tcPr>
            <w:tcW w:w="2268" w:type="dxa"/>
            <w:shd w:val="clear" w:color="auto" w:fill="auto"/>
          </w:tcPr>
          <w:p w14:paraId="059878C7" w14:textId="77777777" w:rsidR="00751A4A" w:rsidRPr="00A5421B" w:rsidRDefault="00187494" w:rsidP="0010095E">
            <w:pPr>
              <w:pStyle w:val="EPLogo"/>
            </w:pPr>
            <w:r w:rsidRPr="00A5421B">
              <w:rPr>
                <w:noProof/>
                <w:lang w:eastAsia="ja-JP"/>
              </w:rPr>
              <w:drawing>
                <wp:inline distT="0" distB="0" distL="0" distR="0" wp14:anchorId="081F036F" wp14:editId="28D365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A5D4DC" w14:textId="77777777" w:rsidR="00D058B8" w:rsidRPr="00A5421B" w:rsidRDefault="00D058B8" w:rsidP="004C5D52">
      <w:pPr>
        <w:pStyle w:val="LineTop"/>
      </w:pPr>
    </w:p>
    <w:p w14:paraId="3FE3C3EE" w14:textId="77777777" w:rsidR="00680577" w:rsidRPr="00A5421B" w:rsidRDefault="00CB710B" w:rsidP="00680577">
      <w:pPr>
        <w:pStyle w:val="EPBodyTA1"/>
      </w:pPr>
      <w:r w:rsidRPr="00A5421B">
        <w:t>PRIJATÉ TEXTY</w:t>
      </w:r>
    </w:p>
    <w:p w14:paraId="1FE04A4B" w14:textId="77777777" w:rsidR="00D058B8" w:rsidRPr="00A5421B" w:rsidRDefault="00D058B8" w:rsidP="00D058B8">
      <w:pPr>
        <w:pStyle w:val="LineBottom"/>
      </w:pPr>
    </w:p>
    <w:p w14:paraId="7A8EE800" w14:textId="4A15E726" w:rsidR="00CB710B" w:rsidRPr="00A5421B" w:rsidRDefault="00CB710B" w:rsidP="00CB710B">
      <w:pPr>
        <w:pStyle w:val="ATHeading1"/>
      </w:pPr>
      <w:bookmarkStart w:id="0" w:name="TANumber"/>
      <w:r w:rsidRPr="00A5421B">
        <w:t>P</w:t>
      </w:r>
      <w:r w:rsidR="00C4348E" w:rsidRPr="00A5421B">
        <w:t>10</w:t>
      </w:r>
      <w:r w:rsidRPr="00A5421B">
        <w:t>_TA(2025)0</w:t>
      </w:r>
      <w:r w:rsidR="006E2DEF" w:rsidRPr="00A5421B">
        <w:t>239</w:t>
      </w:r>
      <w:bookmarkEnd w:id="0"/>
    </w:p>
    <w:p w14:paraId="57673026" w14:textId="77777777" w:rsidR="00CB710B" w:rsidRPr="00A5421B" w:rsidRDefault="00CB710B" w:rsidP="00CB710B">
      <w:pPr>
        <w:pStyle w:val="ATHeading2"/>
      </w:pPr>
      <w:bookmarkStart w:id="1" w:name="title"/>
      <w:r w:rsidRPr="00A5421B">
        <w:t>Štatút a financovanie európskych politických strán a európskych politických nadácií</w:t>
      </w:r>
      <w:bookmarkEnd w:id="1"/>
    </w:p>
    <w:p w14:paraId="2CAF0E3A" w14:textId="728AA63D" w:rsidR="00CB710B" w:rsidRPr="00A5421B" w:rsidRDefault="00CB710B" w:rsidP="00CB710B">
      <w:pPr>
        <w:rPr>
          <w:i/>
          <w:vanish/>
        </w:rPr>
      </w:pPr>
      <w:r w:rsidRPr="00A5421B">
        <w:rPr>
          <w:i/>
        </w:rPr>
        <w:fldChar w:fldCharType="begin"/>
      </w:r>
      <w:r w:rsidRPr="00A5421B">
        <w:rPr>
          <w:i/>
        </w:rPr>
        <w:instrText xml:space="preserve"> TC"(</w:instrText>
      </w:r>
      <w:bookmarkStart w:id="2" w:name="DocNumber"/>
      <w:r w:rsidRPr="00A5421B">
        <w:rPr>
          <w:i/>
        </w:rPr>
        <w:instrText>A9-0223/2022</w:instrText>
      </w:r>
      <w:bookmarkEnd w:id="2"/>
      <w:r w:rsidRPr="00A5421B">
        <w:rPr>
          <w:i/>
        </w:rPr>
        <w:instrText xml:space="preserve"> - Spravodajcovia: </w:instrText>
      </w:r>
      <w:r w:rsidR="00811E28" w:rsidRPr="00A5421B">
        <w:rPr>
          <w:i/>
        </w:rPr>
        <w:instrText xml:space="preserve">Loránt Vincze, </w:instrText>
      </w:r>
      <w:r w:rsidRPr="00A5421B">
        <w:rPr>
          <w:i/>
        </w:rPr>
        <w:instrText xml:space="preserve">Charles Goerens)"\l3 \n&gt; \* MERGEFORMAT </w:instrText>
      </w:r>
      <w:r w:rsidRPr="00A5421B">
        <w:rPr>
          <w:i/>
        </w:rPr>
        <w:fldChar w:fldCharType="end"/>
      </w:r>
    </w:p>
    <w:p w14:paraId="52C19A8A" w14:textId="77777777" w:rsidR="00CB710B" w:rsidRPr="00A5421B" w:rsidRDefault="00CB710B" w:rsidP="00CB710B">
      <w:pPr>
        <w:rPr>
          <w:vanish/>
        </w:rPr>
      </w:pPr>
      <w:bookmarkStart w:id="3" w:name="Commission"/>
      <w:r w:rsidRPr="00A5421B">
        <w:rPr>
          <w:vanish/>
        </w:rPr>
        <w:t>Výbor pre ústavné veci</w:t>
      </w:r>
      <w:bookmarkEnd w:id="3"/>
    </w:p>
    <w:p w14:paraId="6852874F" w14:textId="77777777" w:rsidR="00CB710B" w:rsidRPr="00A5421B" w:rsidRDefault="00CB710B" w:rsidP="00CB710B">
      <w:pPr>
        <w:rPr>
          <w:vanish/>
        </w:rPr>
      </w:pPr>
      <w:bookmarkStart w:id="4" w:name="PE"/>
      <w:r w:rsidRPr="00A5421B">
        <w:rPr>
          <w:vanish/>
        </w:rPr>
        <w:t>PE719.606</w:t>
      </w:r>
      <w:bookmarkEnd w:id="4"/>
    </w:p>
    <w:p w14:paraId="411DC01C" w14:textId="60D9CC40" w:rsidR="00CB710B" w:rsidRPr="00A5421B" w:rsidRDefault="00CB710B" w:rsidP="00CB710B">
      <w:pPr>
        <w:pStyle w:val="ATHeading3"/>
      </w:pPr>
      <w:bookmarkStart w:id="5" w:name="Sujet"/>
      <w:r w:rsidRPr="00A5421B">
        <w:t>Legislatívne uznesenie Európskeho parlamentu z</w:t>
      </w:r>
      <w:r w:rsidR="00811E28" w:rsidRPr="00A5421B">
        <w:t> 21</w:t>
      </w:r>
      <w:r w:rsidRPr="00A5421B">
        <w:t xml:space="preserve">. októbra 2025 o návrhu nariadenia Európskeho parlamentu a Rady o štatúte a financovaní európskych politických strán a európskych politických nadácií (prepracované znenie) </w:t>
      </w:r>
      <w:bookmarkEnd w:id="5"/>
      <w:r w:rsidRPr="00A5421B">
        <w:t xml:space="preserve"> </w:t>
      </w:r>
      <w:bookmarkStart w:id="6" w:name="References"/>
      <w:r w:rsidRPr="00A5421B">
        <w:t>(COM(2021)0734 – C9-0432/2021 – 2021/0375(COD))</w:t>
      </w:r>
      <w:bookmarkEnd w:id="6"/>
    </w:p>
    <w:p w14:paraId="2D5FC6EB" w14:textId="77777777" w:rsidR="00CB710B" w:rsidRPr="00A5421B" w:rsidRDefault="00CB710B" w:rsidP="00CB710B"/>
    <w:p w14:paraId="66EB45AC" w14:textId="77777777" w:rsidR="002422C0" w:rsidRPr="00A5421B" w:rsidRDefault="002422C0" w:rsidP="002422C0">
      <w:pPr>
        <w:pStyle w:val="NormalBold"/>
      </w:pPr>
      <w:bookmarkStart w:id="7" w:name="TextBodyBegin"/>
      <w:bookmarkEnd w:id="7"/>
      <w:r w:rsidRPr="00A5421B">
        <w:t>(Riadny legislatívny postup – prepracovanie)</w:t>
      </w:r>
    </w:p>
    <w:p w14:paraId="6ADCD19D" w14:textId="77777777" w:rsidR="002422C0" w:rsidRPr="00A5421B" w:rsidRDefault="002422C0" w:rsidP="002422C0">
      <w:pPr>
        <w:pStyle w:val="EPComma"/>
      </w:pPr>
      <w:r w:rsidRPr="00A5421B">
        <w:rPr>
          <w:i/>
          <w:iCs/>
        </w:rPr>
        <w:t>Európsky parlament</w:t>
      </w:r>
      <w:r w:rsidRPr="00A5421B">
        <w:t>,</w:t>
      </w:r>
    </w:p>
    <w:p w14:paraId="34627716" w14:textId="77777777" w:rsidR="002422C0" w:rsidRPr="00A5421B" w:rsidRDefault="002422C0" w:rsidP="002422C0">
      <w:pPr>
        <w:pStyle w:val="NormalHanging12a"/>
      </w:pPr>
      <w:r w:rsidRPr="00A5421B">
        <w:t>–</w:t>
      </w:r>
      <w:r w:rsidRPr="00A5421B">
        <w:tab/>
        <w:t>so zreteľom na návrh Komisie pre Európsky parlament a Radu (COM(2021)0734),</w:t>
      </w:r>
    </w:p>
    <w:p w14:paraId="407F54FE" w14:textId="77777777" w:rsidR="002422C0" w:rsidRPr="00A5421B" w:rsidRDefault="002422C0" w:rsidP="002422C0">
      <w:pPr>
        <w:pStyle w:val="NormalHanging12a"/>
      </w:pPr>
      <w:r w:rsidRPr="00A5421B">
        <w:t>–</w:t>
      </w:r>
      <w:r w:rsidRPr="00A5421B">
        <w:tab/>
        <w:t>so zreteľom na článok 294 ods. 2 a článok 224 Zmluvy o fungovaní Európskej únie, ako aj na článok 106a Zmluvy o založení Európskeho spoločenstva pre atómovú energiu, v súlade s ktorými Komisia predložila návrh Európskemu parlamentu (C9</w:t>
      </w:r>
      <w:r w:rsidRPr="00A5421B">
        <w:noBreakHyphen/>
      </w:r>
      <w:r w:rsidRPr="00A5421B">
        <w:rPr>
          <w:snapToGrid w:val="0"/>
        </w:rPr>
        <w:t>0432/2021</w:t>
      </w:r>
      <w:r w:rsidRPr="00A5421B">
        <w:t>),</w:t>
      </w:r>
    </w:p>
    <w:p w14:paraId="6FEC717B" w14:textId="77777777" w:rsidR="002422C0" w:rsidRPr="00A5421B" w:rsidRDefault="002422C0" w:rsidP="002422C0">
      <w:pPr>
        <w:pStyle w:val="NormalHanging12a"/>
      </w:pPr>
      <w:r w:rsidRPr="00A5421B">
        <w:t>–</w:t>
      </w:r>
      <w:r w:rsidRPr="00A5421B">
        <w:tab/>
        <w:t>so zreteľom na článok 294 ods. 3 Zmluvy o fungovaní Európskej únie,</w:t>
      </w:r>
    </w:p>
    <w:p w14:paraId="5CCA7A63" w14:textId="77777777" w:rsidR="002422C0" w:rsidRPr="00A5421B" w:rsidRDefault="002422C0" w:rsidP="002422C0">
      <w:pPr>
        <w:pStyle w:val="NormalHanging12a"/>
      </w:pPr>
      <w:r w:rsidRPr="00A5421B">
        <w:t>–</w:t>
      </w:r>
      <w:r w:rsidRPr="00A5421B">
        <w:tab/>
        <w:t>zo zreteľom na stanovisko Súdneho dvora zo 7. apríla 2022</w:t>
      </w:r>
      <w:r w:rsidRPr="00A5421B">
        <w:rPr>
          <w:rStyle w:val="FootnoteReference"/>
        </w:rPr>
        <w:footnoteReference w:id="1"/>
      </w:r>
      <w:r w:rsidRPr="00A5421B">
        <w:t>,</w:t>
      </w:r>
    </w:p>
    <w:p w14:paraId="5EC607CC" w14:textId="36743C75" w:rsidR="002422C0" w:rsidRPr="00A5421B" w:rsidRDefault="002422C0" w:rsidP="002422C0">
      <w:pPr>
        <w:pStyle w:val="NormalHanging12a"/>
      </w:pPr>
      <w:r w:rsidRPr="00A5421B">
        <w:t>–</w:t>
      </w:r>
      <w:r w:rsidRPr="00A5421B">
        <w:tab/>
        <w:t>so zreteľom na stanovisko Európskeho hospodárskeho a sociálneho výboru z</w:t>
      </w:r>
      <w:r w:rsidR="00811E28" w:rsidRPr="00A5421B">
        <w:t> 23. februára 202</w:t>
      </w:r>
      <w:r w:rsidR="00F74876" w:rsidRPr="00A5421B">
        <w:t>2</w:t>
      </w:r>
      <w:r w:rsidR="00811E28" w:rsidRPr="00A5421B">
        <w:rPr>
          <w:rStyle w:val="FootnoteReference"/>
          <w:snapToGrid w:val="0"/>
          <w:szCs w:val="24"/>
        </w:rPr>
        <w:footnoteReference w:id="2"/>
      </w:r>
      <w:r w:rsidRPr="00A5421B">
        <w:t>,</w:t>
      </w:r>
    </w:p>
    <w:p w14:paraId="6E260329" w14:textId="77777777" w:rsidR="002422C0" w:rsidRPr="00A5421B" w:rsidRDefault="002422C0" w:rsidP="002422C0">
      <w:pPr>
        <w:pStyle w:val="NormalHanging12a"/>
      </w:pPr>
      <w:r w:rsidRPr="00A5421B">
        <w:t>–</w:t>
      </w:r>
      <w:r w:rsidRPr="00A5421B">
        <w:tab/>
        <w:t>zo zreteľom na stanovisko Výboru regiónov z 28. apríla 2022</w:t>
      </w:r>
      <w:r w:rsidRPr="00A5421B">
        <w:rPr>
          <w:rStyle w:val="FootnoteReference"/>
        </w:rPr>
        <w:footnoteReference w:id="3"/>
      </w:r>
      <w:r w:rsidRPr="00A5421B">
        <w:t xml:space="preserve">, </w:t>
      </w:r>
    </w:p>
    <w:p w14:paraId="435424DF" w14:textId="77777777" w:rsidR="002422C0" w:rsidRPr="00A5421B" w:rsidRDefault="002422C0" w:rsidP="002422C0">
      <w:pPr>
        <w:pStyle w:val="NormalHanging12a"/>
      </w:pPr>
      <w:r w:rsidRPr="00A5421B">
        <w:t>–</w:t>
      </w:r>
      <w:r w:rsidRPr="00A5421B">
        <w:tab/>
      </w:r>
      <w:r w:rsidRPr="00A5421B">
        <w:rPr>
          <w:snapToGrid w:val="0"/>
        </w:rPr>
        <w:t xml:space="preserve">so zreteľom na </w:t>
      </w:r>
      <w:proofErr w:type="spellStart"/>
      <w:r w:rsidRPr="00A5421B">
        <w:rPr>
          <w:snapToGrid w:val="0"/>
        </w:rPr>
        <w:t>Medziinštitucionálnu</w:t>
      </w:r>
      <w:proofErr w:type="spellEnd"/>
      <w:r w:rsidRPr="00A5421B">
        <w:rPr>
          <w:snapToGrid w:val="0"/>
        </w:rPr>
        <w:t xml:space="preserve"> dohodu z 28. novembra 2001 o systematickejšom používaní techniky prepracovania právnych aktov</w:t>
      </w:r>
      <w:r w:rsidRPr="00A5421B">
        <w:rPr>
          <w:rStyle w:val="FootnoteReference"/>
          <w:snapToGrid w:val="0"/>
          <w:szCs w:val="24"/>
        </w:rPr>
        <w:footnoteReference w:id="4"/>
      </w:r>
      <w:r w:rsidRPr="00A5421B">
        <w:rPr>
          <w:snapToGrid w:val="0"/>
        </w:rPr>
        <w:t>,</w:t>
      </w:r>
    </w:p>
    <w:p w14:paraId="0E1744EC" w14:textId="3F93D0C5" w:rsidR="002422C0" w:rsidRPr="00A5421B" w:rsidRDefault="002422C0" w:rsidP="002422C0">
      <w:pPr>
        <w:pStyle w:val="NormalHanging12a"/>
        <w:rPr>
          <w:snapToGrid w:val="0"/>
        </w:rPr>
      </w:pPr>
      <w:r w:rsidRPr="00A5421B">
        <w:t>–</w:t>
      </w:r>
      <w:r w:rsidRPr="00A5421B">
        <w:tab/>
      </w:r>
      <w:r w:rsidRPr="00A5421B">
        <w:rPr>
          <w:snapToGrid w:val="0"/>
        </w:rPr>
        <w:t>so zreteľom na list Výbor</w:t>
      </w:r>
      <w:r w:rsidR="004B5E7E" w:rsidRPr="00A5421B">
        <w:rPr>
          <w:snapToGrid w:val="0"/>
        </w:rPr>
        <w:t>u</w:t>
      </w:r>
      <w:r w:rsidRPr="00A5421B">
        <w:rPr>
          <w:snapToGrid w:val="0"/>
        </w:rPr>
        <w:t xml:space="preserve"> pre právne veci </w:t>
      </w:r>
      <w:r w:rsidR="004B5E7E" w:rsidRPr="00A5421B">
        <w:rPr>
          <w:snapToGrid w:val="0"/>
        </w:rPr>
        <w:t xml:space="preserve">zo 16. júna 2022 adresovaný </w:t>
      </w:r>
      <w:r w:rsidRPr="00A5421B">
        <w:rPr>
          <w:snapToGrid w:val="0"/>
        </w:rPr>
        <w:t xml:space="preserve">Výboru pre </w:t>
      </w:r>
      <w:r w:rsidRPr="00A5421B">
        <w:rPr>
          <w:snapToGrid w:val="0"/>
        </w:rPr>
        <w:lastRenderedPageBreak/>
        <w:t>ústavné veci v súlade s článkom 11</w:t>
      </w:r>
      <w:r w:rsidR="00F74876" w:rsidRPr="00A5421B">
        <w:rPr>
          <w:snapToGrid w:val="0"/>
        </w:rPr>
        <w:t>3</w:t>
      </w:r>
      <w:r w:rsidRPr="00A5421B">
        <w:rPr>
          <w:snapToGrid w:val="0"/>
        </w:rPr>
        <w:t xml:space="preserve"> ods. 3 rokovacieho poriadku,</w:t>
      </w:r>
    </w:p>
    <w:p w14:paraId="656D5C2E" w14:textId="2A000118" w:rsidR="004B5E7E" w:rsidRPr="00A5421B" w:rsidRDefault="004B5E7E" w:rsidP="004B5E7E">
      <w:pPr>
        <w:pStyle w:val="NormalHanging12a"/>
      </w:pPr>
      <w:r w:rsidRPr="00A5421B">
        <w:rPr>
          <w:snapToGrid w:val="0"/>
        </w:rPr>
        <w:t>–</w:t>
      </w:r>
      <w:r w:rsidRPr="00A5421B">
        <w:tab/>
        <w:t>so zreteľom na predbežnú dohodu schválenú gestorským výborom podľa článku 75 ods. 4 rokovacieho poriadku, a na záväzok zástupcu Rady, vyjadrený v liste z 9. júla 2025, schváliť pozíciu Európskeho parlamentu v súlade s článkom 294 ods. 4 Zmluvy o fungovaní Európskej únie,</w:t>
      </w:r>
    </w:p>
    <w:p w14:paraId="2DBBD745" w14:textId="7DE329D7" w:rsidR="002422C0" w:rsidRPr="00A5421B" w:rsidRDefault="002422C0" w:rsidP="002422C0">
      <w:pPr>
        <w:pStyle w:val="NormalHanging12a"/>
      </w:pPr>
      <w:r w:rsidRPr="00A5421B">
        <w:t>–</w:t>
      </w:r>
      <w:r w:rsidRPr="00A5421B">
        <w:tab/>
        <w:t xml:space="preserve">so zreteľom na články </w:t>
      </w:r>
      <w:r w:rsidR="004B5E7E" w:rsidRPr="00A5421B">
        <w:t xml:space="preserve">113 </w:t>
      </w:r>
      <w:r w:rsidRPr="00A5421B">
        <w:t xml:space="preserve">a </w:t>
      </w:r>
      <w:r w:rsidR="004B5E7E" w:rsidRPr="00A5421B">
        <w:t xml:space="preserve">60 </w:t>
      </w:r>
      <w:r w:rsidRPr="00A5421B">
        <w:t>rokovacieho poriadku,</w:t>
      </w:r>
    </w:p>
    <w:p w14:paraId="1A3E3B20" w14:textId="77777777" w:rsidR="002422C0" w:rsidRPr="00A5421B" w:rsidRDefault="002422C0" w:rsidP="002422C0">
      <w:pPr>
        <w:pStyle w:val="NormalHanging12a"/>
      </w:pPr>
      <w:r w:rsidRPr="00A5421B">
        <w:t>–</w:t>
      </w:r>
      <w:r w:rsidRPr="00A5421B">
        <w:tab/>
        <w:t>so zreteľom na stanovisko Výboru pre rozpočet,</w:t>
      </w:r>
    </w:p>
    <w:p w14:paraId="606EF1EC" w14:textId="77777777" w:rsidR="002422C0" w:rsidRPr="00A5421B" w:rsidRDefault="002422C0" w:rsidP="002422C0">
      <w:pPr>
        <w:pStyle w:val="NormalHanging12a"/>
      </w:pPr>
      <w:r w:rsidRPr="00A5421B">
        <w:t>–</w:t>
      </w:r>
      <w:r w:rsidRPr="00A5421B">
        <w:tab/>
        <w:t>so zreteľom na správu Výboru pre ústavné veci (A9-0223/2022),</w:t>
      </w:r>
    </w:p>
    <w:p w14:paraId="1B43C686" w14:textId="77777777" w:rsidR="002422C0" w:rsidRPr="00A5421B" w:rsidRDefault="002422C0" w:rsidP="002422C0">
      <w:pPr>
        <w:pStyle w:val="NormalHanging12a"/>
      </w:pPr>
      <w:r w:rsidRPr="00A5421B">
        <w:t>A.</w:t>
      </w:r>
      <w:r w:rsidRPr="00A5421B">
        <w:tab/>
      </w:r>
      <w:r w:rsidRPr="00A5421B">
        <w:rPr>
          <w:snapToGrid w:val="0"/>
        </w:rPr>
        <w:t>keďže podľa stanoviska konzultačnej pracovnej skupiny právnych služieb Európskeho parlamentu, Rady a Komisie neobsahuje návrh Komisie žiadne zásadné zmeny ako tie, ktoré v ňom boli ako také označené, a keďže, pokiaľ ide o kodifikáciu nezmenených ustanovení skorších aktov spolu s uvedenými zmenami, predmetom návrhu je iba jasná a jednoduchá kodifikácia platných aktov bezo zmeny ich podstaty;</w:t>
      </w:r>
    </w:p>
    <w:p w14:paraId="1223C9B7" w14:textId="77777777" w:rsidR="002422C0" w:rsidRPr="00A5421B" w:rsidRDefault="002422C0" w:rsidP="002422C0">
      <w:pPr>
        <w:pStyle w:val="NormalHanging12a"/>
      </w:pPr>
      <w:r w:rsidRPr="00A5421B">
        <w:t>1.</w:t>
      </w:r>
      <w:r w:rsidRPr="00A5421B">
        <w:tab/>
        <w:t>prijíma nasledujúcu pozíciu v prvom čítaní, pričom berie do úvahy odporúčania konzultačnej pracovnej skupiny právnych služieb Európskeho parlamentu, Rady a Komisie;</w:t>
      </w:r>
    </w:p>
    <w:p w14:paraId="01FE2C74" w14:textId="77777777" w:rsidR="002422C0" w:rsidRPr="00A5421B" w:rsidRDefault="002422C0" w:rsidP="002422C0">
      <w:pPr>
        <w:pStyle w:val="NormalHanging12a"/>
      </w:pPr>
      <w:r w:rsidRPr="00A5421B">
        <w:t>2.</w:t>
      </w:r>
      <w:r w:rsidRPr="00A5421B">
        <w:tab/>
        <w:t>žiada Komisiu, aby mu vec znovu predložila, ak nahrádza, podstatne mení alebo má v úmysle podstatne zmeniť svoj návrh;</w:t>
      </w:r>
    </w:p>
    <w:p w14:paraId="0EFC0FBF" w14:textId="77777777" w:rsidR="002422C0" w:rsidRPr="00A5421B" w:rsidRDefault="002422C0" w:rsidP="002422C0">
      <w:pPr>
        <w:pStyle w:val="NormalHanging12a"/>
      </w:pPr>
      <w:r w:rsidRPr="00A5421B">
        <w:t>3.</w:t>
      </w:r>
      <w:r w:rsidRPr="00A5421B">
        <w:tab/>
        <w:t>poveruje svoju predsedníčku, aby postúpila túto pozíciu Rade, Komisii a národným parlamentom.</w:t>
      </w:r>
    </w:p>
    <w:p w14:paraId="72F7C7AF" w14:textId="77777777" w:rsidR="004B5E7E" w:rsidRPr="00A5421B" w:rsidRDefault="004B5E7E" w:rsidP="002422C0">
      <w:pPr>
        <w:widowControl/>
        <w:sectPr w:rsidR="004B5E7E" w:rsidRPr="00A5421B" w:rsidSect="00DA1A0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0466895" w14:textId="1BC66FBA" w:rsidR="004B5E7E" w:rsidRPr="00A5421B" w:rsidRDefault="004B5E7E" w:rsidP="004B5E7E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A5421B">
        <w:rPr>
          <w:b/>
          <w:lang w:val="sk-SK"/>
        </w:rPr>
        <w:lastRenderedPageBreak/>
        <w:t>P10_TC1-COD(2021)0375</w:t>
      </w:r>
    </w:p>
    <w:p w14:paraId="67F076EE" w14:textId="5FA2A383" w:rsidR="003766AA" w:rsidRDefault="004B5E7E" w:rsidP="003766AA">
      <w:pPr>
        <w:widowControl/>
        <w:rPr>
          <w:rFonts w:eastAsia="Calibri"/>
          <w:b/>
          <w:szCs w:val="22"/>
          <w:lang w:eastAsia="en-US"/>
        </w:rPr>
      </w:pPr>
      <w:r w:rsidRPr="00A5421B">
        <w:rPr>
          <w:b/>
        </w:rPr>
        <w:t>Pozícia Európskeho parlamentu prijatá v prvom čítaní 21. októbra 2025 na účely prijatia nariadenia Európskeho parlamentu a Rady (EÚ</w:t>
      </w:r>
      <w:r w:rsidR="00BA162A">
        <w:rPr>
          <w:b/>
        </w:rPr>
        <w:t>, Euratom</w:t>
      </w:r>
      <w:r w:rsidRPr="00A5421B">
        <w:rPr>
          <w:b/>
        </w:rPr>
        <w:t xml:space="preserve">) 2025/... </w:t>
      </w:r>
      <w:r w:rsidR="003766AA" w:rsidRPr="00A5421B">
        <w:rPr>
          <w:rFonts w:eastAsia="Calibri"/>
          <w:b/>
          <w:szCs w:val="22"/>
          <w:lang w:eastAsia="en-US"/>
        </w:rPr>
        <w:t>o štatúte a financovaní európskych politických strán a európskych politických nadácií (prepracované znenie)</w:t>
      </w:r>
    </w:p>
    <w:p w14:paraId="6D9F3CA8" w14:textId="77777777" w:rsidR="002060C9" w:rsidRDefault="002060C9" w:rsidP="003766AA">
      <w:pPr>
        <w:widowControl/>
        <w:rPr>
          <w:rFonts w:eastAsia="Calibri"/>
          <w:b/>
          <w:szCs w:val="22"/>
          <w:lang w:eastAsia="en-US"/>
        </w:rPr>
      </w:pPr>
    </w:p>
    <w:p w14:paraId="563667B6" w14:textId="77777777" w:rsidR="002060C9" w:rsidRDefault="002060C9" w:rsidP="003766AA">
      <w:pPr>
        <w:widowControl/>
        <w:rPr>
          <w:rFonts w:eastAsia="Calibri"/>
          <w:b/>
          <w:szCs w:val="22"/>
          <w:lang w:eastAsia="en-US"/>
        </w:rPr>
      </w:pPr>
    </w:p>
    <w:p w14:paraId="74F90F29" w14:textId="315E7B22" w:rsidR="002060C9" w:rsidRPr="00731EF8" w:rsidRDefault="002060C9" w:rsidP="002060C9">
      <w:r w:rsidRPr="00731EF8">
        <w:rPr>
          <w:i/>
          <w:iCs/>
        </w:rPr>
        <w:t xml:space="preserve">(Keďže bola dosiahnutá dohoda medzi Európskym parlamentom a Radou, pozícia Európskeho parlamentu </w:t>
      </w:r>
      <w:r w:rsidRPr="002060C9">
        <w:rPr>
          <w:i/>
          <w:iCs/>
        </w:rPr>
        <w:t>zodpovedá záverečnému legislatívnemu aktu, nariadeniu (EÚ</w:t>
      </w:r>
      <w:r>
        <w:rPr>
          <w:i/>
          <w:iCs/>
        </w:rPr>
        <w:t xml:space="preserve">, </w:t>
      </w:r>
      <w:proofErr w:type="spellStart"/>
      <w:r>
        <w:rPr>
          <w:i/>
          <w:iCs/>
        </w:rPr>
        <w:t>Euratom</w:t>
      </w:r>
      <w:proofErr w:type="spellEnd"/>
      <w:r w:rsidRPr="002060C9">
        <w:rPr>
          <w:i/>
          <w:iCs/>
        </w:rPr>
        <w:t>) 2025/</w:t>
      </w:r>
      <w:r>
        <w:rPr>
          <w:i/>
          <w:iCs/>
        </w:rPr>
        <w:t>2445</w:t>
      </w:r>
      <w:r w:rsidRPr="002060C9">
        <w:rPr>
          <w:i/>
          <w:iCs/>
        </w:rPr>
        <w:t>.)</w:t>
      </w:r>
    </w:p>
    <w:p w14:paraId="03D27424" w14:textId="77777777" w:rsidR="002060C9" w:rsidRDefault="002060C9" w:rsidP="003766AA">
      <w:pPr>
        <w:widowControl/>
        <w:rPr>
          <w:rFonts w:eastAsia="Calibri"/>
          <w:b/>
          <w:szCs w:val="22"/>
          <w:lang w:eastAsia="en-US"/>
        </w:rPr>
      </w:pPr>
    </w:p>
    <w:sectPr w:rsidR="002060C9" w:rsidSect="002060C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669E7" w14:textId="77777777" w:rsidR="00CB710B" w:rsidRPr="00DA1A0B" w:rsidRDefault="00CB710B">
      <w:r w:rsidRPr="00DA1A0B">
        <w:separator/>
      </w:r>
    </w:p>
  </w:endnote>
  <w:endnote w:type="continuationSeparator" w:id="0">
    <w:p w14:paraId="4B54AE27" w14:textId="77777777" w:rsidR="00CB710B" w:rsidRPr="00DA1A0B" w:rsidRDefault="00CB710B">
      <w:r w:rsidRPr="00DA1A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6DB00" w14:textId="77777777" w:rsidR="00CB710B" w:rsidRPr="00DA1A0B" w:rsidRDefault="00CB710B">
      <w:r w:rsidRPr="00DA1A0B">
        <w:separator/>
      </w:r>
    </w:p>
  </w:footnote>
  <w:footnote w:type="continuationSeparator" w:id="0">
    <w:p w14:paraId="55685FBE" w14:textId="77777777" w:rsidR="00CB710B" w:rsidRPr="00DA1A0B" w:rsidRDefault="00CB710B">
      <w:r w:rsidRPr="00DA1A0B">
        <w:continuationSeparator/>
      </w:r>
    </w:p>
  </w:footnote>
  <w:footnote w:id="1">
    <w:p w14:paraId="69DAF2B3" w14:textId="52D3FC2B" w:rsidR="002422C0" w:rsidRPr="003766AA" w:rsidRDefault="002422C0" w:rsidP="00DA1A0B">
      <w:pPr>
        <w:pStyle w:val="FootnoteText"/>
        <w:ind w:left="567" w:hanging="567"/>
        <w:rPr>
          <w:sz w:val="24"/>
          <w:szCs w:val="24"/>
          <w:lang w:val="sk-SK"/>
        </w:rPr>
      </w:pPr>
      <w:r w:rsidRPr="003766AA">
        <w:rPr>
          <w:rStyle w:val="FootnoteReference"/>
          <w:sz w:val="24"/>
          <w:szCs w:val="24"/>
          <w:lang w:val="sk-SK"/>
        </w:rPr>
        <w:footnoteRef/>
      </w:r>
      <w:r w:rsidR="00DA1A0B" w:rsidRPr="003766AA">
        <w:rPr>
          <w:sz w:val="24"/>
          <w:szCs w:val="24"/>
          <w:lang w:val="sk-SK"/>
        </w:rPr>
        <w:t xml:space="preserve"> </w:t>
      </w:r>
      <w:r w:rsidR="00DA1A0B" w:rsidRPr="003766AA">
        <w:rPr>
          <w:sz w:val="24"/>
          <w:szCs w:val="24"/>
          <w:lang w:val="sk-SK"/>
        </w:rPr>
        <w:tab/>
      </w:r>
      <w:r w:rsidR="00811E28" w:rsidRPr="003766AA">
        <w:rPr>
          <w:sz w:val="24"/>
          <w:szCs w:val="24"/>
          <w:lang w:val="sk-SK"/>
        </w:rPr>
        <w:t>Ú. v. EÚ C 182, 4.5.2022, s. 14</w:t>
      </w:r>
      <w:r w:rsidRPr="003766AA">
        <w:rPr>
          <w:sz w:val="24"/>
          <w:szCs w:val="24"/>
          <w:lang w:val="sk-SK"/>
        </w:rPr>
        <w:t>.</w:t>
      </w:r>
    </w:p>
  </w:footnote>
  <w:footnote w:id="2">
    <w:p w14:paraId="027CE5F3" w14:textId="1CD0B88C" w:rsidR="00811E28" w:rsidRPr="003766AA" w:rsidRDefault="00811E28" w:rsidP="00811E28">
      <w:pPr>
        <w:pStyle w:val="FootnoteText"/>
        <w:ind w:left="567" w:hanging="567"/>
        <w:rPr>
          <w:sz w:val="24"/>
          <w:szCs w:val="24"/>
          <w:lang w:val="sk-SK"/>
        </w:rPr>
      </w:pPr>
      <w:r w:rsidRPr="003766AA">
        <w:rPr>
          <w:rStyle w:val="FootnoteReference"/>
          <w:sz w:val="24"/>
          <w:szCs w:val="24"/>
          <w:lang w:val="sk-SK"/>
        </w:rPr>
        <w:footnoteRef/>
      </w:r>
      <w:r w:rsidRPr="003766AA">
        <w:rPr>
          <w:sz w:val="24"/>
          <w:szCs w:val="24"/>
          <w:lang w:val="sk-SK"/>
        </w:rPr>
        <w:t xml:space="preserve"> </w:t>
      </w:r>
      <w:r w:rsidRPr="003766AA">
        <w:rPr>
          <w:sz w:val="24"/>
          <w:szCs w:val="24"/>
          <w:lang w:val="sk-SK"/>
        </w:rPr>
        <w:tab/>
        <w:t>Ú. v. EÚ C 275, 18.7.2022, s. 66.</w:t>
      </w:r>
    </w:p>
  </w:footnote>
  <w:footnote w:id="3">
    <w:p w14:paraId="0F9DB417" w14:textId="297DE566" w:rsidR="002422C0" w:rsidRPr="003766AA" w:rsidRDefault="002422C0" w:rsidP="00DA1A0B">
      <w:pPr>
        <w:pStyle w:val="FootnoteText"/>
        <w:ind w:left="567" w:hanging="567"/>
        <w:rPr>
          <w:sz w:val="24"/>
          <w:szCs w:val="24"/>
          <w:lang w:val="sk-SK"/>
        </w:rPr>
      </w:pPr>
      <w:r w:rsidRPr="003766AA">
        <w:rPr>
          <w:rStyle w:val="FootnoteReference"/>
          <w:sz w:val="24"/>
          <w:szCs w:val="24"/>
          <w:lang w:val="sk-SK"/>
        </w:rPr>
        <w:footnoteRef/>
      </w:r>
      <w:r w:rsidR="00DA1A0B" w:rsidRPr="003766AA">
        <w:rPr>
          <w:sz w:val="24"/>
          <w:szCs w:val="24"/>
          <w:lang w:val="sk-SK"/>
        </w:rPr>
        <w:t xml:space="preserve"> </w:t>
      </w:r>
      <w:r w:rsidR="00DA1A0B" w:rsidRPr="003766AA">
        <w:rPr>
          <w:sz w:val="24"/>
          <w:szCs w:val="24"/>
          <w:lang w:val="sk-SK"/>
        </w:rPr>
        <w:tab/>
      </w:r>
      <w:r w:rsidR="00811E28" w:rsidRPr="003766AA">
        <w:rPr>
          <w:sz w:val="24"/>
          <w:szCs w:val="24"/>
          <w:lang w:val="sk-SK"/>
        </w:rPr>
        <w:t>Ú. v. EÚ C 301, 5.8.2022, s. 102</w:t>
      </w:r>
      <w:r w:rsidRPr="003766AA">
        <w:rPr>
          <w:sz w:val="24"/>
          <w:szCs w:val="24"/>
          <w:lang w:val="sk-SK"/>
        </w:rPr>
        <w:t>.</w:t>
      </w:r>
    </w:p>
  </w:footnote>
  <w:footnote w:id="4">
    <w:p w14:paraId="3012A1E2" w14:textId="5DD6437C" w:rsidR="002422C0" w:rsidRPr="003766AA" w:rsidRDefault="002422C0" w:rsidP="00DA1A0B">
      <w:pPr>
        <w:pStyle w:val="FootnoteText"/>
        <w:ind w:left="567" w:hanging="567"/>
        <w:rPr>
          <w:sz w:val="24"/>
          <w:szCs w:val="24"/>
          <w:lang w:val="sk-SK"/>
        </w:rPr>
      </w:pPr>
      <w:r w:rsidRPr="003766AA">
        <w:rPr>
          <w:rStyle w:val="FootnoteReference"/>
          <w:sz w:val="24"/>
          <w:szCs w:val="24"/>
          <w:lang w:val="sk-SK"/>
        </w:rPr>
        <w:footnoteRef/>
      </w:r>
      <w:r w:rsidR="00DA1A0B" w:rsidRPr="003766AA">
        <w:rPr>
          <w:sz w:val="24"/>
          <w:szCs w:val="24"/>
          <w:lang w:val="sk-SK"/>
        </w:rPr>
        <w:t xml:space="preserve"> </w:t>
      </w:r>
      <w:r w:rsidR="00DA1A0B" w:rsidRPr="003766AA">
        <w:rPr>
          <w:sz w:val="24"/>
          <w:szCs w:val="24"/>
          <w:lang w:val="sk-SK"/>
        </w:rPr>
        <w:tab/>
      </w:r>
      <w:r w:rsidRPr="003766AA">
        <w:rPr>
          <w:sz w:val="24"/>
          <w:szCs w:val="24"/>
          <w:lang w:val="sk-SK"/>
        </w:rPr>
        <w:t>Ú. v. EÚ C 77, 28.3.20</w:t>
      </w:r>
      <w:r w:rsidR="00583724">
        <w:rPr>
          <w:sz w:val="24"/>
          <w:szCs w:val="24"/>
          <w:lang w:val="sk-SK"/>
        </w:rPr>
        <w:t>0</w:t>
      </w:r>
      <w:r w:rsidRPr="003766AA">
        <w:rPr>
          <w:sz w:val="24"/>
          <w:szCs w:val="24"/>
          <w:lang w:val="sk-SK"/>
        </w:rPr>
        <w:t>2, s.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CBE4812"/>
    <w:multiLevelType w:val="singleLevel"/>
    <w:tmpl w:val="FDFEB9B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color w:val="auto"/>
      </w:rPr>
    </w:lvl>
  </w:abstractNum>
  <w:num w:numId="1" w16cid:durableId="1367683067">
    <w:abstractNumId w:val="0"/>
  </w:num>
  <w:num w:numId="2" w16cid:durableId="2025866014">
    <w:abstractNumId w:val="6"/>
  </w:num>
  <w:num w:numId="3" w16cid:durableId="604266497">
    <w:abstractNumId w:val="16"/>
  </w:num>
  <w:num w:numId="4" w16cid:durableId="1386415615">
    <w:abstractNumId w:val="5"/>
  </w:num>
  <w:num w:numId="5" w16cid:durableId="374892692">
    <w:abstractNumId w:val="7"/>
    <w:lvlOverride w:ilvl="0">
      <w:startOverride w:val="1"/>
    </w:lvlOverride>
  </w:num>
  <w:num w:numId="6" w16cid:durableId="1132946027">
    <w:abstractNumId w:val="14"/>
  </w:num>
  <w:num w:numId="7" w16cid:durableId="1662276080">
    <w:abstractNumId w:val="15"/>
  </w:num>
  <w:num w:numId="8" w16cid:durableId="1176117891">
    <w:abstractNumId w:val="4"/>
  </w:num>
  <w:num w:numId="9" w16cid:durableId="1822964334">
    <w:abstractNumId w:val="8"/>
  </w:num>
  <w:num w:numId="10" w16cid:durableId="1709989863">
    <w:abstractNumId w:val="2"/>
  </w:num>
  <w:num w:numId="11" w16cid:durableId="1506700194">
    <w:abstractNumId w:val="1"/>
  </w:num>
  <w:num w:numId="12" w16cid:durableId="888110184">
    <w:abstractNumId w:val="10"/>
  </w:num>
  <w:num w:numId="13" w16cid:durableId="54208376">
    <w:abstractNumId w:val="12"/>
  </w:num>
  <w:num w:numId="14" w16cid:durableId="237792357">
    <w:abstractNumId w:val="13"/>
  </w:num>
  <w:num w:numId="15" w16cid:durableId="2064789199">
    <w:abstractNumId w:val="3"/>
  </w:num>
  <w:num w:numId="16" w16cid:durableId="1867448726">
    <w:abstractNumId w:val="11"/>
  </w:num>
  <w:num w:numId="17" w16cid:durableId="189839961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223/2022"/>
    <w:docVar w:name="dvlangue" w:val="SK"/>
    <w:docVar w:name="dvnumam" w:val="153"/>
    <w:docVar w:name="dvpe" w:val="719.606"/>
    <w:docVar w:name="dvrapporteur" w:val="Spravodajcovia: "/>
    <w:docVar w:name="dvstar" w:val="***I"/>
    <w:docVar w:name="dvtitre" w:val="Legislatívne uznesenie Európskeho parlamentu z xx. októbra 2025 o návrhu nariadenia Európskeho parlamentu a Rady o štatúte a financovaní európskych politických strán a európskych politických nadácií (prepracované znenie) (COM(2021)0734 – C9-0432/2021 – 2021/0375(COD))"/>
  </w:docVars>
  <w:rsids>
    <w:rsidRoot w:val="00CB710B"/>
    <w:rsid w:val="00002272"/>
    <w:rsid w:val="00064002"/>
    <w:rsid w:val="000677B9"/>
    <w:rsid w:val="000831BA"/>
    <w:rsid w:val="000A2D8F"/>
    <w:rsid w:val="000A42CC"/>
    <w:rsid w:val="000E7DD9"/>
    <w:rsid w:val="0010095E"/>
    <w:rsid w:val="00125B37"/>
    <w:rsid w:val="00187494"/>
    <w:rsid w:val="001F32AE"/>
    <w:rsid w:val="002060C9"/>
    <w:rsid w:val="00206679"/>
    <w:rsid w:val="002422C0"/>
    <w:rsid w:val="002767FF"/>
    <w:rsid w:val="002B18FE"/>
    <w:rsid w:val="002B5493"/>
    <w:rsid w:val="00343214"/>
    <w:rsid w:val="00361C00"/>
    <w:rsid w:val="003766AA"/>
    <w:rsid w:val="00395FA1"/>
    <w:rsid w:val="003E15D4"/>
    <w:rsid w:val="00411CCE"/>
    <w:rsid w:val="0041666E"/>
    <w:rsid w:val="00421060"/>
    <w:rsid w:val="00471C19"/>
    <w:rsid w:val="004835A1"/>
    <w:rsid w:val="004867E3"/>
    <w:rsid w:val="00494A28"/>
    <w:rsid w:val="004B5E7E"/>
    <w:rsid w:val="004C0004"/>
    <w:rsid w:val="004C3363"/>
    <w:rsid w:val="004C5D52"/>
    <w:rsid w:val="004D2BE0"/>
    <w:rsid w:val="004F52AF"/>
    <w:rsid w:val="0050519A"/>
    <w:rsid w:val="005072A1"/>
    <w:rsid w:val="00514517"/>
    <w:rsid w:val="00545827"/>
    <w:rsid w:val="00560270"/>
    <w:rsid w:val="00563C7B"/>
    <w:rsid w:val="00583724"/>
    <w:rsid w:val="005C2568"/>
    <w:rsid w:val="005F1B17"/>
    <w:rsid w:val="006037C0"/>
    <w:rsid w:val="00620678"/>
    <w:rsid w:val="006631B6"/>
    <w:rsid w:val="00663A89"/>
    <w:rsid w:val="0068024F"/>
    <w:rsid w:val="00680577"/>
    <w:rsid w:val="006E2DEF"/>
    <w:rsid w:val="006F74FA"/>
    <w:rsid w:val="0070699B"/>
    <w:rsid w:val="00731ADD"/>
    <w:rsid w:val="00734777"/>
    <w:rsid w:val="00747932"/>
    <w:rsid w:val="00751A4A"/>
    <w:rsid w:val="00756632"/>
    <w:rsid w:val="00762C74"/>
    <w:rsid w:val="00786EC0"/>
    <w:rsid w:val="007C2768"/>
    <w:rsid w:val="007D1690"/>
    <w:rsid w:val="007D63D0"/>
    <w:rsid w:val="007E22AD"/>
    <w:rsid w:val="00811E28"/>
    <w:rsid w:val="008136A1"/>
    <w:rsid w:val="00817416"/>
    <w:rsid w:val="0082715D"/>
    <w:rsid w:val="00842779"/>
    <w:rsid w:val="00865F67"/>
    <w:rsid w:val="00881A7B"/>
    <w:rsid w:val="008840E5"/>
    <w:rsid w:val="00887B3E"/>
    <w:rsid w:val="008A5D1B"/>
    <w:rsid w:val="008C2AC6"/>
    <w:rsid w:val="00930C23"/>
    <w:rsid w:val="0093193B"/>
    <w:rsid w:val="009509D8"/>
    <w:rsid w:val="00950B64"/>
    <w:rsid w:val="00977704"/>
    <w:rsid w:val="00981893"/>
    <w:rsid w:val="00A1687D"/>
    <w:rsid w:val="00A43E52"/>
    <w:rsid w:val="00A4678D"/>
    <w:rsid w:val="00A5421B"/>
    <w:rsid w:val="00A778C7"/>
    <w:rsid w:val="00AB441E"/>
    <w:rsid w:val="00AB6293"/>
    <w:rsid w:val="00AE0928"/>
    <w:rsid w:val="00AF3B82"/>
    <w:rsid w:val="00B12E95"/>
    <w:rsid w:val="00B22876"/>
    <w:rsid w:val="00B558F0"/>
    <w:rsid w:val="00BA162A"/>
    <w:rsid w:val="00BD48FE"/>
    <w:rsid w:val="00BD7BD8"/>
    <w:rsid w:val="00BE6ADC"/>
    <w:rsid w:val="00C05BFE"/>
    <w:rsid w:val="00C23CD4"/>
    <w:rsid w:val="00C4348E"/>
    <w:rsid w:val="00C61C0C"/>
    <w:rsid w:val="00C818E3"/>
    <w:rsid w:val="00C941CB"/>
    <w:rsid w:val="00CB710B"/>
    <w:rsid w:val="00CC2357"/>
    <w:rsid w:val="00CF071A"/>
    <w:rsid w:val="00D058B8"/>
    <w:rsid w:val="00D56C11"/>
    <w:rsid w:val="00D834A0"/>
    <w:rsid w:val="00D872DF"/>
    <w:rsid w:val="00D91E21"/>
    <w:rsid w:val="00DA1A0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FC9"/>
    <w:rsid w:val="00F74202"/>
    <w:rsid w:val="00F74876"/>
    <w:rsid w:val="00F87713"/>
    <w:rsid w:val="00FB4360"/>
    <w:rsid w:val="00FC044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759D6C"/>
  <w15:chartTrackingRefBased/>
  <w15:docId w15:val="{CDCB5723-59B1-4C63-ABA1-70BC90CD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422C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2C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2C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2C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422C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422C0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rsid w:val="002422C0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9"/>
    <w:rsid w:val="002422C0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9"/>
    <w:rsid w:val="002422C0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2422C0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2422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2422C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2422C0"/>
    <w:pPr>
      <w:spacing w:after="240"/>
    </w:pPr>
  </w:style>
  <w:style w:type="paragraph" w:customStyle="1" w:styleId="TOCPage">
    <w:name w:val="TOC Page"/>
    <w:basedOn w:val="Normal"/>
    <w:next w:val="TOC1"/>
    <w:rsid w:val="002422C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422C0"/>
    <w:pPr>
      <w:spacing w:after="120"/>
    </w:pPr>
  </w:style>
  <w:style w:type="paragraph" w:customStyle="1" w:styleId="NormalBold">
    <w:name w:val="NormalBold"/>
    <w:basedOn w:val="Normal"/>
    <w:link w:val="NormalBoldChar"/>
    <w:rsid w:val="002422C0"/>
    <w:rPr>
      <w:b/>
    </w:rPr>
  </w:style>
  <w:style w:type="paragraph" w:customStyle="1" w:styleId="NormalBold12a">
    <w:name w:val="NormalBold12a"/>
    <w:basedOn w:val="Normal"/>
    <w:rsid w:val="002422C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422C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422C0"/>
    <w:pPr>
      <w:spacing w:after="480"/>
      <w:ind w:left="1417"/>
    </w:pPr>
  </w:style>
  <w:style w:type="paragraph" w:customStyle="1" w:styleId="CoverNormal">
    <w:name w:val="CoverNormal"/>
    <w:basedOn w:val="Normal"/>
    <w:rsid w:val="002422C0"/>
    <w:pPr>
      <w:ind w:left="1418"/>
    </w:pPr>
  </w:style>
  <w:style w:type="paragraph" w:customStyle="1" w:styleId="CoverReference">
    <w:name w:val="CoverReference"/>
    <w:basedOn w:val="Normal"/>
    <w:rsid w:val="002422C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422C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422C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422C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422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22C0"/>
    <w:rPr>
      <w:sz w:val="24"/>
      <w:lang w:val="sk-SK"/>
    </w:rPr>
  </w:style>
  <w:style w:type="paragraph" w:customStyle="1" w:styleId="AnnexWPTabs">
    <w:name w:val="AnnexWPTabs"/>
    <w:basedOn w:val="Normal"/>
    <w:rsid w:val="002422C0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2422C0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2422C0"/>
    <w:rPr>
      <w:smallCaps/>
      <w:sz w:val="20"/>
    </w:rPr>
  </w:style>
  <w:style w:type="paragraph" w:customStyle="1" w:styleId="AnnexWPDocType">
    <w:name w:val="AnnexWPDocType"/>
    <w:basedOn w:val="Normal"/>
    <w:rsid w:val="002422C0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2422C0"/>
    <w:pPr>
      <w:spacing w:before="480"/>
    </w:pPr>
    <w:rPr>
      <w:b/>
    </w:rPr>
  </w:style>
  <w:style w:type="paragraph" w:customStyle="1" w:styleId="AmJustText">
    <w:name w:val="AmJustText"/>
    <w:basedOn w:val="Normal"/>
    <w:rsid w:val="002422C0"/>
    <w:pPr>
      <w:spacing w:after="240"/>
    </w:pPr>
    <w:rPr>
      <w:i/>
    </w:rPr>
  </w:style>
  <w:style w:type="paragraph" w:customStyle="1" w:styleId="AmCrossRef">
    <w:name w:val="AmCrossRef"/>
    <w:basedOn w:val="Normal"/>
    <w:rsid w:val="002422C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422C0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2422C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422C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22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422C0"/>
    <w:pPr>
      <w:spacing w:before="240"/>
    </w:pPr>
    <w:rPr>
      <w:b/>
    </w:rPr>
  </w:style>
  <w:style w:type="paragraph" w:customStyle="1" w:styleId="EPBody">
    <w:name w:val="EPBody"/>
    <w:basedOn w:val="Normal"/>
    <w:rsid w:val="002422C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2422C0"/>
    <w:pPr>
      <w:spacing w:before="120" w:after="120"/>
    </w:pPr>
  </w:style>
  <w:style w:type="paragraph" w:customStyle="1" w:styleId="EPFooter">
    <w:name w:val="EPFooter"/>
    <w:basedOn w:val="Normal"/>
    <w:rsid w:val="002422C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22C0"/>
    <w:pPr>
      <w:spacing w:before="480" w:after="240"/>
    </w:pPr>
  </w:style>
  <w:style w:type="paragraph" w:customStyle="1" w:styleId="Lgendesigne">
    <w:name w:val="Légende signe"/>
    <w:basedOn w:val="Normal"/>
    <w:rsid w:val="002422C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422C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422C0"/>
    <w:rPr>
      <w:sz w:val="18"/>
    </w:rPr>
  </w:style>
  <w:style w:type="paragraph" w:styleId="ListParagraph">
    <w:name w:val="List Paragraph"/>
    <w:basedOn w:val="Normal"/>
    <w:uiPriority w:val="34"/>
    <w:qFormat/>
    <w:rsid w:val="002422C0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snapToGrid w:val="0"/>
      <w:ind w:left="720"/>
      <w:contextualSpacing/>
      <w:jc w:val="both"/>
    </w:pPr>
  </w:style>
  <w:style w:type="paragraph" w:customStyle="1" w:styleId="EntPE">
    <w:name w:val="EntPE"/>
    <w:basedOn w:val="Normal12"/>
    <w:rsid w:val="002422C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422C0"/>
    <w:pPr>
      <w:spacing w:after="240"/>
    </w:pPr>
    <w:rPr>
      <w:noProof/>
    </w:rPr>
  </w:style>
  <w:style w:type="paragraph" w:customStyle="1" w:styleId="CommitteeAM">
    <w:name w:val="CommitteeAM"/>
    <w:basedOn w:val="Normal"/>
    <w:rsid w:val="002422C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422C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422C0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2422C0"/>
    <w:rPr>
      <w:noProof/>
      <w:sz w:val="24"/>
      <w:lang w:val="sk-SK"/>
    </w:rPr>
  </w:style>
  <w:style w:type="paragraph" w:customStyle="1" w:styleId="PELeft">
    <w:name w:val="PELeft"/>
    <w:basedOn w:val="Normal"/>
    <w:rsid w:val="002422C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422C0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2422C0"/>
    <w:pPr>
      <w:spacing w:after="120"/>
    </w:pPr>
  </w:style>
  <w:style w:type="paragraph" w:customStyle="1" w:styleId="Normal12Italic">
    <w:name w:val="Normal12Italic"/>
    <w:basedOn w:val="Normal12"/>
    <w:rsid w:val="002422C0"/>
    <w:rPr>
      <w:i/>
    </w:rPr>
  </w:style>
  <w:style w:type="character" w:customStyle="1" w:styleId="NormalBoldChar">
    <w:name w:val="NormalBold Char"/>
    <w:basedOn w:val="DefaultParagraphFont"/>
    <w:link w:val="NormalBold"/>
    <w:rsid w:val="002422C0"/>
    <w:rPr>
      <w:b/>
      <w:sz w:val="24"/>
      <w:lang w:val="sk-SK"/>
    </w:rPr>
  </w:style>
  <w:style w:type="paragraph" w:customStyle="1" w:styleId="JustificationTitle">
    <w:name w:val="JustificationTitle"/>
    <w:basedOn w:val="Normal"/>
    <w:next w:val="Normal12"/>
    <w:rsid w:val="002422C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422C0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2422C0"/>
    <w:rPr>
      <w:sz w:val="24"/>
      <w:lang w:val="sk-SK"/>
    </w:rPr>
  </w:style>
  <w:style w:type="paragraph" w:customStyle="1" w:styleId="ColumnHeading">
    <w:name w:val="ColumnHeading"/>
    <w:basedOn w:val="Normal"/>
    <w:rsid w:val="002422C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422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422C0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2422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22C0"/>
    <w:rPr>
      <w:sz w:val="24"/>
      <w:lang w:val="sk-SK"/>
    </w:rPr>
  </w:style>
  <w:style w:type="character" w:customStyle="1" w:styleId="Footer2Middle">
    <w:name w:val="Footer2Middle"/>
    <w:rsid w:val="002422C0"/>
    <w:rPr>
      <w:rFonts w:ascii="Arial" w:cs="Arial"/>
      <w:b w:val="0"/>
      <w:i/>
      <w:color w:val="C0C0C0"/>
      <w:sz w:val="22"/>
    </w:rPr>
  </w:style>
  <w:style w:type="character" w:styleId="CommentReference">
    <w:name w:val="annotation reference"/>
    <w:basedOn w:val="DefaultParagraphFont"/>
    <w:uiPriority w:val="99"/>
    <w:rsid w:val="002422C0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2422C0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2422C0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42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422C0"/>
    <w:rPr>
      <w:b/>
      <w:bCs/>
      <w:lang w:val="sk-SK"/>
    </w:rPr>
  </w:style>
  <w:style w:type="paragraph" w:styleId="BalloonText">
    <w:name w:val="Balloon Text"/>
    <w:basedOn w:val="Normal"/>
    <w:link w:val="BalloonTextChar"/>
    <w:uiPriority w:val="99"/>
    <w:unhideWhenUsed/>
    <w:rsid w:val="002422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422C0"/>
    <w:rPr>
      <w:rFonts w:ascii="Segoe UI" w:hAnsi="Segoe UI" w:cs="Segoe UI"/>
      <w:sz w:val="18"/>
      <w:szCs w:val="18"/>
      <w:lang w:val="sk-SK"/>
    </w:rPr>
  </w:style>
  <w:style w:type="paragraph" w:styleId="Revision">
    <w:name w:val="Revision"/>
    <w:hidden/>
    <w:uiPriority w:val="99"/>
    <w:semiHidden/>
    <w:rsid w:val="002422C0"/>
    <w:rPr>
      <w:sz w:val="24"/>
      <w:lang w:val="sk-SK"/>
    </w:rPr>
  </w:style>
  <w:style w:type="character" w:styleId="Hyperlink">
    <w:name w:val="Hyperlink"/>
    <w:basedOn w:val="DefaultParagraphFont"/>
    <w:uiPriority w:val="99"/>
    <w:rsid w:val="002422C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22C0"/>
    <w:rPr>
      <w:color w:val="605E5C"/>
      <w:shd w:val="clear" w:color="auto" w:fill="E1DFDD"/>
    </w:rPr>
  </w:style>
  <w:style w:type="paragraph" w:customStyle="1" w:styleId="LetterSubject">
    <w:name w:val="LetterSubject"/>
    <w:basedOn w:val="Normal"/>
    <w:rsid w:val="002422C0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2422C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422C0"/>
    <w:rPr>
      <w:sz w:val="24"/>
      <w:lang w:val="sk-SK"/>
    </w:rPr>
  </w:style>
  <w:style w:type="paragraph" w:customStyle="1" w:styleId="LetterSalutation">
    <w:name w:val="LetterSalutation"/>
    <w:basedOn w:val="Normal"/>
    <w:rsid w:val="002422C0"/>
    <w:pPr>
      <w:spacing w:before="600" w:after="360"/>
    </w:pPr>
  </w:style>
  <w:style w:type="paragraph" w:customStyle="1" w:styleId="PageHeadingNotTOC">
    <w:name w:val="PageHeadingNotTOC"/>
    <w:basedOn w:val="Normal"/>
    <w:rsid w:val="002422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422C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2422C0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422C0"/>
    <w:rPr>
      <w:rFonts w:ascii="Calibri" w:eastAsiaTheme="minorHAnsi" w:hAnsi="Calibri" w:cstheme="minorBidi"/>
      <w:sz w:val="22"/>
      <w:szCs w:val="21"/>
      <w:lang w:val="sk-SK" w:eastAsia="en-US"/>
    </w:rPr>
  </w:style>
  <w:style w:type="character" w:customStyle="1" w:styleId="Sup">
    <w:name w:val="Sup"/>
    <w:uiPriority w:val="1"/>
    <w:qFormat/>
    <w:rsid w:val="002422C0"/>
    <w:rPr>
      <w:vertAlign w:val="superscript"/>
    </w:rPr>
  </w:style>
  <w:style w:type="paragraph" w:customStyle="1" w:styleId="RollCallSymbols14pt">
    <w:name w:val="RollCallSymbols14pt"/>
    <w:basedOn w:val="Normal"/>
    <w:rsid w:val="002422C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422C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422C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422C0"/>
    <w:pPr>
      <w:spacing w:before="120" w:after="120"/>
    </w:pPr>
    <w:rPr>
      <w:snapToGrid w:val="0"/>
      <w:sz w:val="16"/>
      <w:lang w:eastAsia="en-US"/>
    </w:rPr>
  </w:style>
  <w:style w:type="character" w:customStyle="1" w:styleId="SupBoldItalic">
    <w:name w:val="SupBoldItalic"/>
    <w:uiPriority w:val="1"/>
    <w:qFormat/>
    <w:rsid w:val="002422C0"/>
    <w:rPr>
      <w:b/>
      <w:i/>
      <w:vertAlign w:val="superscript"/>
    </w:rPr>
  </w:style>
  <w:style w:type="paragraph" w:customStyle="1" w:styleId="Institutionquiagit">
    <w:name w:val="Institution qui agit"/>
    <w:basedOn w:val="Normal"/>
    <w:next w:val="Normal"/>
    <w:rsid w:val="004B5E7E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rsid w:val="003766A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766AA"/>
    <w:pPr>
      <w:spacing w:after="240"/>
      <w:jc w:val="center"/>
    </w:pPr>
  </w:style>
  <w:style w:type="paragraph" w:customStyle="1" w:styleId="AmDateTab">
    <w:name w:val="AmDateTab"/>
    <w:basedOn w:val="Normal"/>
    <w:rsid w:val="003766A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766A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766AA"/>
  </w:style>
  <w:style w:type="paragraph" w:customStyle="1" w:styleId="Text1">
    <w:name w:val="Text 1"/>
    <w:basedOn w:val="Normal"/>
    <w:rsid w:val="003766A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766A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3766AA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rsid w:val="003766AA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3766AA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3766AA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rsid w:val="003766AA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styleId="Caption">
    <w:name w:val="caption"/>
    <w:basedOn w:val="Normal"/>
    <w:next w:val="Normal"/>
    <w:uiPriority w:val="99"/>
    <w:qFormat/>
    <w:rsid w:val="003766AA"/>
    <w:pPr>
      <w:widowControl/>
      <w:autoSpaceDE w:val="0"/>
      <w:autoSpaceDN w:val="0"/>
      <w:spacing w:before="120" w:after="120"/>
      <w:jc w:val="both"/>
    </w:pPr>
    <w:rPr>
      <w:b/>
      <w:bCs/>
      <w:szCs w:val="24"/>
    </w:rPr>
  </w:style>
  <w:style w:type="paragraph" w:customStyle="1" w:styleId="Rfrenceinstitutionelle">
    <w:name w:val="Référence institutionelle"/>
    <w:basedOn w:val="Normal"/>
    <w:next w:val="Statut"/>
    <w:uiPriority w:val="99"/>
    <w:rsid w:val="003766AA"/>
    <w:pPr>
      <w:widowControl/>
      <w:autoSpaceDE w:val="0"/>
      <w:autoSpaceDN w:val="0"/>
      <w:spacing w:after="240"/>
      <w:ind w:left="5103"/>
    </w:pPr>
    <w:rPr>
      <w:szCs w:val="24"/>
    </w:rPr>
  </w:style>
  <w:style w:type="paragraph" w:customStyle="1" w:styleId="Statut">
    <w:name w:val="Statut"/>
    <w:basedOn w:val="Normal"/>
    <w:next w:val="Typedudocument"/>
    <w:rsid w:val="003766A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766A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766A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766AA"/>
    <w:pPr>
      <w:spacing w:after="240"/>
    </w:pPr>
  </w:style>
  <w:style w:type="paragraph" w:customStyle="1" w:styleId="Languesfaisantfoi">
    <w:name w:val="Langues faisant foi"/>
    <w:basedOn w:val="Normal"/>
    <w:next w:val="Normal"/>
    <w:rsid w:val="003766A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Titreobjet"/>
    <w:uiPriority w:val="99"/>
    <w:rsid w:val="003766AA"/>
    <w:pPr>
      <w:autoSpaceDE w:val="0"/>
      <w:autoSpaceDN w:val="0"/>
      <w:spacing w:before="0" w:after="0"/>
    </w:pPr>
    <w:rPr>
      <w:rFonts w:eastAsia="Times New Roman"/>
      <w:bCs/>
      <w:szCs w:val="24"/>
      <w:lang w:eastAsia="en-GB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3766AA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dimpactPMEtitre">
    <w:name w:val="Fiche d'impact PME titre"/>
    <w:basedOn w:val="Normal"/>
    <w:next w:val="Normal"/>
    <w:uiPriority w:val="99"/>
    <w:rsid w:val="003766AA"/>
    <w:pPr>
      <w:widowControl/>
      <w:autoSpaceDE w:val="0"/>
      <w:autoSpaceDN w:val="0"/>
      <w:spacing w:before="120" w:after="120"/>
      <w:jc w:val="center"/>
    </w:pPr>
    <w:rPr>
      <w:b/>
      <w:bCs/>
      <w:szCs w:val="24"/>
    </w:rPr>
  </w:style>
  <w:style w:type="paragraph" w:customStyle="1" w:styleId="Fichefinanciretextetable">
    <w:name w:val="Fiche financière texte (table)"/>
    <w:basedOn w:val="Normal"/>
    <w:uiPriority w:val="99"/>
    <w:rsid w:val="003766AA"/>
    <w:pPr>
      <w:widowControl/>
      <w:autoSpaceDE w:val="0"/>
      <w:autoSpaceDN w:val="0"/>
    </w:pPr>
    <w:rPr>
      <w:sz w:val="20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3766AA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3766AA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financiretitretable">
    <w:name w:val="Fiche financière titre (table)"/>
    <w:basedOn w:val="Normal"/>
    <w:uiPriority w:val="99"/>
    <w:rsid w:val="003766AA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Langueoriginale">
    <w:name w:val="Langue originale"/>
    <w:basedOn w:val="Normal"/>
    <w:next w:val="Phrasefinale"/>
    <w:uiPriority w:val="99"/>
    <w:rsid w:val="003766AA"/>
    <w:pPr>
      <w:widowControl/>
      <w:autoSpaceDE w:val="0"/>
      <w:autoSpaceDN w:val="0"/>
      <w:spacing w:before="360" w:after="120"/>
      <w:jc w:val="center"/>
    </w:pPr>
    <w:rPr>
      <w:caps/>
      <w:szCs w:val="24"/>
    </w:rPr>
  </w:style>
  <w:style w:type="paragraph" w:customStyle="1" w:styleId="Phrasefinale">
    <w:name w:val="Phrase finale"/>
    <w:basedOn w:val="Normal"/>
    <w:next w:val="Normal"/>
    <w:uiPriority w:val="99"/>
    <w:rsid w:val="003766AA"/>
    <w:pPr>
      <w:widowControl/>
      <w:autoSpaceDE w:val="0"/>
      <w:autoSpaceDN w:val="0"/>
      <w:spacing w:before="360"/>
      <w:jc w:val="center"/>
    </w:pPr>
    <w:rPr>
      <w:szCs w:val="24"/>
    </w:rPr>
  </w:style>
  <w:style w:type="paragraph" w:customStyle="1" w:styleId="Prliminairetitre">
    <w:name w:val="Préliminaire titre"/>
    <w:basedOn w:val="Normal"/>
    <w:next w:val="Normal"/>
    <w:uiPriority w:val="99"/>
    <w:rsid w:val="003766AA"/>
    <w:pPr>
      <w:widowControl/>
      <w:autoSpaceDE w:val="0"/>
      <w:autoSpaceDN w:val="0"/>
      <w:spacing w:before="360" w:after="360"/>
      <w:jc w:val="center"/>
    </w:pPr>
    <w:rPr>
      <w:b/>
      <w:bCs/>
      <w:szCs w:val="24"/>
    </w:rPr>
  </w:style>
  <w:style w:type="paragraph" w:customStyle="1" w:styleId="Prliminairetype">
    <w:name w:val="Préliminaire type"/>
    <w:basedOn w:val="Normal"/>
    <w:next w:val="Normal"/>
    <w:uiPriority w:val="99"/>
    <w:rsid w:val="003766AA"/>
    <w:pPr>
      <w:widowControl/>
      <w:autoSpaceDE w:val="0"/>
      <w:autoSpaceDN w:val="0"/>
      <w:spacing w:before="360"/>
      <w:jc w:val="center"/>
    </w:pPr>
    <w:rPr>
      <w:b/>
      <w:bCs/>
      <w:szCs w:val="24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3766AA"/>
    <w:pPr>
      <w:widowControl/>
      <w:autoSpaceDE w:val="0"/>
      <w:autoSpaceDN w:val="0"/>
      <w:ind w:left="5103"/>
    </w:pPr>
    <w:rPr>
      <w:szCs w:val="24"/>
    </w:rPr>
  </w:style>
  <w:style w:type="paragraph" w:styleId="TOAHeading">
    <w:name w:val="toa heading"/>
    <w:basedOn w:val="Normal"/>
    <w:next w:val="Normal"/>
    <w:uiPriority w:val="99"/>
    <w:rsid w:val="003766AA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</w:rPr>
  </w:style>
  <w:style w:type="character" w:customStyle="1" w:styleId="CRTextDeleted">
    <w:name w:val="CR TextDeleted"/>
    <w:uiPriority w:val="99"/>
    <w:rsid w:val="003766AA"/>
  </w:style>
  <w:style w:type="paragraph" w:customStyle="1" w:styleId="Titredumodificateur">
    <w:name w:val="Titre du modificateur"/>
    <w:basedOn w:val="Normal"/>
    <w:next w:val="Annexetitrefichefinacte"/>
    <w:uiPriority w:val="99"/>
    <w:rsid w:val="003766AA"/>
    <w:pPr>
      <w:widowControl/>
      <w:autoSpaceDE w:val="0"/>
      <w:autoSpaceDN w:val="0"/>
      <w:spacing w:before="240" w:after="60"/>
    </w:pPr>
    <w:rPr>
      <w:b/>
      <w:bCs/>
      <w:szCs w:val="24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3766AA"/>
    <w:pPr>
      <w:widowControl/>
      <w:autoSpaceDE w:val="0"/>
      <w:autoSpaceDN w:val="0"/>
      <w:spacing w:after="120"/>
    </w:pPr>
    <w:rPr>
      <w:szCs w:val="24"/>
    </w:rPr>
  </w:style>
  <w:style w:type="paragraph" w:customStyle="1" w:styleId="LegalNumPar">
    <w:name w:val="LegalNumPar"/>
    <w:basedOn w:val="Normal"/>
    <w:rsid w:val="003766AA"/>
    <w:pPr>
      <w:widowControl/>
      <w:numPr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2">
    <w:name w:val="LegalNumPar2"/>
    <w:basedOn w:val="Normal"/>
    <w:rsid w:val="003766AA"/>
    <w:pPr>
      <w:widowControl/>
      <w:numPr>
        <w:ilvl w:val="1"/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3">
    <w:name w:val="LegalNumPar3"/>
    <w:basedOn w:val="Normal"/>
    <w:rsid w:val="003766AA"/>
    <w:pPr>
      <w:widowControl/>
      <w:numPr>
        <w:ilvl w:val="2"/>
        <w:numId w:val="4"/>
      </w:numPr>
      <w:spacing w:before="120" w:after="120" w:line="360" w:lineRule="auto"/>
      <w:jc w:val="both"/>
    </w:pPr>
    <w:rPr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3766AA"/>
    <w:pPr>
      <w:widowControl/>
      <w:autoSpaceDE w:val="0"/>
      <w:autoSpaceDN w:val="0"/>
      <w:spacing w:before="120" w:after="120"/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766AA"/>
    <w:rPr>
      <w:lang w:val="sk-SK"/>
    </w:rPr>
  </w:style>
  <w:style w:type="character" w:styleId="EndnoteReference">
    <w:name w:val="endnote reference"/>
    <w:uiPriority w:val="99"/>
    <w:unhideWhenUsed/>
    <w:rsid w:val="003766AA"/>
    <w:rPr>
      <w:rFonts w:cs="Times New Roman"/>
      <w:vertAlign w:val="superscript"/>
    </w:rPr>
  </w:style>
  <w:style w:type="character" w:styleId="Emphasis">
    <w:name w:val="Emphasis"/>
    <w:uiPriority w:val="20"/>
    <w:qFormat/>
    <w:rsid w:val="003766AA"/>
    <w:rPr>
      <w:rFonts w:cs="Times New Roman"/>
      <w:i/>
    </w:rPr>
  </w:style>
  <w:style w:type="paragraph" w:styleId="NormalWeb">
    <w:name w:val="Normal (Web)"/>
    <w:basedOn w:val="Normal"/>
    <w:uiPriority w:val="99"/>
    <w:unhideWhenUsed/>
    <w:rsid w:val="003766A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art">
    <w:name w:val="ti-art"/>
    <w:basedOn w:val="Normal"/>
    <w:rsid w:val="003766A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3766A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ta">
    <w:name w:val="Nota"/>
    <w:aliases w:val="Char1,(NECG) Footnote Reference,fr,Appel note de bas de p,o,Style 6,Signature Ch"/>
    <w:basedOn w:val="Normal"/>
    <w:rsid w:val="003766AA"/>
    <w:pPr>
      <w:widowControl/>
      <w:spacing w:after="160" w:line="240" w:lineRule="exact"/>
      <w:jc w:val="both"/>
    </w:pPr>
    <w:rPr>
      <w:rFonts w:ascii="Calibri" w:eastAsia="Calibri" w:hAnsi="Calibri"/>
      <w:sz w:val="22"/>
      <w:szCs w:val="22"/>
      <w:vertAlign w:val="superscript"/>
      <w:lang w:eastAsia="en-US"/>
    </w:rPr>
  </w:style>
  <w:style w:type="paragraph" w:styleId="ListBullet">
    <w:name w:val="List Bullet"/>
    <w:basedOn w:val="Normal"/>
    <w:uiPriority w:val="99"/>
    <w:unhideWhenUsed/>
    <w:rsid w:val="003766AA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3766A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3766A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3766AA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3766AA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3766AA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3766A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3766A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3766AA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3766A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766A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766A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766A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766A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766AA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766A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766A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766A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766A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766A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3766A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766A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766A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766A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766A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766A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766A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766A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766A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766A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766A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766AA"/>
    <w:pPr>
      <w:numPr>
        <w:numId w:val="6"/>
      </w:numPr>
    </w:pPr>
  </w:style>
  <w:style w:type="paragraph" w:customStyle="1" w:styleId="Tiret1">
    <w:name w:val="Tiret 1"/>
    <w:basedOn w:val="Point1"/>
    <w:rsid w:val="003766AA"/>
    <w:pPr>
      <w:numPr>
        <w:numId w:val="5"/>
      </w:numPr>
    </w:pPr>
  </w:style>
  <w:style w:type="paragraph" w:customStyle="1" w:styleId="Tiret2">
    <w:name w:val="Tiret 2"/>
    <w:basedOn w:val="Point2"/>
    <w:rsid w:val="003766AA"/>
    <w:pPr>
      <w:numPr>
        <w:numId w:val="7"/>
      </w:numPr>
    </w:pPr>
  </w:style>
  <w:style w:type="paragraph" w:customStyle="1" w:styleId="Tiret3">
    <w:name w:val="Tiret 3"/>
    <w:basedOn w:val="Point3"/>
    <w:rsid w:val="003766AA"/>
    <w:pPr>
      <w:numPr>
        <w:numId w:val="8"/>
      </w:numPr>
    </w:pPr>
  </w:style>
  <w:style w:type="paragraph" w:customStyle="1" w:styleId="Tiret4">
    <w:name w:val="Tiret 4"/>
    <w:basedOn w:val="Point4"/>
    <w:rsid w:val="003766AA"/>
    <w:pPr>
      <w:numPr>
        <w:numId w:val="9"/>
      </w:numPr>
    </w:pPr>
  </w:style>
  <w:style w:type="paragraph" w:customStyle="1" w:styleId="PointDouble0">
    <w:name w:val="PointDouble 0"/>
    <w:basedOn w:val="Normal"/>
    <w:rsid w:val="003766A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766A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766A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766A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766A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766A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766A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766A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766A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766A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766AA"/>
    <w:pPr>
      <w:widowControl/>
      <w:numPr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766AA"/>
    <w:pPr>
      <w:widowControl/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766AA"/>
    <w:pPr>
      <w:widowControl/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766AA"/>
    <w:pPr>
      <w:widowControl/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766A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766A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766A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766A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766A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766A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766A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766A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766A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766A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766A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766A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766A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3766AA"/>
    <w:rPr>
      <w:color w:val="0000FF"/>
      <w:shd w:val="clear" w:color="auto" w:fill="auto"/>
    </w:rPr>
  </w:style>
  <w:style w:type="character" w:customStyle="1" w:styleId="Marker1">
    <w:name w:val="Marker1"/>
    <w:rsid w:val="003766AA"/>
    <w:rPr>
      <w:color w:val="008000"/>
      <w:shd w:val="clear" w:color="auto" w:fill="auto"/>
    </w:rPr>
  </w:style>
  <w:style w:type="character" w:customStyle="1" w:styleId="Marker2">
    <w:name w:val="Marker2"/>
    <w:rsid w:val="003766A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3766AA"/>
    <w:pPr>
      <w:widowControl/>
      <w:numPr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766AA"/>
    <w:pPr>
      <w:widowControl/>
      <w:numPr>
        <w:ilvl w:val="2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766AA"/>
    <w:pPr>
      <w:widowControl/>
      <w:numPr>
        <w:ilvl w:val="4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766AA"/>
    <w:pPr>
      <w:widowControl/>
      <w:numPr>
        <w:ilvl w:val="6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766AA"/>
    <w:pPr>
      <w:widowControl/>
      <w:numPr>
        <w:ilvl w:val="1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766AA"/>
    <w:pPr>
      <w:widowControl/>
      <w:numPr>
        <w:ilvl w:val="3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766AA"/>
    <w:pPr>
      <w:widowControl/>
      <w:numPr>
        <w:ilvl w:val="5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766AA"/>
    <w:pPr>
      <w:widowControl/>
      <w:numPr>
        <w:ilvl w:val="7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766AA"/>
    <w:pPr>
      <w:widowControl/>
      <w:numPr>
        <w:ilvl w:val="8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766AA"/>
    <w:pPr>
      <w:widowControl/>
      <w:numPr>
        <w:numId w:val="1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766AA"/>
    <w:pPr>
      <w:widowControl/>
      <w:numPr>
        <w:numId w:val="1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766AA"/>
    <w:pPr>
      <w:widowControl/>
      <w:numPr>
        <w:numId w:val="1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766AA"/>
    <w:pPr>
      <w:widowControl/>
      <w:numPr>
        <w:numId w:val="1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766AA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766A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766A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766A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766A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766A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766A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766A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3766AA"/>
  </w:style>
  <w:style w:type="paragraph" w:customStyle="1" w:styleId="TitreobjetPagedecouverture">
    <w:name w:val="Titre objet (Page de couverture)"/>
    <w:basedOn w:val="Titreobjet"/>
    <w:next w:val="IntrtEEEPagedecouverture"/>
    <w:rsid w:val="003766AA"/>
  </w:style>
  <w:style w:type="paragraph" w:customStyle="1" w:styleId="IntrtEEEPagedecouverture">
    <w:name w:val="Intérêt EEE (Page de couverture)"/>
    <w:basedOn w:val="IntrtEEE"/>
    <w:next w:val="Rfrencecroise"/>
    <w:rsid w:val="003766AA"/>
  </w:style>
  <w:style w:type="paragraph" w:customStyle="1" w:styleId="Rfrencecroise">
    <w:name w:val="Référence croisée"/>
    <w:basedOn w:val="Normal"/>
    <w:rsid w:val="003766A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766A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766A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766A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3766A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766A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766A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766A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766A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766A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766A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766A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766A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766A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766A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766A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766AA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766A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766A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766A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3766A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766A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766AA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3766AA"/>
    <w:rPr>
      <w:b/>
      <w:u w:val="single"/>
      <w:shd w:val="clear" w:color="auto" w:fill="auto"/>
    </w:rPr>
  </w:style>
  <w:style w:type="character" w:customStyle="1" w:styleId="Deleted">
    <w:name w:val="Deleted"/>
    <w:rsid w:val="003766A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766A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766A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766A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766A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766A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766AA"/>
  </w:style>
  <w:style w:type="paragraph" w:customStyle="1" w:styleId="StatutPagedecouverture">
    <w:name w:val="Statut (Page de couverture)"/>
    <w:basedOn w:val="Statut"/>
    <w:next w:val="TypedudocumentPagedecouverture"/>
    <w:rsid w:val="003766AA"/>
  </w:style>
  <w:style w:type="paragraph" w:customStyle="1" w:styleId="Volume">
    <w:name w:val="Volume"/>
    <w:basedOn w:val="Normal"/>
    <w:next w:val="Confidentialit"/>
    <w:rsid w:val="003766A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3766A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766A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766A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3766A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766AA"/>
  </w:style>
  <w:style w:type="paragraph" w:customStyle="1" w:styleId="ObjetacteprincipalPagedecouverture">
    <w:name w:val="Objet acte principal (Page de couverture)"/>
    <w:basedOn w:val="Objetacteprincipal"/>
    <w:next w:val="Rfrencecroise"/>
    <w:rsid w:val="003766AA"/>
  </w:style>
  <w:style w:type="paragraph" w:customStyle="1" w:styleId="LanguesfaisantfoiPagedecouverture">
    <w:name w:val="Langues faisant foi (Page de couverture)"/>
    <w:basedOn w:val="Normal"/>
    <w:next w:val="Normal"/>
    <w:rsid w:val="003766A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3766A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3766A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3766A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766A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766A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766A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3766AA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3766AA"/>
    <w:pPr>
      <w:widowControl/>
      <w:numPr>
        <w:ilvl w:val="4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766AA"/>
    <w:pPr>
      <w:widowControl/>
      <w:numPr>
        <w:ilvl w:val="5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766AA"/>
    <w:pPr>
      <w:widowControl/>
      <w:numPr>
        <w:ilvl w:val="6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766A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766A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766A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3766AA"/>
    <w:rPr>
      <w:sz w:val="24"/>
      <w:szCs w:val="24"/>
    </w:rPr>
  </w:style>
  <w:style w:type="paragraph" w:customStyle="1" w:styleId="Normal2">
    <w:name w:val="Normal2"/>
    <w:basedOn w:val="Normal"/>
    <w:rsid w:val="003766AA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3766AA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3766AA"/>
  </w:style>
  <w:style w:type="paragraph" w:customStyle="1" w:styleId="Normal3">
    <w:name w:val="Normal3"/>
    <w:basedOn w:val="Normal"/>
    <w:rsid w:val="003766AA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3766AA"/>
  </w:style>
  <w:style w:type="paragraph" w:customStyle="1" w:styleId="norm">
    <w:name w:val="norm"/>
    <w:basedOn w:val="Normal"/>
    <w:rsid w:val="003766AA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3766AA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3766AA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3766AA"/>
  </w:style>
  <w:style w:type="character" w:customStyle="1" w:styleId="highlight">
    <w:name w:val="highlight"/>
    <w:basedOn w:val="DefaultParagraphFont"/>
    <w:rsid w:val="003766AA"/>
  </w:style>
  <w:style w:type="character" w:styleId="FollowedHyperlink">
    <w:name w:val="FollowedHyperlink"/>
    <w:basedOn w:val="DefaultParagraphFont"/>
    <w:uiPriority w:val="99"/>
    <w:unhideWhenUsed/>
    <w:rsid w:val="003766A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6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428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2026-01-07T13:03:00Z</dcterms:created>
  <dcterms:modified xsi:type="dcterms:W3CDTF">2026-01-07T13:03:00Z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P10_TA(2025)0239_</vt:lpwstr>
  </property>
  <property fmtid="{D5CDD505-2E9C-101B-9397-08002B2CF9AE}" pid="4" name="&lt;Type&gt;">
    <vt:lpwstr>RR</vt:lpwstr>
  </property>
</Properties>
</file>