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925D3" w14:paraId="5048025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6A87A4F" w14:textId="77777777" w:rsidR="00751A4A" w:rsidRPr="00D925D3" w:rsidRDefault="005B496A" w:rsidP="0010095E">
            <w:pPr>
              <w:pStyle w:val="EPName"/>
            </w:pPr>
            <w:r w:rsidRPr="00D925D3">
              <w:t>Evropski parlament</w:t>
            </w:r>
          </w:p>
          <w:p w14:paraId="0868D330" w14:textId="77777777" w:rsidR="00751A4A" w:rsidRPr="00D925D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925D3">
              <w:t>2024</w:t>
            </w:r>
            <w:r w:rsidR="00817416" w:rsidRPr="00D925D3">
              <w:t>-202</w:t>
            </w:r>
            <w:r w:rsidRPr="00D925D3">
              <w:t>9</w:t>
            </w:r>
          </w:p>
        </w:tc>
        <w:tc>
          <w:tcPr>
            <w:tcW w:w="2268" w:type="dxa"/>
            <w:shd w:val="clear" w:color="auto" w:fill="auto"/>
          </w:tcPr>
          <w:p w14:paraId="387A8B8A" w14:textId="77777777" w:rsidR="00751A4A" w:rsidRPr="00D925D3" w:rsidRDefault="00187494" w:rsidP="0010095E">
            <w:pPr>
              <w:pStyle w:val="EPLogo"/>
            </w:pPr>
            <w:r w:rsidRPr="00D925D3">
              <w:rPr>
                <w:noProof/>
                <w:lang w:eastAsia="ja-JP"/>
              </w:rPr>
              <w:drawing>
                <wp:inline distT="0" distB="0" distL="0" distR="0" wp14:anchorId="1EA3DBB1" wp14:editId="0F2FE4E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8E1825" w14:textId="77777777" w:rsidR="00D058B8" w:rsidRPr="00D925D3" w:rsidRDefault="00D058B8" w:rsidP="004C5D52">
      <w:pPr>
        <w:pStyle w:val="LineTop"/>
      </w:pPr>
    </w:p>
    <w:p w14:paraId="67413628" w14:textId="77777777" w:rsidR="00680577" w:rsidRPr="00D925D3" w:rsidRDefault="005B496A" w:rsidP="00680577">
      <w:pPr>
        <w:pStyle w:val="EPBodyTA1"/>
      </w:pPr>
      <w:r w:rsidRPr="00D925D3">
        <w:t>SPREJETA BESEDILA</w:t>
      </w:r>
    </w:p>
    <w:p w14:paraId="4BC779F7" w14:textId="77777777" w:rsidR="00D058B8" w:rsidRPr="00D925D3" w:rsidRDefault="00D058B8" w:rsidP="00D058B8">
      <w:pPr>
        <w:pStyle w:val="LineBottom"/>
      </w:pPr>
    </w:p>
    <w:p w14:paraId="3E9EE5FA" w14:textId="2C2D6DC9" w:rsidR="005B496A" w:rsidRPr="00D925D3" w:rsidRDefault="005B496A" w:rsidP="005B496A">
      <w:pPr>
        <w:pStyle w:val="ATHeading1"/>
      </w:pPr>
      <w:bookmarkStart w:id="0" w:name="TANumber"/>
      <w:r w:rsidRPr="00D925D3">
        <w:t>P10_TA(2025)</w:t>
      </w:r>
      <w:bookmarkEnd w:id="0"/>
      <w:r w:rsidR="009E47C9">
        <w:t>0240</w:t>
      </w:r>
    </w:p>
    <w:p w14:paraId="70E97B36" w14:textId="77777777" w:rsidR="005B496A" w:rsidRPr="00D925D3" w:rsidRDefault="005B496A" w:rsidP="005B496A">
      <w:pPr>
        <w:pStyle w:val="ATHeading2"/>
      </w:pPr>
      <w:bookmarkStart w:id="1" w:name="title"/>
      <w:r w:rsidRPr="00D925D3">
        <w:t xml:space="preserve">Okvir za monitoring odpornih evropskih gozdov </w:t>
      </w:r>
      <w:bookmarkEnd w:id="1"/>
    </w:p>
    <w:p w14:paraId="4828CD30" w14:textId="65D970E3" w:rsidR="005B496A" w:rsidRPr="00D925D3" w:rsidRDefault="005B496A" w:rsidP="005B496A">
      <w:pPr>
        <w:rPr>
          <w:i/>
          <w:vanish/>
        </w:rPr>
      </w:pPr>
      <w:r w:rsidRPr="00D925D3">
        <w:rPr>
          <w:i/>
        </w:rPr>
        <w:fldChar w:fldCharType="begin"/>
      </w:r>
      <w:r w:rsidRPr="00D925D3">
        <w:rPr>
          <w:i/>
        </w:rPr>
        <w:instrText xml:space="preserve"> TC"(</w:instrText>
      </w:r>
      <w:bookmarkStart w:id="2" w:name="DocNumber"/>
      <w:r w:rsidRPr="00D925D3">
        <w:rPr>
          <w:i/>
        </w:rPr>
        <w:instrText>A10-0176/2025</w:instrText>
      </w:r>
      <w:bookmarkEnd w:id="2"/>
      <w:r w:rsidRPr="00D925D3">
        <w:rPr>
          <w:i/>
        </w:rPr>
        <w:instrText xml:space="preserve"> - Poročevalca: Emma </w:instrText>
      </w:r>
      <w:proofErr w:type="spellStart"/>
      <w:r w:rsidRPr="00D925D3">
        <w:rPr>
          <w:i/>
        </w:rPr>
        <w:instrText>Wiesner</w:instrText>
      </w:r>
      <w:proofErr w:type="spellEnd"/>
      <w:r w:rsidRPr="00D925D3">
        <w:rPr>
          <w:i/>
        </w:rPr>
        <w:instrText xml:space="preserve">, Eric </w:instrText>
      </w:r>
      <w:proofErr w:type="spellStart"/>
      <w:r w:rsidRPr="00D925D3">
        <w:rPr>
          <w:i/>
        </w:rPr>
        <w:instrText>Sargiacomo</w:instrText>
      </w:r>
      <w:proofErr w:type="spellEnd"/>
      <w:r w:rsidRPr="00D925D3">
        <w:rPr>
          <w:i/>
        </w:rPr>
        <w:instrText xml:space="preserve">)"\l3 \n&gt; \* MERGEFORMAT </w:instrText>
      </w:r>
      <w:r w:rsidRPr="00D925D3">
        <w:rPr>
          <w:i/>
        </w:rPr>
        <w:fldChar w:fldCharType="end"/>
      </w:r>
    </w:p>
    <w:p w14:paraId="60548CF7" w14:textId="77777777" w:rsidR="005B496A" w:rsidRPr="00D925D3" w:rsidRDefault="005B496A" w:rsidP="005B496A">
      <w:pPr>
        <w:rPr>
          <w:vanish/>
        </w:rPr>
      </w:pPr>
      <w:bookmarkStart w:id="3" w:name="Commission"/>
      <w:r w:rsidRPr="00D925D3">
        <w:rPr>
          <w:vanish/>
        </w:rPr>
        <w:t>Odbor za okolje, podnebje in varnost hrane, Odbor za kmetijstvo in razvoj podeželja</w:t>
      </w:r>
      <w:bookmarkEnd w:id="3"/>
    </w:p>
    <w:p w14:paraId="26B0DA77" w14:textId="77777777" w:rsidR="005B496A" w:rsidRPr="00D925D3" w:rsidRDefault="005B496A" w:rsidP="005B496A">
      <w:pPr>
        <w:rPr>
          <w:vanish/>
        </w:rPr>
      </w:pPr>
      <w:bookmarkStart w:id="4" w:name="PE"/>
      <w:r w:rsidRPr="00D925D3">
        <w:rPr>
          <w:vanish/>
        </w:rPr>
        <w:t>PE766.935</w:t>
      </w:r>
      <w:bookmarkEnd w:id="4"/>
    </w:p>
    <w:p w14:paraId="69B9CEEF" w14:textId="61CCAF7F" w:rsidR="005B496A" w:rsidRPr="00D925D3" w:rsidRDefault="005B496A" w:rsidP="005B496A">
      <w:pPr>
        <w:pStyle w:val="ATHeading3"/>
      </w:pPr>
      <w:bookmarkStart w:id="5" w:name="Sujet"/>
      <w:r w:rsidRPr="00D925D3">
        <w:t xml:space="preserve">Zakonodajna resolucija Evropskega parlamenta z dne </w:t>
      </w:r>
      <w:r w:rsidR="009E47C9">
        <w:t>21.</w:t>
      </w:r>
      <w:r w:rsidR="009E47C9" w:rsidRPr="00D925D3">
        <w:t xml:space="preserve"> </w:t>
      </w:r>
      <w:r w:rsidR="00F2515A">
        <w:t xml:space="preserve">oktobra </w:t>
      </w:r>
      <w:r w:rsidRPr="00D925D3">
        <w:t xml:space="preserve">2025 o predlogu uredbe Evropskega parlamenta in Sveta o okviru za monitoring odpornih evropskih gozdov </w:t>
      </w:r>
      <w:bookmarkStart w:id="6" w:name="References"/>
      <w:bookmarkEnd w:id="5"/>
      <w:r w:rsidRPr="00D925D3">
        <w:t>(COM(2023)0728 – C9-0425/2023 – 2023/0413(COD))</w:t>
      </w:r>
      <w:bookmarkEnd w:id="6"/>
    </w:p>
    <w:p w14:paraId="4855FC44" w14:textId="77777777" w:rsidR="00922DEC" w:rsidRPr="00D925D3" w:rsidRDefault="00922DEC" w:rsidP="00922DEC">
      <w:pPr>
        <w:pStyle w:val="NormalBold"/>
      </w:pPr>
      <w:bookmarkStart w:id="7" w:name="TextBodyBegin"/>
      <w:bookmarkEnd w:id="7"/>
      <w:r w:rsidRPr="00D925D3">
        <w:t>(Redni zakonodajni postopek: prva obravnava)</w:t>
      </w:r>
    </w:p>
    <w:p w14:paraId="25BB992B" w14:textId="77777777" w:rsidR="00922DEC" w:rsidRPr="00D925D3" w:rsidRDefault="00922DEC" w:rsidP="00922DEC">
      <w:pPr>
        <w:pStyle w:val="EPComma"/>
      </w:pPr>
      <w:r w:rsidRPr="00D925D3">
        <w:rPr>
          <w:i/>
        </w:rPr>
        <w:t>Evropski parlament</w:t>
      </w:r>
      <w:r w:rsidRPr="00D925D3">
        <w:t>,</w:t>
      </w:r>
    </w:p>
    <w:p w14:paraId="28EFBFA5" w14:textId="77777777" w:rsidR="00922DEC" w:rsidRPr="00D925D3" w:rsidRDefault="00922DEC" w:rsidP="00922DEC">
      <w:pPr>
        <w:pStyle w:val="NormalHanging12a"/>
      </w:pPr>
      <w:r w:rsidRPr="00D925D3">
        <w:t>–</w:t>
      </w:r>
      <w:r w:rsidRPr="00D925D3">
        <w:tab/>
        <w:t>ob upoštevanju predloga Komisije Evropskemu parlamentu in Svetu (COM(2023)0728),</w:t>
      </w:r>
    </w:p>
    <w:p w14:paraId="1097D930" w14:textId="7EAA8ED7" w:rsidR="00922DEC" w:rsidRPr="00D925D3" w:rsidRDefault="00922DEC" w:rsidP="00922DEC">
      <w:pPr>
        <w:pStyle w:val="NormalHanging12a"/>
      </w:pPr>
      <w:r w:rsidRPr="00D925D3">
        <w:t>–</w:t>
      </w:r>
      <w:r w:rsidRPr="00D925D3">
        <w:tab/>
        <w:t>ob upoštevanju člena 294(2) in člena 192(1) Pogodbe o delovanju Evropske unije, na podlagi katerih je Komisija podala predlog Parlamentu (</w:t>
      </w:r>
      <w:r w:rsidR="00F2515A" w:rsidRPr="00D925D3">
        <w:t>C</w:t>
      </w:r>
      <w:r w:rsidR="00F2515A">
        <w:t>9</w:t>
      </w:r>
      <w:r w:rsidRPr="00D925D3">
        <w:noBreakHyphen/>
        <w:t>0425/2023),</w:t>
      </w:r>
    </w:p>
    <w:p w14:paraId="2C73BB6A" w14:textId="77777777" w:rsidR="00922DEC" w:rsidRPr="00D925D3" w:rsidRDefault="00922DEC" w:rsidP="00922DEC">
      <w:pPr>
        <w:pStyle w:val="NormalHanging12a"/>
      </w:pPr>
      <w:r w:rsidRPr="00D925D3">
        <w:t>–</w:t>
      </w:r>
      <w:r w:rsidRPr="00D925D3">
        <w:tab/>
        <w:t>ob upoštevanju člena 294(3) Pogodbe o delovanju Evropske unije,</w:t>
      </w:r>
    </w:p>
    <w:p w14:paraId="6EE99517" w14:textId="77777777" w:rsidR="00922DEC" w:rsidRPr="00D925D3" w:rsidRDefault="00922DEC" w:rsidP="00922DEC">
      <w:pPr>
        <w:pStyle w:val="NormalHanging12a"/>
      </w:pPr>
      <w:r w:rsidRPr="00D925D3">
        <w:t>–</w:t>
      </w:r>
      <w:r w:rsidRPr="00D925D3">
        <w:tab/>
        <w:t>ob upoštevanju mnenja Evropskega ekonomsko-socialnega odbora z dne 20. marca 2024</w:t>
      </w:r>
      <w:r w:rsidRPr="00D925D3">
        <w:rPr>
          <w:rStyle w:val="FootnoteReference"/>
        </w:rPr>
        <w:footnoteReference w:id="1"/>
      </w:r>
      <w:r w:rsidRPr="00D925D3">
        <w:t>,</w:t>
      </w:r>
    </w:p>
    <w:p w14:paraId="12098D6B" w14:textId="77777777" w:rsidR="00922DEC" w:rsidRPr="00D925D3" w:rsidRDefault="00922DEC" w:rsidP="00922DEC">
      <w:pPr>
        <w:pStyle w:val="NormalHanging12a"/>
      </w:pPr>
      <w:r w:rsidRPr="00D925D3">
        <w:t>–</w:t>
      </w:r>
      <w:r w:rsidRPr="00D925D3">
        <w:tab/>
        <w:t>ob upoštevanju mnenja Odbora regij,</w:t>
      </w:r>
    </w:p>
    <w:p w14:paraId="1382F14E" w14:textId="77777777" w:rsidR="00922DEC" w:rsidRPr="00D925D3" w:rsidRDefault="00922DEC" w:rsidP="00922DEC">
      <w:pPr>
        <w:pStyle w:val="NormalHanging12a"/>
      </w:pPr>
      <w:r w:rsidRPr="00D925D3">
        <w:t>–</w:t>
      </w:r>
      <w:r w:rsidRPr="00D925D3">
        <w:tab/>
        <w:t>ob upoštevanju člena 60 Poslovnika,</w:t>
      </w:r>
    </w:p>
    <w:p w14:paraId="216FEFFD" w14:textId="77777777" w:rsidR="00922DEC" w:rsidRPr="00D925D3" w:rsidRDefault="00922DEC" w:rsidP="00922DEC">
      <w:pPr>
        <w:pStyle w:val="NormalHanging12a"/>
      </w:pPr>
      <w:r w:rsidRPr="00D925D3">
        <w:t>–</w:t>
      </w:r>
      <w:r w:rsidRPr="00D925D3">
        <w:tab/>
        <w:t>ob upoštevanju skupne razprave Odbora za okolje, podnebje in varnost hrane ter Odbora za kmetijstvo in razvoj podeželja v skladu s členom 59 Poslovnika,</w:t>
      </w:r>
    </w:p>
    <w:p w14:paraId="5E568EA8" w14:textId="064C8B95" w:rsidR="00922DEC" w:rsidRPr="00D925D3" w:rsidRDefault="00922DEC" w:rsidP="00922DEC">
      <w:pPr>
        <w:pStyle w:val="NormalHanging12a"/>
      </w:pPr>
      <w:r w:rsidRPr="00D925D3">
        <w:t>–</w:t>
      </w:r>
      <w:r w:rsidRPr="00D925D3">
        <w:tab/>
        <w:t>ob upoštevanju poročila Odbora za okolje, podnebje in varnost hrane in Odbora za kmetijstvo in razvoj podeželja (A10</w:t>
      </w:r>
      <w:r w:rsidRPr="00D925D3">
        <w:noBreakHyphen/>
      </w:r>
      <w:r w:rsidR="00F2515A">
        <w:t>0176</w:t>
      </w:r>
      <w:r w:rsidRPr="00D925D3">
        <w:t>/2025),</w:t>
      </w:r>
    </w:p>
    <w:p w14:paraId="39ABA364" w14:textId="77777777" w:rsidR="00922DEC" w:rsidRPr="00D925D3" w:rsidRDefault="00922DEC" w:rsidP="00922DEC">
      <w:pPr>
        <w:pStyle w:val="NormalHanging12a"/>
      </w:pPr>
      <w:r w:rsidRPr="00D925D3">
        <w:t>1.</w:t>
      </w:r>
      <w:r w:rsidRPr="00D925D3">
        <w:tab/>
        <w:t>zavrne predlog Komisije;</w:t>
      </w:r>
    </w:p>
    <w:p w14:paraId="08A7FD70" w14:textId="77777777" w:rsidR="00922DEC" w:rsidRPr="00D925D3" w:rsidRDefault="00922DEC" w:rsidP="00922DEC">
      <w:pPr>
        <w:pStyle w:val="NormalHanging12a"/>
      </w:pPr>
      <w:r w:rsidRPr="00D925D3">
        <w:t>2.</w:t>
      </w:r>
      <w:r w:rsidRPr="00D925D3">
        <w:tab/>
        <w:t>poziva Komisijo, naj umakne svoj predlog;</w:t>
      </w:r>
    </w:p>
    <w:p w14:paraId="5A56DFE2" w14:textId="3C8B5F14" w:rsidR="00E365E1" w:rsidRPr="00D925D3" w:rsidRDefault="00922DEC" w:rsidP="00F2515A">
      <w:pPr>
        <w:pStyle w:val="NormalHanging12a"/>
      </w:pPr>
      <w:r w:rsidRPr="00D925D3">
        <w:lastRenderedPageBreak/>
        <w:t>3.</w:t>
      </w:r>
      <w:r w:rsidRPr="00D925D3">
        <w:tab/>
        <w:t>naroči svoji predsednici, naj stališče Parlamenta posreduje Svetu in Komisiji ter nacionalnim parlamentom.</w:t>
      </w:r>
    </w:p>
    <w:sectPr w:rsidR="00E365E1" w:rsidRPr="00D925D3" w:rsidSect="00D925D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7CD9A" w14:textId="77777777" w:rsidR="005B496A" w:rsidRPr="00D925D3" w:rsidRDefault="005B496A">
      <w:r w:rsidRPr="00D925D3">
        <w:separator/>
      </w:r>
    </w:p>
  </w:endnote>
  <w:endnote w:type="continuationSeparator" w:id="0">
    <w:p w14:paraId="62C38FC3" w14:textId="77777777" w:rsidR="005B496A" w:rsidRPr="00D925D3" w:rsidRDefault="005B496A">
      <w:r w:rsidRPr="00D925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E790B" w14:textId="77777777" w:rsidR="00064002" w:rsidRPr="00D925D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06E24" w14:textId="77777777" w:rsidR="00064002" w:rsidRPr="00D925D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63819" w14:textId="77777777" w:rsidR="00064002" w:rsidRPr="00D925D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2391E" w14:textId="77777777" w:rsidR="005B496A" w:rsidRPr="00D925D3" w:rsidRDefault="005B496A">
      <w:r w:rsidRPr="00D925D3">
        <w:separator/>
      </w:r>
    </w:p>
  </w:footnote>
  <w:footnote w:type="continuationSeparator" w:id="0">
    <w:p w14:paraId="1A1AC58A" w14:textId="77777777" w:rsidR="005B496A" w:rsidRPr="00D925D3" w:rsidRDefault="005B496A">
      <w:r w:rsidRPr="00D925D3">
        <w:continuationSeparator/>
      </w:r>
    </w:p>
  </w:footnote>
  <w:footnote w:id="1">
    <w:p w14:paraId="67D1C598" w14:textId="41938B66" w:rsidR="00922DEC" w:rsidRPr="00D925D3" w:rsidRDefault="00922DEC" w:rsidP="00D925D3">
      <w:pPr>
        <w:pStyle w:val="FootnoteText"/>
        <w:ind w:left="567" w:hanging="567"/>
        <w:rPr>
          <w:sz w:val="24"/>
          <w:lang w:val="sl-SI"/>
        </w:rPr>
      </w:pPr>
      <w:r w:rsidRPr="00D925D3">
        <w:rPr>
          <w:rStyle w:val="FootnoteReference"/>
          <w:sz w:val="24"/>
          <w:lang w:val="sl-SI"/>
        </w:rPr>
        <w:footnoteRef/>
      </w:r>
      <w:r w:rsidR="00D925D3" w:rsidRPr="00D925D3">
        <w:rPr>
          <w:sz w:val="24"/>
          <w:lang w:val="sl-SI"/>
        </w:rPr>
        <w:t xml:space="preserve"> </w:t>
      </w:r>
      <w:r w:rsidR="00D925D3" w:rsidRPr="00D925D3">
        <w:rPr>
          <w:sz w:val="24"/>
          <w:lang w:val="sl-SI"/>
        </w:rPr>
        <w:tab/>
      </w:r>
      <w:r w:rsidRPr="00D925D3">
        <w:rPr>
          <w:sz w:val="24"/>
          <w:lang w:val="sl-SI"/>
        </w:rPr>
        <w:t xml:space="preserve">UL C, C/2024/3380, 31.5.2024, ELI: </w:t>
      </w:r>
      <w:hyperlink r:id="rId1" w:history="1">
        <w:r w:rsidRPr="00D925D3">
          <w:rPr>
            <w:rStyle w:val="Hyperlink"/>
            <w:sz w:val="24"/>
            <w:lang w:val="sl-SI"/>
          </w:rPr>
          <w:t>http://data.europa.eu/eli/C/2024/3380/oj</w:t>
        </w:r>
      </w:hyperlink>
      <w:r w:rsidRPr="00D925D3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0EAC2" w14:textId="77777777" w:rsidR="00064002" w:rsidRPr="00D925D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53970" w14:textId="77777777" w:rsidR="00064002" w:rsidRPr="00D925D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A8569" w14:textId="77777777" w:rsidR="00064002" w:rsidRPr="00D925D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46573585">
    <w:abstractNumId w:val="9"/>
  </w:num>
  <w:num w:numId="2" w16cid:durableId="465856313">
    <w:abstractNumId w:val="9"/>
  </w:num>
  <w:num w:numId="3" w16cid:durableId="1713335629">
    <w:abstractNumId w:val="7"/>
  </w:num>
  <w:num w:numId="4" w16cid:durableId="901869477">
    <w:abstractNumId w:val="7"/>
  </w:num>
  <w:num w:numId="5" w16cid:durableId="633677354">
    <w:abstractNumId w:val="6"/>
  </w:num>
  <w:num w:numId="6" w16cid:durableId="292559438">
    <w:abstractNumId w:val="6"/>
  </w:num>
  <w:num w:numId="7" w16cid:durableId="1979604924">
    <w:abstractNumId w:val="5"/>
  </w:num>
  <w:num w:numId="8" w16cid:durableId="805319051">
    <w:abstractNumId w:val="5"/>
  </w:num>
  <w:num w:numId="9" w16cid:durableId="521554285">
    <w:abstractNumId w:val="4"/>
  </w:num>
  <w:num w:numId="10" w16cid:durableId="1697149038">
    <w:abstractNumId w:val="4"/>
  </w:num>
  <w:num w:numId="11" w16cid:durableId="2119178199">
    <w:abstractNumId w:val="8"/>
  </w:num>
  <w:num w:numId="12" w16cid:durableId="512692099">
    <w:abstractNumId w:val="8"/>
  </w:num>
  <w:num w:numId="13" w16cid:durableId="1588073743">
    <w:abstractNumId w:val="3"/>
  </w:num>
  <w:num w:numId="14" w16cid:durableId="1399136613">
    <w:abstractNumId w:val="3"/>
  </w:num>
  <w:num w:numId="15" w16cid:durableId="2030257742">
    <w:abstractNumId w:val="2"/>
  </w:num>
  <w:num w:numId="16" w16cid:durableId="1046567908">
    <w:abstractNumId w:val="2"/>
  </w:num>
  <w:num w:numId="17" w16cid:durableId="133573179">
    <w:abstractNumId w:val="1"/>
  </w:num>
  <w:num w:numId="18" w16cid:durableId="1641569366">
    <w:abstractNumId w:val="1"/>
  </w:num>
  <w:num w:numId="19" w16cid:durableId="2017416788">
    <w:abstractNumId w:val="0"/>
  </w:num>
  <w:num w:numId="20" w16cid:durableId="412120321">
    <w:abstractNumId w:val="0"/>
  </w:num>
  <w:num w:numId="21" w16cid:durableId="694773309">
    <w:abstractNumId w:val="9"/>
  </w:num>
  <w:num w:numId="22" w16cid:durableId="947273924">
    <w:abstractNumId w:val="7"/>
  </w:num>
  <w:num w:numId="23" w16cid:durableId="241260085">
    <w:abstractNumId w:val="6"/>
  </w:num>
  <w:num w:numId="24" w16cid:durableId="144705810">
    <w:abstractNumId w:val="5"/>
  </w:num>
  <w:num w:numId="25" w16cid:durableId="939876183">
    <w:abstractNumId w:val="4"/>
  </w:num>
  <w:num w:numId="26" w16cid:durableId="1387491452">
    <w:abstractNumId w:val="8"/>
  </w:num>
  <w:num w:numId="27" w16cid:durableId="1383216754">
    <w:abstractNumId w:val="3"/>
  </w:num>
  <w:num w:numId="28" w16cid:durableId="452674747">
    <w:abstractNumId w:val="2"/>
  </w:num>
  <w:num w:numId="29" w16cid:durableId="1970934249">
    <w:abstractNumId w:val="1"/>
  </w:num>
  <w:num w:numId="30" w16cid:durableId="176120473">
    <w:abstractNumId w:val="0"/>
  </w:num>
  <w:num w:numId="31" w16cid:durableId="611859478">
    <w:abstractNumId w:val="9"/>
  </w:num>
  <w:num w:numId="32" w16cid:durableId="1523661886">
    <w:abstractNumId w:val="7"/>
  </w:num>
  <w:num w:numId="33" w16cid:durableId="2143575219">
    <w:abstractNumId w:val="6"/>
  </w:num>
  <w:num w:numId="34" w16cid:durableId="1862474041">
    <w:abstractNumId w:val="5"/>
  </w:num>
  <w:num w:numId="35" w16cid:durableId="1006009619">
    <w:abstractNumId w:val="4"/>
  </w:num>
  <w:num w:numId="36" w16cid:durableId="2113428135">
    <w:abstractNumId w:val="8"/>
  </w:num>
  <w:num w:numId="37" w16cid:durableId="1896160435">
    <w:abstractNumId w:val="3"/>
  </w:num>
  <w:num w:numId="38" w16cid:durableId="138504162">
    <w:abstractNumId w:val="2"/>
  </w:num>
  <w:num w:numId="39" w16cid:durableId="688068307">
    <w:abstractNumId w:val="1"/>
  </w:num>
  <w:num w:numId="40" w16cid:durableId="194661286">
    <w:abstractNumId w:val="0"/>
  </w:num>
  <w:num w:numId="41" w16cid:durableId="280764915">
    <w:abstractNumId w:val="10"/>
  </w:num>
  <w:num w:numId="42" w16cid:durableId="38939947">
    <w:abstractNumId w:val="10"/>
  </w:num>
  <w:num w:numId="43" w16cid:durableId="296690867">
    <w:abstractNumId w:val="10"/>
  </w:num>
  <w:num w:numId="44" w16cid:durableId="9209432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6/2025"/>
    <w:docVar w:name="dvlangue" w:val="SL"/>
    <w:docVar w:name="dvnumam" w:val="0"/>
    <w:docVar w:name="dvpe" w:val="766.935"/>
    <w:docVar w:name="dvrapporteur" w:val="Poročevalca: "/>
    <w:docVar w:name="dvstar" w:val="***I"/>
    <w:docVar w:name="dvtitre" w:val="Zakonodajna resolucija Evropskega parlamenta z dne … 2025 o predlogu uredbe Evropskega parlamenta in Sveta o okviru za monitoring odpornih evropskih gozdov (COM(2023)0728 – C9-0425/2023 – 2023/0413(COD))"/>
  </w:docVars>
  <w:rsids>
    <w:rsidRoot w:val="005B496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3C8A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496A"/>
    <w:rsid w:val="005C2568"/>
    <w:rsid w:val="005F1B17"/>
    <w:rsid w:val="006037C0"/>
    <w:rsid w:val="006631B6"/>
    <w:rsid w:val="006762D9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1632"/>
    <w:rsid w:val="00842779"/>
    <w:rsid w:val="00865F67"/>
    <w:rsid w:val="00881A7B"/>
    <w:rsid w:val="008840E5"/>
    <w:rsid w:val="00887B3E"/>
    <w:rsid w:val="008C2AC6"/>
    <w:rsid w:val="00922DEC"/>
    <w:rsid w:val="00930C23"/>
    <w:rsid w:val="0093193B"/>
    <w:rsid w:val="009509D8"/>
    <w:rsid w:val="00950B64"/>
    <w:rsid w:val="00981893"/>
    <w:rsid w:val="009E47C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25D3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515A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874D5A"/>
  <w15:chartTrackingRefBased/>
  <w15:docId w15:val="{0F36413E-4F14-4BF2-9D5E-FF6BC3175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22DEC"/>
    <w:pPr>
      <w:spacing w:before="480" w:after="240"/>
    </w:pPr>
  </w:style>
  <w:style w:type="paragraph" w:customStyle="1" w:styleId="NormalBold">
    <w:name w:val="NormalBold"/>
    <w:basedOn w:val="Normal"/>
    <w:rsid w:val="00922DEC"/>
    <w:rPr>
      <w:b/>
    </w:rPr>
  </w:style>
  <w:style w:type="paragraph" w:customStyle="1" w:styleId="NormalHanging12a">
    <w:name w:val="NormalHanging12a"/>
    <w:basedOn w:val="Normal"/>
    <w:rsid w:val="00922DEC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922DEC"/>
    <w:rPr>
      <w:color w:val="0563C1"/>
      <w:u w:val="single"/>
    </w:rPr>
  </w:style>
  <w:style w:type="paragraph" w:styleId="Revision">
    <w:name w:val="Revision"/>
    <w:hidden/>
    <w:uiPriority w:val="99"/>
    <w:semiHidden/>
    <w:rsid w:val="00F2515A"/>
    <w:rPr>
      <w:sz w:val="24"/>
      <w:lang w:val="sl-SI"/>
    </w:rPr>
  </w:style>
  <w:style w:type="character" w:styleId="CommentReference">
    <w:name w:val="annotation reference"/>
    <w:basedOn w:val="DefaultParagraphFont"/>
    <w:rsid w:val="00393C8A"/>
    <w:rPr>
      <w:sz w:val="16"/>
      <w:szCs w:val="16"/>
    </w:rPr>
  </w:style>
  <w:style w:type="paragraph" w:styleId="CommentText">
    <w:name w:val="annotation text"/>
    <w:basedOn w:val="Normal"/>
    <w:link w:val="CommentTextChar"/>
    <w:rsid w:val="00393C8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93C8A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393C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93C8A"/>
    <w:rPr>
      <w:b/>
      <w:bCs/>
      <w:lang w:val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393C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173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2025-10-21T07:54:00Z</dcterms:created>
  <dcterms:modified xsi:type="dcterms:W3CDTF">2025-10-21T07:54:00Z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A10-0176/2025</vt:lpwstr>
  </property>
  <property fmtid="{D5CDD505-2E9C-101B-9397-08002B2CF9AE}" pid="4" name="&lt;Type&gt;">
    <vt:lpwstr>RR</vt:lpwstr>
  </property>
</Properties>
</file>