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591C" w14:paraId="080EE86C" w14:textId="77777777" w:rsidTr="0010095E">
        <w:trPr>
          <w:trHeight w:hRule="exact" w:val="1418"/>
        </w:trPr>
        <w:tc>
          <w:tcPr>
            <w:tcW w:w="6804" w:type="dxa"/>
            <w:shd w:val="clear" w:color="auto" w:fill="auto"/>
            <w:vAlign w:val="center"/>
          </w:tcPr>
          <w:p w14:paraId="2211A70A" w14:textId="5F6D9F05" w:rsidR="00751A4A" w:rsidRPr="002B591C" w:rsidRDefault="005D4002" w:rsidP="0010095E">
            <w:pPr>
              <w:pStyle w:val="EPName"/>
            </w:pPr>
            <w:r w:rsidRPr="002B591C">
              <w:t>Европейски</w:t>
            </w:r>
            <w:r w:rsidR="00F41B0A" w:rsidRPr="002B591C">
              <w:t xml:space="preserve"> парламент</w:t>
            </w:r>
          </w:p>
          <w:p w14:paraId="1A41F5B7" w14:textId="0ED3DE26" w:rsidR="00751A4A" w:rsidRPr="002B591C" w:rsidRDefault="005F1B17" w:rsidP="005F1B17">
            <w:pPr>
              <w:pStyle w:val="EPTerm"/>
              <w:rPr>
                <w:rStyle w:val="HideTWBExt"/>
                <w:noProof w:val="0"/>
                <w:vanish w:val="0"/>
                <w:color w:val="auto"/>
              </w:rPr>
            </w:pPr>
            <w:r w:rsidRPr="002B591C">
              <w:t>2024</w:t>
            </w:r>
            <w:r w:rsidR="005D4002">
              <w:t> – </w:t>
            </w:r>
            <w:r w:rsidR="00817416" w:rsidRPr="002B591C">
              <w:t>202</w:t>
            </w:r>
            <w:r w:rsidRPr="002B591C">
              <w:t>9</w:t>
            </w:r>
          </w:p>
        </w:tc>
        <w:tc>
          <w:tcPr>
            <w:tcW w:w="2268" w:type="dxa"/>
            <w:shd w:val="clear" w:color="auto" w:fill="auto"/>
          </w:tcPr>
          <w:p w14:paraId="6F7C211A" w14:textId="77777777" w:rsidR="00751A4A" w:rsidRPr="002B591C" w:rsidRDefault="00187494" w:rsidP="0010095E">
            <w:pPr>
              <w:pStyle w:val="EPLogo"/>
            </w:pPr>
            <w:r w:rsidRPr="002B591C">
              <w:rPr>
                <w:noProof/>
                <w:lang w:eastAsia="ja-JP"/>
              </w:rPr>
              <w:drawing>
                <wp:inline distT="0" distB="0" distL="0" distR="0" wp14:anchorId="22C9A6C7" wp14:editId="2D0FD3F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F72205" w14:textId="77777777" w:rsidR="00D058B8" w:rsidRPr="002B591C" w:rsidRDefault="00D058B8" w:rsidP="004C5D52">
      <w:pPr>
        <w:pStyle w:val="LineTop"/>
      </w:pPr>
    </w:p>
    <w:p w14:paraId="29E0E8CB" w14:textId="77777777" w:rsidR="00680577" w:rsidRPr="002B591C" w:rsidRDefault="00F41B0A" w:rsidP="00680577">
      <w:pPr>
        <w:pStyle w:val="EPBodyTA1"/>
      </w:pPr>
      <w:r w:rsidRPr="002B591C">
        <w:t>ПРИЕТИ ТЕКСТОВЕ</w:t>
      </w:r>
    </w:p>
    <w:p w14:paraId="344F7875" w14:textId="77777777" w:rsidR="00D058B8" w:rsidRPr="002B591C" w:rsidRDefault="00D058B8" w:rsidP="00D058B8">
      <w:pPr>
        <w:pStyle w:val="LineBottom"/>
      </w:pPr>
    </w:p>
    <w:p w14:paraId="67CCE9A2" w14:textId="705B85D1" w:rsidR="00F41B0A" w:rsidRPr="002B591C" w:rsidRDefault="00F41B0A" w:rsidP="00F41B0A">
      <w:pPr>
        <w:pStyle w:val="ATHeading1"/>
      </w:pPr>
      <w:bookmarkStart w:id="0" w:name="TANumber"/>
      <w:r w:rsidRPr="002B591C">
        <w:t>P10_TA(2025)0</w:t>
      </w:r>
      <w:r w:rsidR="009F661E">
        <w:t>242</w:t>
      </w:r>
      <w:bookmarkEnd w:id="0"/>
    </w:p>
    <w:p w14:paraId="3B2BD07B" w14:textId="77777777" w:rsidR="00F41B0A" w:rsidRPr="002B591C" w:rsidRDefault="00F41B0A" w:rsidP="00F41B0A">
      <w:pPr>
        <w:pStyle w:val="ATHeading2"/>
      </w:pPr>
      <w:bookmarkStart w:id="1" w:name="title"/>
      <w:r w:rsidRPr="002B591C">
        <w:t>Нова законодателна рамка за продуктите, адаптирана към цифровия и устойчивия преход</w:t>
      </w:r>
      <w:bookmarkEnd w:id="1"/>
    </w:p>
    <w:p w14:paraId="1AE9D65A" w14:textId="77777777" w:rsidR="00F41B0A" w:rsidRPr="002B591C" w:rsidRDefault="00F41B0A" w:rsidP="00F41B0A">
      <w:pPr>
        <w:rPr>
          <w:i/>
          <w:vanish/>
        </w:rPr>
      </w:pPr>
      <w:r w:rsidRPr="002B591C">
        <w:rPr>
          <w:i/>
        </w:rPr>
        <w:fldChar w:fldCharType="begin"/>
      </w:r>
      <w:r w:rsidRPr="002B591C">
        <w:rPr>
          <w:i/>
        </w:rPr>
        <w:instrText xml:space="preserve"> TC"(</w:instrText>
      </w:r>
      <w:bookmarkStart w:id="2" w:name="DocNumber"/>
      <w:r w:rsidRPr="002B591C">
        <w:rPr>
          <w:i/>
        </w:rPr>
        <w:instrText>A10-0189/2025</w:instrText>
      </w:r>
      <w:bookmarkEnd w:id="2"/>
      <w:r w:rsidRPr="002B591C">
        <w:rPr>
          <w:i/>
        </w:rPr>
        <w:instrText xml:space="preserve"> - Докладчик: Давид Корман)"\l3 \n&gt; \* MERGEFORMAT </w:instrText>
      </w:r>
      <w:r w:rsidRPr="002B591C">
        <w:rPr>
          <w:i/>
        </w:rPr>
        <w:fldChar w:fldCharType="end"/>
      </w:r>
    </w:p>
    <w:p w14:paraId="17D1021B" w14:textId="77777777" w:rsidR="00F41B0A" w:rsidRPr="002B591C" w:rsidRDefault="00F41B0A" w:rsidP="00F41B0A">
      <w:pPr>
        <w:rPr>
          <w:vanish/>
        </w:rPr>
      </w:pPr>
      <w:bookmarkStart w:id="3" w:name="Commission"/>
      <w:r w:rsidRPr="002B591C">
        <w:rPr>
          <w:vanish/>
        </w:rPr>
        <w:t>Комисия по вътрешния пазар и защита на потребителите</w:t>
      </w:r>
      <w:bookmarkEnd w:id="3"/>
    </w:p>
    <w:p w14:paraId="484A7D41" w14:textId="77777777" w:rsidR="00F41B0A" w:rsidRPr="002B591C" w:rsidRDefault="00F41B0A" w:rsidP="00F41B0A">
      <w:pPr>
        <w:rPr>
          <w:vanish/>
        </w:rPr>
      </w:pPr>
      <w:bookmarkStart w:id="4" w:name="PE"/>
      <w:r w:rsidRPr="002B591C">
        <w:rPr>
          <w:vanish/>
        </w:rPr>
        <w:t>PE771.897</w:t>
      </w:r>
      <w:bookmarkEnd w:id="4"/>
    </w:p>
    <w:p w14:paraId="6CB41056" w14:textId="0FF51B8B" w:rsidR="00F41B0A" w:rsidRPr="002B591C" w:rsidRDefault="00F41B0A" w:rsidP="00F41B0A">
      <w:pPr>
        <w:pStyle w:val="ATHeading3"/>
      </w:pPr>
      <w:bookmarkStart w:id="5" w:name="Sujet"/>
      <w:r w:rsidRPr="002B591C">
        <w:t xml:space="preserve">Резолюция на Европейския парламент от </w:t>
      </w:r>
      <w:r w:rsidR="00F1168A">
        <w:t>21 октомври</w:t>
      </w:r>
      <w:r w:rsidR="00F1168A" w:rsidRPr="002B591C">
        <w:t xml:space="preserve"> </w:t>
      </w:r>
      <w:r w:rsidRPr="002B591C">
        <w:t>2025 г. относно нова законодателна рамка за продуктите, адаптирана към цифровия и устойчивия преход</w:t>
      </w:r>
      <w:bookmarkEnd w:id="5"/>
      <w:r w:rsidRPr="002B591C">
        <w:t xml:space="preserve"> </w:t>
      </w:r>
      <w:bookmarkStart w:id="6" w:name="References"/>
      <w:r w:rsidRPr="002B591C">
        <w:t>(2024/2119(INI))</w:t>
      </w:r>
      <w:bookmarkEnd w:id="6"/>
    </w:p>
    <w:p w14:paraId="312209BD" w14:textId="77777777" w:rsidR="0036441E" w:rsidRPr="002B591C" w:rsidRDefault="0036441E" w:rsidP="0036441E">
      <w:pPr>
        <w:pStyle w:val="EPComma"/>
      </w:pPr>
      <w:r w:rsidRPr="002B591C">
        <w:rPr>
          <w:i/>
          <w:iCs/>
        </w:rPr>
        <w:t>Европейският парламент</w:t>
      </w:r>
      <w:r w:rsidRPr="002B591C">
        <w:t>,</w:t>
      </w:r>
    </w:p>
    <w:p w14:paraId="01DC5568" w14:textId="77777777" w:rsidR="0036441E" w:rsidRPr="002B591C" w:rsidRDefault="0036441E" w:rsidP="0036441E">
      <w:pPr>
        <w:pStyle w:val="NormalHanging12a"/>
      </w:pPr>
      <w:r w:rsidRPr="002B591C">
        <w:t>–</w:t>
      </w:r>
      <w:r w:rsidRPr="002B591C">
        <w:tab/>
        <w:t>като взе предвид своята резолюция от 18 януари 2023 г. относно 30-ата годишнина от създаването на единния пазар: отбелязване на постиженията и поглед към бъдещото развитие</w:t>
      </w:r>
      <w:r w:rsidRPr="002B591C">
        <w:rPr>
          <w:rStyle w:val="FootnoteReference"/>
        </w:rPr>
        <w:footnoteReference w:id="1"/>
      </w:r>
      <w:r w:rsidRPr="002B591C">
        <w:t>,</w:t>
      </w:r>
    </w:p>
    <w:p w14:paraId="7CC51DAA" w14:textId="77777777" w:rsidR="0036441E" w:rsidRPr="002B591C" w:rsidRDefault="0036441E" w:rsidP="0036441E">
      <w:pPr>
        <w:pStyle w:val="NormalHanging12a"/>
      </w:pPr>
      <w:r w:rsidRPr="002B591C">
        <w:t>–</w:t>
      </w:r>
      <w:r w:rsidRPr="002B591C">
        <w:tab/>
        <w:t>като взе предвид своята резолюция от 8 май 2025 г. относно старите предизвикателства и новите търговски практики на вътрешния пазар</w:t>
      </w:r>
      <w:bookmarkStart w:id="7" w:name="_Hlk210640607"/>
      <w:r w:rsidRPr="002B591C">
        <w:rPr>
          <w:rStyle w:val="FootnoteReference"/>
        </w:rPr>
        <w:footnoteReference w:id="2"/>
      </w:r>
      <w:r w:rsidRPr="002B591C">
        <w:t>,</w:t>
      </w:r>
      <w:bookmarkEnd w:id="7"/>
    </w:p>
    <w:p w14:paraId="31100D61" w14:textId="77777777" w:rsidR="0036441E" w:rsidRPr="002B591C" w:rsidRDefault="0036441E" w:rsidP="0036441E">
      <w:pPr>
        <w:pStyle w:val="NormalHanging12a"/>
        <w:outlineLvl w:val="1"/>
      </w:pPr>
      <w:r w:rsidRPr="002B591C">
        <w:t>–</w:t>
      </w:r>
      <w:r w:rsidRPr="002B591C">
        <w:tab/>
        <w:t xml:space="preserve">като взе предвид Работната програма на Комисията за 2025 г. (COM(2025)0045), </w:t>
      </w:r>
    </w:p>
    <w:p w14:paraId="4FDE0E24" w14:textId="77777777" w:rsidR="0036441E" w:rsidRPr="002B591C" w:rsidRDefault="0036441E" w:rsidP="0036441E">
      <w:pPr>
        <w:pStyle w:val="NormalHanging12a"/>
        <w:outlineLvl w:val="1"/>
      </w:pPr>
      <w:r w:rsidRPr="002B591C">
        <w:t>–</w:t>
      </w:r>
      <w:r w:rsidRPr="002B591C">
        <w:tab/>
        <w:t>като взе предвид оценката на Комисията относно новата законодателна рамка (НЗР) (SWD(2022)0365),</w:t>
      </w:r>
    </w:p>
    <w:p w14:paraId="14D154FF" w14:textId="77777777" w:rsidR="0036441E" w:rsidRPr="002B591C" w:rsidRDefault="0036441E" w:rsidP="0036441E">
      <w:pPr>
        <w:pStyle w:val="NormalHanging12a"/>
        <w:outlineLvl w:val="1"/>
      </w:pPr>
      <w:r w:rsidRPr="002B591C">
        <w:t>–</w:t>
      </w:r>
      <w:r w:rsidRPr="002B591C">
        <w:tab/>
        <w:t>като взе предвид Регламент (ЕО) № 765/2008 на Европейския парламент и на Съвета от 9 юли 2008 година за определяне на изискванията за акредитация и надзор на пазара във връзка с предлагането на пазара на продукти и за отмяна на Регламент (ЕИО) № 339/93</w:t>
      </w:r>
      <w:r w:rsidRPr="002B591C">
        <w:rPr>
          <w:rStyle w:val="FootnoteReference"/>
        </w:rPr>
        <w:footnoteReference w:id="3"/>
      </w:r>
      <w:r w:rsidRPr="002B591C">
        <w:t>,</w:t>
      </w:r>
    </w:p>
    <w:p w14:paraId="3DB66CEA" w14:textId="77777777" w:rsidR="0036441E" w:rsidRPr="002B591C" w:rsidRDefault="0036441E" w:rsidP="0036441E">
      <w:pPr>
        <w:pStyle w:val="NormalHanging12a"/>
        <w:outlineLvl w:val="1"/>
      </w:pPr>
      <w:r w:rsidRPr="002B591C">
        <w:t>–</w:t>
      </w:r>
      <w:r w:rsidRPr="002B591C">
        <w:tab/>
        <w:t>като взе предвид Решение № 768/2008/ЕО на Европейския парламент и на Съвета от 9 юли 2008 г. относно обща рамка за предлагането на пазара на продукти и за отмяна на Решение 93/465/ЕИО</w:t>
      </w:r>
      <w:r w:rsidRPr="002B591C">
        <w:rPr>
          <w:rStyle w:val="FootnoteReference"/>
        </w:rPr>
        <w:footnoteReference w:id="4"/>
      </w:r>
      <w:r w:rsidRPr="002B591C">
        <w:t>,</w:t>
      </w:r>
    </w:p>
    <w:p w14:paraId="1A7D2247" w14:textId="77777777" w:rsidR="0036441E" w:rsidRPr="002B591C" w:rsidRDefault="0036441E" w:rsidP="0036441E">
      <w:pPr>
        <w:pStyle w:val="NormalHanging12a"/>
        <w:outlineLvl w:val="1"/>
      </w:pPr>
      <w:r w:rsidRPr="002B591C">
        <w:t>–</w:t>
      </w:r>
      <w:r w:rsidRPr="002B591C">
        <w:tab/>
        <w:t xml:space="preserve">като взе предвид Регламент (ЕС) 2019/1020 на Европейския парламент и на Съвета от 20 юни 2019 г. относно надзора на пазара и съответствието на </w:t>
      </w:r>
      <w:r w:rsidRPr="002B591C">
        <w:lastRenderedPageBreak/>
        <w:t>продуктите и за изменение на Директива 2004/42/ЕО и регламенти (ЕО) № 765/2008 и (ЕС) № 305/2011</w:t>
      </w:r>
      <w:r w:rsidRPr="002B591C">
        <w:rPr>
          <w:rStyle w:val="FootnoteReference"/>
        </w:rPr>
        <w:footnoteReference w:id="5"/>
      </w:r>
      <w:r w:rsidRPr="002B591C">
        <w:t xml:space="preserve"> (MSR),</w:t>
      </w:r>
    </w:p>
    <w:p w14:paraId="4D98CC64" w14:textId="77777777" w:rsidR="0036441E" w:rsidRPr="002B591C" w:rsidRDefault="0036441E" w:rsidP="0036441E">
      <w:pPr>
        <w:pStyle w:val="NormalHanging12a"/>
        <w:outlineLvl w:val="1"/>
      </w:pPr>
      <w:r w:rsidRPr="002B591C">
        <w:t>–</w:t>
      </w:r>
      <w:r w:rsidRPr="002B591C">
        <w:tab/>
        <w:t>като взе предвид съобщението на Комисията от 5 февруари 2025 г., озаглавено „Всеобхватен инструментариум на ЕС за безопасна и устойчива електронна търговия“ (COM(2025)0037),</w:t>
      </w:r>
    </w:p>
    <w:p w14:paraId="79E606EB" w14:textId="77777777" w:rsidR="0036441E" w:rsidRPr="002B591C" w:rsidRDefault="0036441E" w:rsidP="0036441E">
      <w:pPr>
        <w:pStyle w:val="NormalHanging12a"/>
        <w:outlineLvl w:val="1"/>
      </w:pPr>
      <w:r w:rsidRPr="002B591C">
        <w:t>–</w:t>
      </w:r>
      <w:r w:rsidRPr="002B591C">
        <w:tab/>
        <w:t>като взе предвид предложението от 17 май 2023 г. за регламент за създаване на Митнически кодекс на Съюза и на Митнически орган на Европейския съюз и за отмяна на Регламент (ЕС) № 952/2013 (COM(2023)0258),</w:t>
      </w:r>
    </w:p>
    <w:p w14:paraId="08A46979" w14:textId="77777777" w:rsidR="0036441E" w:rsidRPr="002B591C" w:rsidRDefault="0036441E" w:rsidP="0036441E">
      <w:pPr>
        <w:pStyle w:val="NormalHanging12a"/>
        <w:outlineLvl w:val="1"/>
        <w:rPr>
          <w:bCs/>
          <w:iCs/>
        </w:rPr>
      </w:pPr>
      <w:r w:rsidRPr="002B591C">
        <w:t>–</w:t>
      </w:r>
      <w:r w:rsidRPr="002B591C">
        <w:tab/>
        <w:t xml:space="preserve">като взе предвид съобщението на Комисията от 29 януари 2025 г., озаглавено „Компас за конкурентоспособността на ЕС“ (COM(2025)0030), </w:t>
      </w:r>
    </w:p>
    <w:p w14:paraId="266F036D" w14:textId="77777777" w:rsidR="0036441E" w:rsidRPr="002B591C" w:rsidRDefault="0036441E" w:rsidP="0036441E">
      <w:pPr>
        <w:pStyle w:val="NormalHanging12a"/>
        <w:outlineLvl w:val="1"/>
        <w:rPr>
          <w:bCs/>
          <w:iCs/>
        </w:rPr>
      </w:pPr>
      <w:r w:rsidRPr="002B591C">
        <w:t>–</w:t>
      </w:r>
      <w:r w:rsidRPr="002B591C">
        <w:tab/>
        <w:t>като взе предвид Регламент (ЕС) № 1025/2012 на Европейския парламент и на Съвета от 25 октомври 2012 г. относно европейската стандартизация, за изменение на директиви 89/686/ЕИО и 93/15/ЕИО на Съвета и на директиви 94/9/ЕО, 94/25/ЕО, 95/16/ЕО, 97/23/ЕО, 98/34/ЕО, 2004/22/ЕО, 2007/23/ЕО, 2009/23/ЕО и 2009/105/ЕО на Европейския парламент и на Съвета и за отмяна на Решение 87/95/ЕИО на Съвета и на Решение № 1673/2006/ЕО на Европейския парламент и на Съвета</w:t>
      </w:r>
      <w:r w:rsidRPr="002B591C">
        <w:rPr>
          <w:rStyle w:val="FootnoteReference"/>
          <w:bCs/>
          <w:iCs/>
        </w:rPr>
        <w:footnoteReference w:id="6"/>
      </w:r>
      <w:r w:rsidRPr="002B591C">
        <w:t xml:space="preserve"> (Регламент за стандартизацията),</w:t>
      </w:r>
    </w:p>
    <w:p w14:paraId="0BE3367B" w14:textId="77777777" w:rsidR="0036441E" w:rsidRPr="002B591C" w:rsidRDefault="0036441E" w:rsidP="0036441E">
      <w:pPr>
        <w:pStyle w:val="NormalHanging12a"/>
        <w:outlineLvl w:val="1"/>
        <w:rPr>
          <w:bCs/>
          <w:iCs/>
        </w:rPr>
      </w:pPr>
      <w:r w:rsidRPr="002B591C">
        <w:t>–</w:t>
      </w:r>
      <w:r w:rsidRPr="002B591C">
        <w:tab/>
        <w:t>като взе предвид Директива (ЕС) 2024/2853 на Европейския парламент и на Съвета от 23 октомври 2024 г. относно отговорността за вреди от дефекти на продукти и за отмяна на Директива 85/374/ЕИО на Съвета</w:t>
      </w:r>
      <w:r w:rsidRPr="002B591C">
        <w:rPr>
          <w:rStyle w:val="FootnoteReference"/>
          <w:bCs/>
          <w:iCs/>
        </w:rPr>
        <w:footnoteReference w:id="7"/>
      </w:r>
      <w:r w:rsidRPr="002B591C">
        <w:t xml:space="preserve"> (Директива относно отговорността за продукти),</w:t>
      </w:r>
    </w:p>
    <w:p w14:paraId="26ADC3E8" w14:textId="77777777" w:rsidR="0036441E" w:rsidRPr="002B591C" w:rsidRDefault="0036441E" w:rsidP="0036441E">
      <w:pPr>
        <w:pStyle w:val="NormalHanging12a"/>
        <w:outlineLvl w:val="1"/>
        <w:rPr>
          <w:bCs/>
          <w:iCs/>
        </w:rPr>
      </w:pPr>
      <w:r w:rsidRPr="002B591C">
        <w:t>–</w:t>
      </w:r>
      <w:r w:rsidRPr="002B591C">
        <w:tab/>
        <w:t>като взе предвид Директива (ЕС) 2019/771 на Европейския парламент и на Съвета от 20 май 2019 г. за някои аспекти на договорите за продажба на стоки, за изменение на Регламент (ЕС) 2017/2394 и на Директива 2009/22/ЕО и за отмяна на Директива 1999/44/ЕО</w:t>
      </w:r>
      <w:r w:rsidRPr="002B591C">
        <w:rPr>
          <w:rStyle w:val="FootnoteReference"/>
          <w:bCs/>
          <w:iCs/>
        </w:rPr>
        <w:footnoteReference w:id="8"/>
      </w:r>
      <w:r w:rsidRPr="002B591C">
        <w:t>,</w:t>
      </w:r>
    </w:p>
    <w:p w14:paraId="73417019" w14:textId="77777777" w:rsidR="0036441E" w:rsidRPr="002B591C" w:rsidRDefault="0036441E" w:rsidP="0036441E">
      <w:pPr>
        <w:pStyle w:val="NormalHanging12a"/>
        <w:outlineLvl w:val="1"/>
        <w:rPr>
          <w:bCs/>
          <w:iCs/>
        </w:rPr>
      </w:pPr>
      <w:r w:rsidRPr="002B591C">
        <w:t>–</w:t>
      </w:r>
      <w:r w:rsidRPr="002B591C">
        <w:tab/>
        <w:t>като взе предвид съобщението на Комисията от 11 декември 2019 г., озаглавено „Европейският зелен пакт“ (COM(2019)0640),</w:t>
      </w:r>
    </w:p>
    <w:p w14:paraId="3076609A" w14:textId="7B3D006B" w:rsidR="0036441E" w:rsidRPr="002B591C" w:rsidRDefault="0036441E" w:rsidP="0036441E">
      <w:pPr>
        <w:pStyle w:val="NormalHanging12a"/>
        <w:outlineLvl w:val="1"/>
        <w:rPr>
          <w:bCs/>
          <w:iCs/>
        </w:rPr>
      </w:pPr>
      <w:r w:rsidRPr="002B591C">
        <w:t>–</w:t>
      </w:r>
      <w:r w:rsidRPr="002B591C">
        <w:tab/>
        <w:t xml:space="preserve">като взе предвид Директива </w:t>
      </w:r>
      <w:r w:rsidR="00607412" w:rsidRPr="002B591C">
        <w:t xml:space="preserve">(ЕС) </w:t>
      </w:r>
      <w:r w:rsidRPr="002B591C">
        <w:t>2024/1799 на Европейския парламент и на Съвета от 13 юни 2024 година за общите правила за насърчаване на ремонта на стоки и за изменение на Регламент (ЕС) 2017/2394 и директиви (ЕС) 2019/771 и (ЕС) 2020/1828</w:t>
      </w:r>
      <w:r w:rsidRPr="002B591C">
        <w:rPr>
          <w:rStyle w:val="FootnoteReference"/>
          <w:bCs/>
          <w:iCs/>
        </w:rPr>
        <w:footnoteReference w:id="9"/>
      </w:r>
      <w:r w:rsidRPr="002B591C">
        <w:t>,</w:t>
      </w:r>
    </w:p>
    <w:p w14:paraId="4864AE9D" w14:textId="77777777" w:rsidR="0036441E" w:rsidRPr="002B591C" w:rsidRDefault="0036441E" w:rsidP="0036441E">
      <w:pPr>
        <w:pStyle w:val="NormalHanging12a"/>
        <w:outlineLvl w:val="1"/>
        <w:rPr>
          <w:bCs/>
          <w:iCs/>
        </w:rPr>
      </w:pPr>
      <w:r w:rsidRPr="002B591C">
        <w:t>–</w:t>
      </w:r>
      <w:r w:rsidRPr="002B591C">
        <w:tab/>
        <w:t>като взе предвид Регламент (ЕС) 2017/2394 на Европейския парламент и на Съвета от 12 декември 2017 г. относно сътрудничеството между националните органи, отговорни за прилагането на законодателството за защита на потребителите, и за отмяна на Регламент (ЕО) № 2006/2004</w:t>
      </w:r>
      <w:r w:rsidRPr="002B591C">
        <w:rPr>
          <w:rStyle w:val="FootnoteReference"/>
          <w:bCs/>
          <w:iCs/>
        </w:rPr>
        <w:footnoteReference w:id="10"/>
      </w:r>
      <w:r w:rsidRPr="002B591C">
        <w:t xml:space="preserve"> (Регламент за </w:t>
      </w:r>
      <w:r w:rsidRPr="002B591C">
        <w:lastRenderedPageBreak/>
        <w:t>защита на потребителите),</w:t>
      </w:r>
    </w:p>
    <w:p w14:paraId="598B9F7D" w14:textId="77777777" w:rsidR="0036441E" w:rsidRPr="002B591C" w:rsidRDefault="0036441E" w:rsidP="0036441E">
      <w:pPr>
        <w:pStyle w:val="NormalHanging12a"/>
        <w:outlineLvl w:val="1"/>
        <w:rPr>
          <w:bCs/>
          <w:iCs/>
        </w:rPr>
      </w:pPr>
      <w:r w:rsidRPr="002B591C">
        <w:t>–</w:t>
      </w:r>
      <w:r w:rsidRPr="002B591C">
        <w:tab/>
        <w:t>като взе предвид Директива (ЕС) 2020/1828 на Европейския парламент и на Съвета от 25 ноември 2020 г. относно представителни искове за защита на колективните интереси на потребителите и за отмяна на Директива 2009/22/ЕО</w:t>
      </w:r>
      <w:r w:rsidRPr="002B591C">
        <w:rPr>
          <w:rStyle w:val="FootnoteReference"/>
          <w:bCs/>
          <w:iCs/>
        </w:rPr>
        <w:footnoteReference w:id="11"/>
      </w:r>
      <w:r w:rsidRPr="002B591C">
        <w:t>,</w:t>
      </w:r>
    </w:p>
    <w:p w14:paraId="5C72722C" w14:textId="77777777" w:rsidR="0036441E" w:rsidRPr="002B591C" w:rsidRDefault="0036441E" w:rsidP="0036441E">
      <w:pPr>
        <w:pStyle w:val="NormalHanging12a"/>
        <w:outlineLvl w:val="1"/>
        <w:rPr>
          <w:bCs/>
          <w:iCs/>
        </w:rPr>
      </w:pPr>
      <w:r w:rsidRPr="002B591C">
        <w:t>–</w:t>
      </w:r>
      <w:r w:rsidRPr="002B591C">
        <w:tab/>
        <w:t>като взе предвид съобщението на Комисията от 29 юни 2022 г., озаглавено „Синьо ръководство“ за прилагането на правилата на ЕС относно продуктите“</w:t>
      </w:r>
      <w:r w:rsidRPr="002B591C">
        <w:rPr>
          <w:rStyle w:val="FootnoteReference"/>
          <w:bCs/>
          <w:iCs/>
        </w:rPr>
        <w:footnoteReference w:id="12"/>
      </w:r>
      <w:r w:rsidRPr="002B591C">
        <w:t>,</w:t>
      </w:r>
    </w:p>
    <w:p w14:paraId="2D92F42D" w14:textId="6E461090" w:rsidR="0036441E" w:rsidRPr="002B591C" w:rsidRDefault="0036441E" w:rsidP="0036441E">
      <w:pPr>
        <w:pStyle w:val="NormalHanging12a"/>
        <w:outlineLvl w:val="1"/>
        <w:rPr>
          <w:bCs/>
          <w:iCs/>
        </w:rPr>
      </w:pPr>
      <w:r w:rsidRPr="002B591C">
        <w:t>–</w:t>
      </w:r>
      <w:r w:rsidRPr="002B591C">
        <w:tab/>
        <w:t>като взе предвид работния документ на службите на Комисията, озаглавен „Резюме на проверката за пригодност на законодателството на ЕС за защита на потребителите във връзка със справедливостта в областта на цифровите технологии“ (SWD(2024)0231),</w:t>
      </w:r>
    </w:p>
    <w:p w14:paraId="79AE354A" w14:textId="77777777" w:rsidR="0036441E" w:rsidRPr="002B591C" w:rsidRDefault="0036441E" w:rsidP="0036441E">
      <w:pPr>
        <w:pStyle w:val="NormalHanging12a"/>
        <w:outlineLvl w:val="1"/>
        <w:rPr>
          <w:bCs/>
          <w:iCs/>
        </w:rPr>
      </w:pPr>
      <w:r w:rsidRPr="002B591C">
        <w:t>–</w:t>
      </w:r>
      <w:r w:rsidRPr="002B591C">
        <w:tab/>
        <w:t>като взе предвид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w:t>
      </w:r>
      <w:r w:rsidRPr="002B591C">
        <w:rPr>
          <w:rStyle w:val="FootnoteReference"/>
          <w:bCs/>
          <w:iCs/>
        </w:rPr>
        <w:footnoteReference w:id="13"/>
      </w:r>
      <w:r w:rsidRPr="002B591C">
        <w:t xml:space="preserve">, </w:t>
      </w:r>
    </w:p>
    <w:p w14:paraId="2B3F5B02" w14:textId="77777777" w:rsidR="0036441E" w:rsidRPr="002B591C" w:rsidRDefault="0036441E" w:rsidP="0036441E">
      <w:pPr>
        <w:pStyle w:val="NormalHanging12a"/>
        <w:outlineLvl w:val="1"/>
        <w:rPr>
          <w:bCs/>
          <w:iCs/>
        </w:rPr>
      </w:pPr>
      <w:r w:rsidRPr="002B591C">
        <w:t>–</w:t>
      </w:r>
      <w:r w:rsidRPr="002B591C">
        <w:tab/>
        <w:t>като взе предвид Регламент (EС) 2022/1925 на Европейския парламент и на Съвета от 14 септември 2022 г. за достъпни и справедливи пазари в цифровия сектор и за изменение на директиви (EС) 2019/1937 и (ЕС) 2020/1828 (Акт за цифровите пазари)</w:t>
      </w:r>
      <w:r w:rsidRPr="002B591C">
        <w:rPr>
          <w:rStyle w:val="FootnoteReference"/>
          <w:bCs/>
          <w:iCs/>
        </w:rPr>
        <w:footnoteReference w:id="14"/>
      </w:r>
      <w:r w:rsidRPr="002B591C">
        <w:t>,</w:t>
      </w:r>
    </w:p>
    <w:p w14:paraId="389330C5" w14:textId="77777777" w:rsidR="0036441E" w:rsidRPr="002B591C" w:rsidRDefault="0036441E" w:rsidP="0036441E">
      <w:pPr>
        <w:pStyle w:val="NormalHanging12a"/>
        <w:outlineLvl w:val="1"/>
        <w:rPr>
          <w:bCs/>
          <w:iCs/>
        </w:rPr>
      </w:pPr>
      <w:r w:rsidRPr="002B591C">
        <w:t>–</w:t>
      </w:r>
      <w:r w:rsidRPr="002B591C">
        <w:tab/>
        <w:t>като взе предвид съобщението на Комисията от 11 март 2020 г., озаглавено „Нов план за действие относно кръговата икономика – за по-чиста и по-конкурентоспособна Европа“ (COM(2020)0098),</w:t>
      </w:r>
    </w:p>
    <w:p w14:paraId="01C2D5A1" w14:textId="77777777" w:rsidR="0036441E" w:rsidRPr="002B591C" w:rsidRDefault="0036441E" w:rsidP="0036441E">
      <w:pPr>
        <w:pStyle w:val="NormalHanging12a"/>
        <w:outlineLvl w:val="1"/>
        <w:rPr>
          <w:bCs/>
          <w:iCs/>
        </w:rPr>
      </w:pPr>
      <w:r w:rsidRPr="002B591C">
        <w:t>–</w:t>
      </w:r>
      <w:r w:rsidRPr="002B591C">
        <w:tab/>
        <w:t>като взе предвид Регламент (ЕС) 2024/1781 на Европейския парламент и на Съвета от 13 юни 2024 г. за създаване на рамка за определяне на изискванията за екопроектиране за устойчиви продукти, за изменение на Директива (ЕС) 2020/1828 и Регламент (ЕС) 2023/1542 и за отмяна на Директива 2009/125/ЕО</w:t>
      </w:r>
      <w:r w:rsidRPr="002B591C">
        <w:rPr>
          <w:rStyle w:val="FootnoteReference"/>
          <w:bCs/>
          <w:iCs/>
        </w:rPr>
        <w:footnoteReference w:id="15"/>
      </w:r>
      <w:r w:rsidRPr="002B591C">
        <w:t xml:space="preserve"> (Регламент за екопроектирането на устойчиви продукти),</w:t>
      </w:r>
    </w:p>
    <w:p w14:paraId="2A8A2FB8" w14:textId="77777777" w:rsidR="0036441E" w:rsidRPr="002B591C" w:rsidRDefault="0036441E" w:rsidP="0036441E">
      <w:pPr>
        <w:pStyle w:val="NormalHanging12a"/>
        <w:outlineLvl w:val="1"/>
        <w:rPr>
          <w:bCs/>
          <w:iCs/>
        </w:rPr>
      </w:pPr>
      <w:r w:rsidRPr="002B591C">
        <w:t>–</w:t>
      </w:r>
      <w:r w:rsidRPr="002B591C">
        <w:tab/>
        <w:t>като взе предвид Директива 2012/19/ЕС на Европейския парламент и на Съвета от 4 юли 2012 г. относно отпадъци от електрическо и електронно оборудване (ОЕЕО)</w:t>
      </w:r>
      <w:r w:rsidRPr="002B591C">
        <w:rPr>
          <w:rStyle w:val="FootnoteReference"/>
          <w:bCs/>
          <w:iCs/>
        </w:rPr>
        <w:footnoteReference w:id="16"/>
      </w:r>
      <w:r w:rsidRPr="002B591C">
        <w:t>,</w:t>
      </w:r>
    </w:p>
    <w:p w14:paraId="12558276" w14:textId="77777777" w:rsidR="0036441E" w:rsidRPr="002B591C" w:rsidRDefault="0036441E" w:rsidP="0036441E">
      <w:pPr>
        <w:pStyle w:val="NormalHanging12a"/>
        <w:outlineLvl w:val="1"/>
      </w:pPr>
      <w:r w:rsidRPr="002B591C">
        <w:t>–</w:t>
      </w:r>
      <w:r w:rsidRPr="002B591C">
        <w:tab/>
        <w:t>като взе предвид член 55 от своя Правилник за дейността,</w:t>
      </w:r>
    </w:p>
    <w:p w14:paraId="757AA076" w14:textId="77777777" w:rsidR="0036441E" w:rsidRPr="002B591C" w:rsidRDefault="0036441E" w:rsidP="0036441E">
      <w:pPr>
        <w:pStyle w:val="NormalHanging12a"/>
      </w:pPr>
      <w:r w:rsidRPr="002B591C">
        <w:t>–</w:t>
      </w:r>
      <w:r w:rsidRPr="002B591C">
        <w:tab/>
        <w:t>като взе предвид доклада на комисията по вътрешния пазар и защита на потребителите (A10-0189/2025),</w:t>
      </w:r>
    </w:p>
    <w:p w14:paraId="7C6AC686" w14:textId="77777777" w:rsidR="0036441E" w:rsidRPr="002B591C" w:rsidRDefault="0036441E" w:rsidP="0036441E">
      <w:pPr>
        <w:pStyle w:val="NormalHanging12a"/>
        <w:rPr>
          <w:snapToGrid w:val="0"/>
        </w:rPr>
      </w:pPr>
      <w:r w:rsidRPr="002B591C">
        <w:t>А.</w:t>
      </w:r>
      <w:r w:rsidRPr="002B591C">
        <w:tab/>
        <w:t xml:space="preserve">като има предвид, че новата законодателна рамка (НЗР) подобри съгласуваността и ефикасността на законодателството в областта на продуктите в рамките на единния пазар чрез хармонизирани определения и задължения за икономическите </w:t>
      </w:r>
      <w:r w:rsidRPr="002B591C">
        <w:lastRenderedPageBreak/>
        <w:t xml:space="preserve">оператори, оценки на съответствието, надзор на пазара и акредитация на </w:t>
      </w:r>
      <w:proofErr w:type="spellStart"/>
      <w:r w:rsidRPr="002B591C">
        <w:t>нотифицираните</w:t>
      </w:r>
      <w:proofErr w:type="spellEnd"/>
      <w:r w:rsidRPr="002B591C">
        <w:t xml:space="preserve"> органи, заедно с доброволното прилагане на хармонизирани стандарти за доказване на съответствието със законодателството на ЕС в областта на продуктите;</w:t>
      </w:r>
    </w:p>
    <w:p w14:paraId="274F0608" w14:textId="77777777" w:rsidR="0036441E" w:rsidRPr="002B591C" w:rsidRDefault="0036441E" w:rsidP="0036441E">
      <w:pPr>
        <w:pStyle w:val="NormalHanging12a"/>
        <w:outlineLvl w:val="1"/>
        <w:rPr>
          <w:bCs/>
          <w:iCs/>
        </w:rPr>
      </w:pPr>
      <w:r w:rsidRPr="002B591C">
        <w:t>Б.</w:t>
      </w:r>
      <w:r w:rsidRPr="002B591C">
        <w:tab/>
        <w:t xml:space="preserve">като има предвид, че НЗР се доказа като ефективен инструмент за насърчаване на европейската конкурентоспособност, като въвеждането ѝ бележи важно развитие от „стария подход“ към „новия подход“; като има предвид, че тя е съсредоточена върху съществените изисквания и дава възможност за гъвкава регулаторна среда, която насърчава иновациите и устойчивото развитие чрез силно публично-частно партньорство в рамките на европейската система за стандартизация, за да се гарантира, че на пазара се пускат само съответстващи на изискванията продукти; </w:t>
      </w:r>
    </w:p>
    <w:p w14:paraId="1DA7246B" w14:textId="77777777" w:rsidR="0036441E" w:rsidRPr="002B591C" w:rsidRDefault="0036441E" w:rsidP="0036441E">
      <w:pPr>
        <w:pStyle w:val="NormalHanging12a"/>
        <w:outlineLvl w:val="1"/>
        <w:rPr>
          <w:bCs/>
          <w:iCs/>
        </w:rPr>
      </w:pPr>
      <w:r w:rsidRPr="002B591C">
        <w:t>В.</w:t>
      </w:r>
      <w:r w:rsidRPr="002B591C">
        <w:tab/>
        <w:t xml:space="preserve">като има предвид, че оценката на НЗР от 2022 г. предлага ценна възможност за интегриране на констатациите от нея в процеса на преразглеждане, като се гарантира, че регулаторната рамка на ЕС остава приспособима към технологичния напредък, цифровизацията, устойчивостта и променящите се потребности на пазара; като има предвид, че процесът на преразглеждане на НЗР предлага ценна възможност за оценка на нейната ефективност, ефикасност и целесъобразност, като се обръща специално внимание на приоритетите на Парламента, включително социалното приобщаване, екологичната отговорност, безопасността и съответствието на продуктите, конкурентоспособността, намаляването на ненужната административна тежест и укрепването на единния пазар; </w:t>
      </w:r>
    </w:p>
    <w:p w14:paraId="302CE999" w14:textId="77777777" w:rsidR="0036441E" w:rsidRPr="002B591C" w:rsidRDefault="0036441E" w:rsidP="0036441E">
      <w:pPr>
        <w:pStyle w:val="NormalHanging12a"/>
        <w:outlineLvl w:val="1"/>
        <w:rPr>
          <w:bCs/>
          <w:iCs/>
        </w:rPr>
      </w:pPr>
      <w:r w:rsidRPr="002B591C">
        <w:t>Г.</w:t>
      </w:r>
      <w:r w:rsidRPr="002B591C">
        <w:tab/>
        <w:t>като има предвид, че новата законодателна рамка (НЗР) установява единен набор от правила, за да се гарантира, че продуктите, пуснати на пазара на ЕС, отговарят на последователни стандарти за безопасност и качество, което допринася за признаването на високо равнище на защита на потребителите във всички държави членки;</w:t>
      </w:r>
    </w:p>
    <w:p w14:paraId="460A6C6C" w14:textId="77777777" w:rsidR="0036441E" w:rsidRPr="002B591C" w:rsidRDefault="0036441E" w:rsidP="0036441E">
      <w:pPr>
        <w:pStyle w:val="NormalHanging12a"/>
        <w:outlineLvl w:val="1"/>
        <w:rPr>
          <w:bCs/>
          <w:iCs/>
        </w:rPr>
      </w:pPr>
      <w:r w:rsidRPr="002B591C">
        <w:t>Д.</w:t>
      </w:r>
      <w:r w:rsidRPr="002B591C">
        <w:tab/>
        <w:t xml:space="preserve">като има предвид, че НЗР, като елемент от европейската система за стандартизация, също играе важна роля за </w:t>
      </w:r>
      <w:bookmarkStart w:id="8" w:name="_Hlk203393315"/>
      <w:r w:rsidRPr="002B591C">
        <w:t>конкурентоспособността на европейската промишленост чрез насърчаване на иновациите,</w:t>
      </w:r>
      <w:bookmarkEnd w:id="8"/>
      <w:r w:rsidRPr="002B591C">
        <w:t xml:space="preserve"> стимулиране на доброволния принос на техническите експерти и осигуряване на безопасни и най-съвременни технологии на единния пазар на ЕС;</w:t>
      </w:r>
    </w:p>
    <w:p w14:paraId="18EE3CE9" w14:textId="77777777" w:rsidR="0036441E" w:rsidRPr="002B591C" w:rsidRDefault="0036441E" w:rsidP="0036441E">
      <w:pPr>
        <w:pStyle w:val="NormalHanging12a"/>
        <w:outlineLvl w:val="1"/>
        <w:rPr>
          <w:bCs/>
          <w:iCs/>
        </w:rPr>
      </w:pPr>
      <w:r w:rsidRPr="002B591C">
        <w:t>Е.</w:t>
      </w:r>
      <w:r w:rsidRPr="002B591C">
        <w:tab/>
        <w:t xml:space="preserve">като има предвид, че модернизирането на законодателството в областта на продуктите, по-специално чрез цифровизация, има потенциала </w:t>
      </w:r>
      <w:bookmarkStart w:id="9" w:name="_Hlk203400046"/>
      <w:r w:rsidRPr="002B591C">
        <w:t>да опрости процедурите за съответствие и да намали ненужната административна тежест за икономическите оператори</w:t>
      </w:r>
      <w:bookmarkEnd w:id="9"/>
      <w:r w:rsidRPr="002B591C">
        <w:t xml:space="preserve">, особено за малките и средните предприятия (МСП), като същевременно се поддържат високи стандарти за безопасност и спазване на нормативните изисквания; </w:t>
      </w:r>
    </w:p>
    <w:p w14:paraId="06A369AD" w14:textId="77777777" w:rsidR="0036441E" w:rsidRPr="002B591C" w:rsidRDefault="0036441E" w:rsidP="0036441E">
      <w:pPr>
        <w:pStyle w:val="NormalHanging12a"/>
        <w:outlineLvl w:val="1"/>
        <w:rPr>
          <w:bCs/>
          <w:iCs/>
        </w:rPr>
      </w:pPr>
      <w:r w:rsidRPr="002B591C">
        <w:t>Ж.</w:t>
      </w:r>
      <w:r w:rsidRPr="002B591C">
        <w:tab/>
        <w:t xml:space="preserve">като има предвид, че преразглеждането на НЗР трябва непрекъснато да се развива, за да бъдат отчитани нововъзникващите рискове, например нарастващото наличие на нови технологии в продуктите; като има предвид, че тя трябва да отчита и нарастващата загриженост относно наличието на опасни вещества в продуктите; като има предвид, че преразглеждането на НЗР ще бъде ключов инструмент за укрепване на рамката за надзор на пазара с цел предприемане на мерки по отношение на предизвикателствата, породени от електронната търговия и </w:t>
      </w:r>
      <w:r w:rsidRPr="002B591C">
        <w:lastRenderedPageBreak/>
        <w:t>променящия се характер на цифрово свързаните продукти, както и с цел адаптиране към новите изисквания на кръговата икономика;</w:t>
      </w:r>
    </w:p>
    <w:p w14:paraId="4619B9B6" w14:textId="77777777" w:rsidR="0036441E" w:rsidRPr="002B591C" w:rsidRDefault="0036441E" w:rsidP="0036441E">
      <w:pPr>
        <w:pStyle w:val="NormalHanging12a"/>
        <w:outlineLvl w:val="1"/>
        <w:rPr>
          <w:bCs/>
          <w:iCs/>
        </w:rPr>
      </w:pPr>
      <w:r w:rsidRPr="002B591C">
        <w:t>З.</w:t>
      </w:r>
      <w:r w:rsidRPr="002B591C">
        <w:tab/>
        <w:t xml:space="preserve">като има предвид, че оценката на РСП, въпреки че все още не е част от преразглеждането на НЗР, е част от по-широките усилия за прилагане, за да се гарантира, че продуктите на пазара на ЕС отговарят на високи стандарти за безопасност и не представляват риск за потребителите и околната среда; </w:t>
      </w:r>
    </w:p>
    <w:p w14:paraId="63F646DE" w14:textId="77777777" w:rsidR="0036441E" w:rsidRPr="002B591C" w:rsidRDefault="0036441E" w:rsidP="0036441E">
      <w:pPr>
        <w:pStyle w:val="NormalHanging12a"/>
        <w:outlineLvl w:val="1"/>
        <w:rPr>
          <w:bCs/>
          <w:iCs/>
        </w:rPr>
      </w:pPr>
      <w:r w:rsidRPr="002B591C">
        <w:t>И.</w:t>
      </w:r>
      <w:r w:rsidRPr="002B591C">
        <w:tab/>
        <w:t xml:space="preserve">като има предвид, че цифровият продуктов паспорт (ЦПП) следва да служи като централен инструмент за насърчаване на прозрачността, проследимостта и информираното вземане на решения както от потребителите, така и от органите; </w:t>
      </w:r>
    </w:p>
    <w:p w14:paraId="7A09A4FC" w14:textId="77777777" w:rsidR="0036441E" w:rsidRPr="002B591C" w:rsidRDefault="0036441E" w:rsidP="0036441E">
      <w:pPr>
        <w:pStyle w:val="NormalHanging12a"/>
        <w:outlineLvl w:val="1"/>
        <w:rPr>
          <w:bCs/>
          <w:iCs/>
        </w:rPr>
      </w:pPr>
      <w:r w:rsidRPr="002B591C">
        <w:t>Й.</w:t>
      </w:r>
      <w:r w:rsidRPr="002B591C">
        <w:tab/>
        <w:t>като има предвид, че хоризонтално, междусекторно изпълнение на ЦПП, обхващащо нови, употребявани, обновени и преработени продукти, би намалило разпокъсаността на отчитането във връзка с устойчивостта и би гарантирало съгласуваност в рамките на вътрешния пазар;</w:t>
      </w:r>
    </w:p>
    <w:p w14:paraId="5F0B5ECA" w14:textId="77777777" w:rsidR="0036441E" w:rsidRPr="002B591C" w:rsidRDefault="0036441E" w:rsidP="0036441E">
      <w:pPr>
        <w:pStyle w:val="NormalHanging12a"/>
        <w:outlineLvl w:val="1"/>
        <w:rPr>
          <w:bCs/>
          <w:iCs/>
        </w:rPr>
      </w:pPr>
      <w:r w:rsidRPr="002B591C">
        <w:t>К.</w:t>
      </w:r>
      <w:r w:rsidRPr="002B591C">
        <w:tab/>
        <w:t xml:space="preserve">като има предвид, че електронната търговия играе съществена роля за оформянето на опита на потребителите, като улеснява по-голямото удобство, разширява достъпа до широк набор от стоки и услуги и дава възможност на потребителите да се възползват от по-достъпни възможности за закупуване; като има предвид, че в същото време тя издига значителни предизвикателства пред защитата на потребителите, включително излагане на опасни или несъответстващи на изискванията продукти, различия в достъпността, яснотата и съпоставимостта на информацията, както и търговски практики, предназначени да се възползват от поведенческите предубеждения и уязвимостта на потребителите; </w:t>
      </w:r>
    </w:p>
    <w:p w14:paraId="52406657" w14:textId="77777777" w:rsidR="0036441E" w:rsidRPr="002B591C" w:rsidRDefault="0036441E" w:rsidP="0036441E">
      <w:pPr>
        <w:pStyle w:val="NormalHanging12a"/>
        <w:outlineLvl w:val="1"/>
        <w:rPr>
          <w:bCs/>
          <w:iCs/>
        </w:rPr>
      </w:pPr>
      <w:r w:rsidRPr="002B591C">
        <w:t>Л.</w:t>
      </w:r>
      <w:r w:rsidRPr="002B591C">
        <w:tab/>
        <w:t xml:space="preserve">като има предвид, че пазарът за повторна търговия в ЕС се оценява на 94 милиарда евро в периода 2022 – 2023 г., което представлява 12,3% от общия обем на електронната търговия, и се очаква до 2025 г. да достигне 120 милиарда евро, което съставлява 14% от електронната търговия; подчертава, че бързият му растеж се стимулира от множество фактори, включително повишаването на осведомеността на потребителите по въпросите на устойчивостта и околната среда, по-голямото търсене на достъпни алтернативи и нарастващия интерес към уникални продукти, тъй като повторната търговия улеснява достъпа до старинни и излезли от производство стоки; </w:t>
      </w:r>
    </w:p>
    <w:p w14:paraId="0BA2F438" w14:textId="77777777" w:rsidR="0036441E" w:rsidRPr="002B591C" w:rsidRDefault="0036441E" w:rsidP="0036441E">
      <w:pPr>
        <w:pStyle w:val="NormalHanging12a"/>
        <w:outlineLvl w:val="1"/>
        <w:rPr>
          <w:bCs/>
          <w:iCs/>
        </w:rPr>
      </w:pPr>
      <w:r w:rsidRPr="002B591C">
        <w:t>М.</w:t>
      </w:r>
      <w:r w:rsidRPr="002B591C">
        <w:tab/>
        <w:t xml:space="preserve">като има предвид, че увеличаването на онлайн продажбите на продукти представлява значимо предизвикателство, тъй като трудностите при определянето на отговорните страни, като продавачи или посредници извън ЕС, поражда проблеми при прилагането; като има предвид, че продължават да съществуват пропуски в проследяването и предприемането на действия срещу онлайн продавачите, които не спазват разпоредбите на ЕС, което позволява несъответстващи на изискванията продукти да се продават без подходящ надзор; </w:t>
      </w:r>
    </w:p>
    <w:p w14:paraId="057FCF4E" w14:textId="77777777" w:rsidR="0036441E" w:rsidRPr="002B591C" w:rsidRDefault="0036441E" w:rsidP="0036441E">
      <w:pPr>
        <w:pStyle w:val="NormalHanging12a"/>
        <w:outlineLvl w:val="1"/>
        <w:rPr>
          <w:bCs/>
          <w:iCs/>
        </w:rPr>
      </w:pPr>
      <w:r w:rsidRPr="002B591C">
        <w:t>Н.</w:t>
      </w:r>
      <w:r w:rsidRPr="002B591C">
        <w:tab/>
        <w:t xml:space="preserve">като има предвид, че платформите за електронна търговия са предмет на различни задължения съгласно Законодателния акт за цифровите услуги и Регламента </w:t>
      </w:r>
      <w:r w:rsidRPr="002B591C">
        <w:lastRenderedPageBreak/>
        <w:t>относно общата безопасност на продуктите</w:t>
      </w:r>
      <w:r w:rsidRPr="002B591C">
        <w:rPr>
          <w:rStyle w:val="FootnoteReference"/>
        </w:rPr>
        <w:footnoteReference w:id="17"/>
      </w:r>
      <w:r w:rsidRPr="002B591C">
        <w:t xml:space="preserve"> и могат да бъдат подведени под отговорност съгласно Директивата относно отговорността за вреди от дефекти на продукти, при определени обстоятелства; като има предвид, във връзка с това, че онлайн платформите носят отговорност, ако не спазват специфичните си задължения като посредници; като има предвид, че електронната търговия, по-специално на много големите онлайн платформи и платформите извън ЕС, все още издига значителни предизвикателства пред конкурентоспособността на ЕС и поражда опасения относно правата на потребителите и здравето и безопасността, особено като се има предвид, че някои категории продукти пораждат сериозни опасения относно тяхното въздействие върху уязвимите групи потребители; </w:t>
      </w:r>
    </w:p>
    <w:p w14:paraId="13409757" w14:textId="77777777" w:rsidR="0036441E" w:rsidRPr="002B591C" w:rsidRDefault="0036441E" w:rsidP="0036441E">
      <w:pPr>
        <w:pStyle w:val="NormalHanging12a"/>
        <w:outlineLvl w:val="1"/>
        <w:rPr>
          <w:bCs/>
          <w:iCs/>
        </w:rPr>
      </w:pPr>
      <w:r w:rsidRPr="002B591C">
        <w:t>О.</w:t>
      </w:r>
      <w:r w:rsidRPr="002B591C">
        <w:tab/>
        <w:t>като има предвид, че въпреки че НЗР има за цел хармонизирано правоприлагане, прилагането и надзорът от страна на органите за оценяване на съответствието се различават в различните държави — членки на ЕС; като има предвид, че някои държави може да са по-внимателни при извършването на инспекции и прилагането на изискванията за спазване, докато други може да са изправени пред забавяния или липса на приоритизиране; като има предвид, че това непоследователно правоприлагане може да създаде различия в равнищата на безопасност на продуктите и да наруши вътрешния пазар;</w:t>
      </w:r>
    </w:p>
    <w:p w14:paraId="2FFA9A55" w14:textId="77777777" w:rsidR="0036441E" w:rsidRPr="002B591C" w:rsidRDefault="0036441E" w:rsidP="0036441E">
      <w:pPr>
        <w:pStyle w:val="NormalHanging12a"/>
        <w:outlineLvl w:val="1"/>
        <w:rPr>
          <w:bCs/>
          <w:iCs/>
        </w:rPr>
      </w:pPr>
      <w:r w:rsidRPr="002B591C">
        <w:t>П.</w:t>
      </w:r>
      <w:r w:rsidRPr="002B591C">
        <w:tab/>
        <w:t xml:space="preserve">като има предвид, че НЗР трябва да гарантира, че процедурите за оценяване на съответствието са хармонизирани, стабилни и продължават да бъдат подходящи с оглед на нарастващата сложност на цифровите и взаимосвързаните продукти, включително рисковете за киберсигурността и променящите се технологични характеристики, като същевременно се дава приоритет на безопасността и правата на потребителите; </w:t>
      </w:r>
    </w:p>
    <w:p w14:paraId="3BFF6B6C" w14:textId="77777777" w:rsidR="0036441E" w:rsidRPr="002B591C" w:rsidRDefault="0036441E" w:rsidP="0036441E">
      <w:pPr>
        <w:pStyle w:val="NormalHanging12a"/>
        <w:outlineLvl w:val="1"/>
        <w:rPr>
          <w:bCs/>
          <w:iCs/>
        </w:rPr>
      </w:pPr>
      <w:r w:rsidRPr="002B591C">
        <w:t>Р.</w:t>
      </w:r>
      <w:r w:rsidRPr="002B591C">
        <w:tab/>
        <w:t>като има предвид, че НЗР следва да включва ясни насоки, за да се гарантира последователно прилагане във всички държави членки, да се поддържат високи стандарти за безопасност на продуктите и да се насърчава справедливостта и прозрачността на вътрешния пазар;</w:t>
      </w:r>
    </w:p>
    <w:p w14:paraId="50C8DF15" w14:textId="77777777" w:rsidR="0036441E" w:rsidRPr="002B591C" w:rsidRDefault="0036441E" w:rsidP="0036441E">
      <w:pPr>
        <w:pStyle w:val="NormalHanging12a"/>
        <w:outlineLvl w:val="1"/>
        <w:rPr>
          <w:bCs/>
          <w:iCs/>
        </w:rPr>
      </w:pPr>
      <w:r w:rsidRPr="002B591C">
        <w:t>С.</w:t>
      </w:r>
      <w:r w:rsidRPr="002B591C">
        <w:tab/>
        <w:t xml:space="preserve">като има предвид, че ролята на </w:t>
      </w:r>
      <w:proofErr w:type="spellStart"/>
      <w:r w:rsidRPr="002B591C">
        <w:t>нотифицираните</w:t>
      </w:r>
      <w:proofErr w:type="spellEnd"/>
      <w:r w:rsidRPr="002B591C">
        <w:t xml:space="preserve"> органи в процеса на оценяване на съответствието трябва да бъде засилена чрез повишаване на прозрачността, независимостта и компетентността в рамките на системата за акредитация, като се улесни признаването на продукти във всички държави - членки на ЕС, и се гарантира, че те могат ефективно да отговорят на предизвикателствата на цифровизацията и кръговата икономика, като същевременно се защитават интересите както на предприятията, в частност на МСП, така и на потребителите;</w:t>
      </w:r>
    </w:p>
    <w:p w14:paraId="45230218" w14:textId="77777777" w:rsidR="0036441E" w:rsidRPr="002B591C" w:rsidRDefault="0036441E" w:rsidP="0036441E">
      <w:pPr>
        <w:pStyle w:val="NormalHanging12a"/>
        <w:outlineLvl w:val="1"/>
        <w:rPr>
          <w:bCs/>
          <w:iCs/>
        </w:rPr>
      </w:pPr>
      <w:r w:rsidRPr="002B591C">
        <w:t>Т.</w:t>
      </w:r>
      <w:r w:rsidRPr="002B591C">
        <w:tab/>
        <w:t xml:space="preserve">като има предвид, че няколко държави членки вече са въвели намаления на ДДС за повторно използвани, обновени, ремонтирани и употребявани продукти, включително тези, продавани от благотворителни организации и платформи на социалната икономика, с цел насърчаване на принципите на кръговата икономика </w:t>
      </w:r>
      <w:r w:rsidRPr="002B591C">
        <w:lastRenderedPageBreak/>
        <w:t xml:space="preserve">и стимулиране на местната икономика; </w:t>
      </w:r>
    </w:p>
    <w:p w14:paraId="6B1427E9" w14:textId="77777777" w:rsidR="0036441E" w:rsidRPr="002B591C" w:rsidRDefault="0036441E" w:rsidP="0036441E">
      <w:pPr>
        <w:pStyle w:val="CAChapter"/>
        <w:spacing w:before="0"/>
      </w:pPr>
      <w:r w:rsidRPr="002B591C">
        <w:rPr>
          <w:rStyle w:val="BoldItalic"/>
        </w:rPr>
        <w:t>Роли и отговорности на икономическите оператори</w:t>
      </w:r>
    </w:p>
    <w:p w14:paraId="7F4C03A3" w14:textId="77777777" w:rsidR="0036441E" w:rsidRPr="002B591C" w:rsidRDefault="0036441E" w:rsidP="0036441E">
      <w:pPr>
        <w:spacing w:after="240"/>
        <w:ind w:left="720" w:hanging="720"/>
        <w:outlineLvl w:val="2"/>
      </w:pPr>
      <w:r w:rsidRPr="002B591C">
        <w:t>1.</w:t>
      </w:r>
      <w:r w:rsidRPr="002B591C">
        <w:tab/>
        <w:t xml:space="preserve">подчертава необходимостта от ориентиран към бъдещето модел, който запазва основополагащите принципи на НЗР, като същевременно интегрира нововъзникващите приоритети на политиката и констатациите от оценката от 2022 г., по-специално устойчивостта, цифровизацията и засиления надзор на пазара; подчертава, че преразглеждането следва да бъде от полза за потребителите и предприятията; </w:t>
      </w:r>
    </w:p>
    <w:p w14:paraId="223476EF" w14:textId="77777777" w:rsidR="0036441E" w:rsidRPr="002B591C" w:rsidRDefault="0036441E" w:rsidP="0036441E">
      <w:pPr>
        <w:spacing w:after="240"/>
        <w:ind w:left="720" w:hanging="720"/>
        <w:outlineLvl w:val="2"/>
      </w:pPr>
      <w:r w:rsidRPr="002B591C">
        <w:t>2.</w:t>
      </w:r>
      <w:r w:rsidRPr="002B591C">
        <w:tab/>
        <w:t>подчертава необходимостта от нова законодателна рамка, която да бъде приведена в съответствие с общите цели за повишаване на правната сигурност и прозрачността както за потребителите, така и за предприятията, както и за укрепване на конкурентоспособността и правоприлагането в ЕС с рационализирани процедури за съответствие, без да се занижават стандартите за безопасност или качество; подчертава, че следва да се работи за опростяване, за да се намали ненужната административна тежест, без да се подкопават договорените цели на политиката или да се отслабва защитата на потребителите;</w:t>
      </w:r>
    </w:p>
    <w:p w14:paraId="51C365E5" w14:textId="2DCAEFC3" w:rsidR="0036441E" w:rsidRPr="002B591C" w:rsidRDefault="0036441E" w:rsidP="0036441E">
      <w:pPr>
        <w:spacing w:after="240"/>
        <w:ind w:left="720" w:hanging="720"/>
        <w:outlineLvl w:val="2"/>
      </w:pPr>
      <w:r w:rsidRPr="002B591C">
        <w:t>3.</w:t>
      </w:r>
      <w:r w:rsidRPr="002B591C">
        <w:tab/>
        <w:t>призовава към това, преразглеждането да гарантира съгласуваност в законодателството на ЕС в областта на продуктите, включително с Регламента относно общата безопасност на продуктите, Директивата относно отговорността за вреди от дефекти на продукти, Регламента за екопроектирането на устойчиви продукти, Законодателния акт за изкуствения интелект</w:t>
      </w:r>
      <w:r w:rsidRPr="002B591C">
        <w:rPr>
          <w:rStyle w:val="FootnoteReference"/>
        </w:rPr>
        <w:footnoteReference w:id="18"/>
      </w:r>
      <w:r w:rsidRPr="002B591C">
        <w:t xml:space="preserve"> и Законодателния акт за цифровите услуги, както и с цел да се гарантира свободното движение на безопасни и съответстващи на изискванията продукти в рамките на вътрешния пазар; призовава Комисията да преразгледа и когато е приложимо, да актуализира ролите и отговорностите на икономическите оператори и съответните им задължения съгласно Решение № 768/2008</w:t>
      </w:r>
      <w:r w:rsidR="00322547">
        <w:rPr>
          <w:lang w:val="hu-HU"/>
        </w:rPr>
        <w:t>/EO</w:t>
      </w:r>
      <w:r w:rsidRPr="002B591C">
        <w:t>, за да се повиши правната сигурност, да се засили защитата на потребителите и да се гарантира, че икономическите оператори от ЕС могат да работят на равни начала в рамките на вътрешния пазар и спрямо дружествата извън ЕС;</w:t>
      </w:r>
    </w:p>
    <w:p w14:paraId="5028EF70" w14:textId="77777777" w:rsidR="0036441E" w:rsidRPr="002B591C" w:rsidRDefault="0036441E" w:rsidP="0036441E">
      <w:pPr>
        <w:spacing w:after="240"/>
        <w:ind w:left="720" w:hanging="720"/>
        <w:outlineLvl w:val="2"/>
      </w:pPr>
      <w:r w:rsidRPr="002B591C">
        <w:t>4.</w:t>
      </w:r>
      <w:r w:rsidRPr="002B591C">
        <w:tab/>
        <w:t xml:space="preserve">подчертава, че отговорното лице за съответствието на продуктите в ЕС, действащо от името на търговци извън ЕС, често няма капацитет да предоставя правна защита или обезщетение на потребителите, особено когато действа като упълномощен представител; признава освен това липсата на хармонизирани изисквания, за да се гарантира, че тези участници могат да изпълняват своите задължения; настоятелно призовава Комисията да ускори своята задълбочена оценка на ефективността на разпоредбите във връзка с „отговорното лице за продуктите, пуснати на пазара на Съюза“, както и да надгради върху резултатите от междинния доклад относно член 4 от Регламента относно надзора на пазара; призовава Комисията да обмисли въвеждането на задължително изискване </w:t>
      </w:r>
      <w:r w:rsidRPr="002B591C">
        <w:lastRenderedPageBreak/>
        <w:t>търговците извън ЕС да назначават отговорно лице в ЕС с увеличена правна и финансова отговорност, за да се гарантира, че потребителите не се лишават от обезщетение, като същевременно се гарантират еднакви условия на конкуренция между дружествата от ЕС и извън него; освен това настоятелно призовава Комисията да установи оперативни изисквания за отговорните лица, които може да включват аспекти, свързани с тяхната икономическа платежоспособност или способност да изпълняват ефективно съответните си задачи;</w:t>
      </w:r>
    </w:p>
    <w:p w14:paraId="4D766F15" w14:textId="77777777" w:rsidR="0036441E" w:rsidRPr="002B591C" w:rsidRDefault="0036441E" w:rsidP="0036441E">
      <w:pPr>
        <w:spacing w:after="240"/>
        <w:ind w:left="720" w:hanging="720"/>
        <w:outlineLvl w:val="2"/>
      </w:pPr>
      <w:r w:rsidRPr="002B591C">
        <w:t>5.</w:t>
      </w:r>
      <w:r w:rsidRPr="002B591C">
        <w:tab/>
        <w:t>подчертава, че НЗР трябва да се развива, за да подкрепи интегрирането на изискванията на кръговата икономика и цифровизацията, както се подчертава в проверката за пригодност и оценката на НЗР; отбелязва, че това включва гарантиране, че оценките на съответствието ефективно отчитат предизвикателствата, породени от бързо развиващите се технологии, например актуализации на софтуер и хардуер, свързаност на продуктите и изкуствен интелект, които имат потенциала да променят основните характеристики на продуктите след пускането им на пазара, като същевременно подкрепят конкурентоспособността и опростените процедури за съответствие;</w:t>
      </w:r>
    </w:p>
    <w:p w14:paraId="539058D6" w14:textId="77777777" w:rsidR="0036441E" w:rsidRPr="002B591C" w:rsidRDefault="0036441E" w:rsidP="0036441E">
      <w:pPr>
        <w:spacing w:after="240"/>
        <w:ind w:left="720" w:hanging="720"/>
        <w:outlineLvl w:val="2"/>
      </w:pPr>
      <w:r w:rsidRPr="002B591C">
        <w:t>6.</w:t>
      </w:r>
      <w:r w:rsidRPr="002B591C">
        <w:tab/>
        <w:t>призовава Комисията да гарантира правилното прилагане на НЗР, която трябва да бъде в съответствие със съществуващото законодателство на Съюза, включително с разпоредбите за укрепване на защитата на потребителите във връзка с използването на изкуствен интелект и автоматизираното вземане на решения; припомня във връзка с това съществуващите разпоредби в Общия регламент относно защитата на данните</w:t>
      </w:r>
      <w:r w:rsidRPr="002B591C">
        <w:rPr>
          <w:rStyle w:val="FootnoteReference"/>
        </w:rPr>
        <w:footnoteReference w:id="19"/>
      </w:r>
      <w:r w:rsidRPr="002B591C">
        <w:t xml:space="preserve"> и Законодателния акт за изкуствения интелект, според които потребителите трябва да бъдат ясно информирани, когато се вземат решения чрез използване на изкуствен интелект или автоматизирано обработване, по-специално когато участват лични данни, и че потребителите следва да имат възможност да потърсят човешка намеса в такива случаи;</w:t>
      </w:r>
    </w:p>
    <w:p w14:paraId="63ACEC45" w14:textId="77777777" w:rsidR="0036441E" w:rsidRPr="002B591C" w:rsidRDefault="0036441E" w:rsidP="0036441E">
      <w:pPr>
        <w:spacing w:after="240"/>
        <w:ind w:left="720" w:hanging="720"/>
        <w:outlineLvl w:val="2"/>
      </w:pPr>
      <w:r w:rsidRPr="002B591C">
        <w:t>7.</w:t>
      </w:r>
      <w:r w:rsidRPr="002B591C">
        <w:tab/>
        <w:t xml:space="preserve">подчертава значението на ефективното и последователно прилагане на Регламента относно надзора на пазара като крайъгълен камък на НЗР; подчертава съществената роля на националните органи за надзор на пазара за гарантиране на безопасността и съответствието на продуктите, пуснати на пазара на ЕС, включително продаваните онлайн; призовава за укрепване на техния оперативен капацитет и координация както на национално равнище, така и на равнище ЕС, по-специално чрез по-добро основано на риска планиране и съвместни действия, и призовава Комисията да оцени необходимостта от орган на ЕС за надзор на пазара; подчертава необходимостта от осигуряване на подходящи ресурси за органите за надзор на пазара, подобрено сътрудничество, засилен обмен на информация и използване на цифрови инструменти; насърчава Комисията и държавите членки да продължат да подкрепят механизмите за сътрудничество, като например Мрежата на ЕС за съответствието на продуктите, и да гарантират последователни практики на правоприлагане в различните сектори и през границите, за да се гарантира добре функционираща </w:t>
      </w:r>
      <w:r w:rsidRPr="002B591C">
        <w:lastRenderedPageBreak/>
        <w:t>система за надзор на пазара, която е от решаващо значение за защитата на потребителите, лоялната конкуренция и доверието в единния пазар;</w:t>
      </w:r>
    </w:p>
    <w:p w14:paraId="7BF10DCC" w14:textId="77777777" w:rsidR="0036441E" w:rsidRPr="002B591C" w:rsidRDefault="0036441E" w:rsidP="0036441E">
      <w:pPr>
        <w:spacing w:after="240"/>
        <w:ind w:left="720" w:hanging="720"/>
        <w:outlineLvl w:val="2"/>
      </w:pPr>
      <w:bookmarkStart w:id="10" w:name="_Hlk207786350"/>
      <w:r w:rsidRPr="002B591C">
        <w:t>8.</w:t>
      </w:r>
      <w:r w:rsidRPr="002B591C">
        <w:tab/>
        <w:t xml:space="preserve">отбелязва, че оценката на Регламента относно надзора на пазара все още не е част от преразглеждането на НЗР, но следва да бъде завършена до декември 2026 г. заедно с предложение за преразглеждане; подчертава, че Регламентът относно надзора на пазара играе ключова роля за повишаване на ефективността на надзора на пазара в целия ЕС; </w:t>
      </w:r>
      <w:bookmarkStart w:id="11" w:name="_Hlk203638681"/>
      <w:r w:rsidRPr="002B591C">
        <w:t>предлага да се продължи използването на оценката на риска съгласно Регламента относно надзора на пазара за идентифициране на високорискови продукти и наблюдение на степента на постигане на съответствие от страна на икономическите оператори в миналото, по-специално на тези от трети държави; приканва Комисията да прецени осъществимостта на основана на риска система за предупреждение за оператори с данни за слаби резултати по отношение на съответствието, която би могла да даде възможност за засилен мониторинг на надзора на пазара</w:t>
      </w:r>
      <w:bookmarkEnd w:id="11"/>
      <w:r w:rsidRPr="002B591C">
        <w:t xml:space="preserve">; </w:t>
      </w:r>
      <w:bookmarkEnd w:id="10"/>
      <w:r w:rsidRPr="002B591C">
        <w:t>предлага да се въведе по-проактивен и цифровизиран надзорен механизъм, поверен на националните органи, които са определени от държавите членки, с цел да се гарантира по-ефективен и последователен надзор; подчертава в този контекст значението на актуализирането на Регламента относно надзора на пазара с цел рационализиране и стандартизиране на действията на органите за надзор на пазара и обмена на информация в ЕС; препоръчва разработването на ключови показатели за ефективност с цел систематична и обективна оценка на съответствието;</w:t>
      </w:r>
    </w:p>
    <w:p w14:paraId="69AB392D" w14:textId="77777777" w:rsidR="0036441E" w:rsidRPr="002B591C" w:rsidRDefault="0036441E" w:rsidP="0036441E">
      <w:pPr>
        <w:spacing w:after="240"/>
        <w:ind w:left="720" w:hanging="720"/>
        <w:outlineLvl w:val="2"/>
        <w:rPr>
          <w:b/>
          <w:bCs/>
          <w:i/>
          <w:iCs/>
        </w:rPr>
      </w:pPr>
      <w:r w:rsidRPr="002B591C">
        <w:rPr>
          <w:rStyle w:val="BoldItalic"/>
        </w:rPr>
        <w:t>Цифров продуктов паспорт (ЦПП)</w:t>
      </w:r>
    </w:p>
    <w:p w14:paraId="68BD6D1B" w14:textId="77777777" w:rsidR="0036441E" w:rsidRPr="002B591C" w:rsidRDefault="0036441E" w:rsidP="0036441E">
      <w:pPr>
        <w:spacing w:after="240"/>
        <w:ind w:left="720" w:hanging="720"/>
        <w:outlineLvl w:val="2"/>
      </w:pPr>
      <w:r w:rsidRPr="002B591C">
        <w:t>9.</w:t>
      </w:r>
      <w:r w:rsidRPr="002B591C">
        <w:tab/>
        <w:t>подчертава ползите от хоризонталния и оперативно съвместим ЦПП като инструмент, който може да предоставя достъп до хармонизирана информация относно характеристиките на продуктите, съответствието на продуктите, веригите на доставки, енергийната ефективност, подробните количествени показатели за ефективност във връзка с устойчивостта и основните данни за състава на продуктите, тяхната трайност, възможностите за ремонт, за повторна употреба и за рециклиране, разходите за поддръжка и цената и наличността на резервни части; отбелязва, че специфичната информация, която трябва да бъде включена в ЦПП, трябва да отчита категорията продукти с различни права на достъп в зависимост от участниците; счита, че ЦПП следва да се превърне в отправна точка за потребителите, органите и предприятията по цялата верига за създаване на стойност;</w:t>
      </w:r>
    </w:p>
    <w:p w14:paraId="460F8504" w14:textId="77777777" w:rsidR="0036441E" w:rsidRPr="002B591C" w:rsidRDefault="0036441E" w:rsidP="0036441E">
      <w:pPr>
        <w:spacing w:after="240"/>
        <w:ind w:left="720" w:hanging="720"/>
        <w:outlineLvl w:val="2"/>
      </w:pPr>
      <w:r w:rsidRPr="002B591C">
        <w:t>10.</w:t>
      </w:r>
      <w:r w:rsidRPr="002B591C">
        <w:tab/>
        <w:t>счита, че ЦПП следва да замени съществуващите декларации за съответствие, за да се рационализират изискванията за съответствие; приветства в този контекст бъдещия регламент относно безопасността на детските играчки, който ще позволи на икономическите оператори да разчитат изцяло на ЦПП, вместо да изготвят декларации за съответствие;</w:t>
      </w:r>
    </w:p>
    <w:p w14:paraId="5C6ECCFB" w14:textId="77777777" w:rsidR="0036441E" w:rsidRPr="002B591C" w:rsidRDefault="0036441E" w:rsidP="0036441E">
      <w:pPr>
        <w:spacing w:after="240"/>
        <w:ind w:left="720" w:hanging="720"/>
        <w:outlineLvl w:val="2"/>
      </w:pPr>
      <w:r w:rsidRPr="002B591C">
        <w:t>11.</w:t>
      </w:r>
      <w:r w:rsidRPr="002B591C">
        <w:tab/>
        <w:t xml:space="preserve">подчертава стойността на ЦПП за предоставянето на възможност на потребителите да правят информиран избор, като по този начин се изгражда доверие у потребителите и се улеснява кръговият поток от продукти; подчертава неговия потенциал за оказване на подкрепа на устойчивото потребление в съответствие с целите на ЕС в областта на климата и околната среда, както и за принос към ангажирането на потребителите в полза на устойчива икономика на </w:t>
      </w:r>
      <w:r w:rsidRPr="002B591C">
        <w:lastRenderedPageBreak/>
        <w:t>единния пазар;</w:t>
      </w:r>
    </w:p>
    <w:p w14:paraId="21BAB3EB" w14:textId="77777777" w:rsidR="0036441E" w:rsidRPr="002B591C" w:rsidRDefault="0036441E" w:rsidP="0036441E">
      <w:pPr>
        <w:spacing w:after="240"/>
        <w:ind w:left="720" w:hanging="720"/>
        <w:outlineLvl w:val="2"/>
      </w:pPr>
      <w:r w:rsidRPr="002B591C">
        <w:t>12.</w:t>
      </w:r>
      <w:r w:rsidRPr="002B591C">
        <w:tab/>
        <w:t>подчертава, че хоризонталният ЦПП значително би укрепил работата на органите за надзор на пазара и митническите органи, тъй като би дал възможност за ефективен преглед на основната информация за съответствието на продуктите за целите на проверките за съответствие; подчертава, че органите за надзор на пазара следва да гарантират, че икономическите оператори винаги предоставят необходимите данни и че те остават постоянно достъпни за потребителите, публичните органи, обновяващите предприятия и ремонтните предприятия, в съответствие със сроковете, правата на достъп и други относими разпоредби, определени в съответното законодателство; подчертава, че Комисията следва да предоставя съобразена с нуждите помощ, ясни насоки, рационализирани процедури и инструменти за изграждане на капацитет за съответните икономически оператори, особено за МСП, за да се улесни изпълнението на ЦПП;</w:t>
      </w:r>
    </w:p>
    <w:p w14:paraId="12950615" w14:textId="77777777" w:rsidR="0036441E" w:rsidRPr="002B591C" w:rsidRDefault="0036441E" w:rsidP="0036441E">
      <w:pPr>
        <w:pStyle w:val="CAParagraph"/>
        <w:ind w:left="720" w:hanging="720"/>
      </w:pPr>
      <w:r w:rsidRPr="002B591C">
        <w:t>13.</w:t>
      </w:r>
      <w:r w:rsidRPr="002B591C">
        <w:tab/>
        <w:t xml:space="preserve">приканва Комисията да изготви амбициозна стратегия за осигуряване на оперативна съвместимост между ЦПП и съществуващите бази данни, включително системата Safety </w:t>
      </w:r>
      <w:proofErr w:type="spellStart"/>
      <w:r w:rsidRPr="002B591C">
        <w:t>Gate</w:t>
      </w:r>
      <w:proofErr w:type="spellEnd"/>
      <w:r w:rsidRPr="002B591C">
        <w:t xml:space="preserve"> на ЕС, Информационната и комуникационна система за надзор на пазара, </w:t>
      </w:r>
      <w:proofErr w:type="spellStart"/>
      <w:r w:rsidRPr="002B591C">
        <w:t>Certex</w:t>
      </w:r>
      <w:proofErr w:type="spellEnd"/>
      <w:r w:rsidRPr="002B591C">
        <w:t xml:space="preserve"> и бъдещия център за митнически данни на ЕС, както и с механизми, разработени съгласно Регламента за защита на потребителите; счита, че данните, съдържащи се в ЦПП, следва да бъдат </w:t>
      </w:r>
      <w:proofErr w:type="spellStart"/>
      <w:r w:rsidRPr="002B591C">
        <w:t>машинночетими</w:t>
      </w:r>
      <w:proofErr w:type="spellEnd"/>
      <w:r w:rsidRPr="002B591C">
        <w:t xml:space="preserve"> и лесно прехвърляеми между тези системи, за да се гарантира, че продуктите, определени от един орган за надзор на пазара или митнически орган като опасни или несъответстващи на изискванията, автоматично се обозначават за всички потребители;</w:t>
      </w:r>
    </w:p>
    <w:p w14:paraId="7A170095" w14:textId="77777777" w:rsidR="0036441E" w:rsidRPr="002B591C" w:rsidRDefault="0036441E" w:rsidP="0036441E">
      <w:pPr>
        <w:spacing w:after="240"/>
        <w:ind w:left="720" w:hanging="720"/>
        <w:outlineLvl w:val="2"/>
      </w:pPr>
      <w:r w:rsidRPr="002B591C">
        <w:t>14.</w:t>
      </w:r>
      <w:r w:rsidRPr="002B591C">
        <w:tab/>
        <w:t xml:space="preserve">призовава Комисията да направи оценка на осъществимостта на постепенното интегриране на ЦПП в НЗР като хоризонтално изискване за всички съответни продукти, предлагани на пазара на ЕС; отбелязва обаче, че ЦПП все още е на ранен етап на развитие и изисква постепенен подход, за да се гарантира, че икономическите оператори могат да се адаптират, за да спазват приложимите изисквания, с оглед постигане на пълно прилагане; </w:t>
      </w:r>
    </w:p>
    <w:p w14:paraId="5F7E53BB" w14:textId="77777777" w:rsidR="0036441E" w:rsidRPr="002B591C" w:rsidRDefault="0036441E" w:rsidP="0036441E">
      <w:pPr>
        <w:spacing w:after="240"/>
        <w:ind w:left="720" w:hanging="720"/>
        <w:outlineLvl w:val="2"/>
      </w:pPr>
      <w:r w:rsidRPr="002B591C">
        <w:t>15.</w:t>
      </w:r>
      <w:bookmarkStart w:id="12" w:name="_Hlk207786450"/>
      <w:r w:rsidRPr="002B591C">
        <w:tab/>
        <w:t xml:space="preserve">признава, че различни дружества активно разработват решения за ЦПП, съобразени с продуктите втора употреба, и че технологичните инструменти за наблюдение на жизнения цикъл на тези продукти вече са налични; призовава Комисията да направи оценка на тези инициативи и да обмисли дали постепенното въвеждане на ЦПП за продукти втора употреба би могло, след пълното прилагане на ЦПП за нови продукти, да допринесе за насърчаване на бизнес моделите на кръговата икономика, да изгради доверие у потребителите, да подкрепи екологичните цели, без да се нарушават стандартите за безопасност, като даде възможност както на органите за надзор на пазара, така и на потребителите да оценяват легитимността, качеството и ефективността на продуктите втора употреба; </w:t>
      </w:r>
      <w:bookmarkEnd w:id="12"/>
      <w:r w:rsidRPr="002B591C">
        <w:t xml:space="preserve">въпреки това подчертава специфичните последици, свързани с продуктите втора употреба, при които възможността на продавача, често потребител, да актуализира правилно ЦПП може да бъде ограничен; поради това отбелязва, че за оператори като обновяващи предприятия, оператори по вторично производство и вносители на стоки втора употреба може да се окаже трудно да се получи първоначалната информация; призовава Комисията да разгледа ЦПП и свързаните с него изисквания в контекста на </w:t>
      </w:r>
      <w:r w:rsidRPr="002B591C">
        <w:lastRenderedPageBreak/>
        <w:t>кръговите продукти и да направи оценка на това, как най-добре да се насърчава кръговата икономика;</w:t>
      </w:r>
    </w:p>
    <w:p w14:paraId="0C5F13AA" w14:textId="77777777" w:rsidR="0036441E" w:rsidRPr="002B591C" w:rsidRDefault="0036441E" w:rsidP="0036441E">
      <w:pPr>
        <w:spacing w:after="240"/>
        <w:ind w:left="720" w:hanging="720"/>
        <w:outlineLvl w:val="2"/>
      </w:pPr>
      <w:r w:rsidRPr="002B591C">
        <w:t>16.</w:t>
      </w:r>
      <w:r w:rsidRPr="002B591C">
        <w:tab/>
        <w:t>счита, че ЦПП следва да се прилага по начин, който подкрепя икономическите оператори, като опростява техните задължения за спазване на изискванията, позволява цифровата комуникация на повече задължителна информация, намалява изискванията за предоставяне на информация на хартиен носител и предлага единен инструмент за всички изисквания, свързани със съответствието на продуктите и информацията; подчертава, обаче, че информацията, която е от ключово значение за гарантиране на безопасността на потребителите, следва да бъде предоставяна и на хартиен носител за ползватели, които може да нямат необходимото равнище на цифрова грамотност или техническите средства за достъп до такава информация;</w:t>
      </w:r>
    </w:p>
    <w:p w14:paraId="3682155C" w14:textId="77777777" w:rsidR="0036441E" w:rsidRPr="002B591C" w:rsidRDefault="0036441E" w:rsidP="0036441E">
      <w:pPr>
        <w:pStyle w:val="CAParagraph"/>
        <w:ind w:left="720" w:hanging="720"/>
      </w:pPr>
      <w:r w:rsidRPr="002B591C">
        <w:t>17.</w:t>
      </w:r>
      <w:r w:rsidRPr="002B591C">
        <w:tab/>
        <w:t xml:space="preserve">отчита, че маркировката „СЕ“ е била полезна, като е позволила на производителите да доказват съответствието на продуктите, което след това може да бъде оценявано от органите за надзор на пазара; признава необходимостта от подобряване на осведомеността относно маркировката „СЕ“ и рисковете от подвеждащ етикет за безопасност или качество за потребителите; </w:t>
      </w:r>
      <w:bookmarkStart w:id="13" w:name="_Hlk207786643"/>
      <w:r w:rsidRPr="002B591C">
        <w:t>посочва, че за да се избегнат погрешни схващания и да се рационализира потокът от информация по линия на ЦПП, Комисията следва да оцени осъществимостта на прилагането на маркировката „СЕ“ по начини, които са подходящи за различните категории продукти, и да прецени дали маркировката „СЕ“ следва да се прилага във физически формат върху продукта, или по-скоро да се изразява само чрез ЦПП;</w:t>
      </w:r>
      <w:bookmarkEnd w:id="13"/>
    </w:p>
    <w:p w14:paraId="377A3188" w14:textId="77777777" w:rsidR="0036441E" w:rsidRPr="002B591C" w:rsidRDefault="0036441E" w:rsidP="0036441E">
      <w:pPr>
        <w:spacing w:after="240"/>
        <w:ind w:left="720" w:hanging="720"/>
        <w:outlineLvl w:val="2"/>
      </w:pPr>
      <w:r w:rsidRPr="002B591C">
        <w:t>18.</w:t>
      </w:r>
      <w:bookmarkStart w:id="14" w:name="_Hlk207786730"/>
      <w:r w:rsidRPr="002B591C">
        <w:tab/>
        <w:t xml:space="preserve">призовава Комисията да обмисли рационализирането на съответната информация за маркировката „СЕ“ чрез ЦПП, за да се повиши прозрачността и да се предостави изчерпателна информация за продуктите; </w:t>
      </w:r>
      <w:bookmarkEnd w:id="14"/>
      <w:r w:rsidRPr="002B591C">
        <w:t>счита, че Комисията следва да положи по-големи усилия, за да се гарантира, че носителите на данни на ЦПП (като QR кодове, баркодове или RFID) включват подходящи и пропорционални технически мерки за сигурност, насочени към значително намаляване на риска от фалшифициране, специфичен за всяка категория продукти, с цел да се гарантира автентичността и неприкосновеността на данните, да се предотврати неразрешеното дублиране и да се укрепят механизмите за надзор на пазара, като по този начин се допринесе за по-голяма устойчивост и засилена защита на потребителите;</w:t>
      </w:r>
    </w:p>
    <w:p w14:paraId="65CAF057" w14:textId="77777777" w:rsidR="0036441E" w:rsidRPr="002B591C" w:rsidRDefault="0036441E" w:rsidP="0036441E">
      <w:pPr>
        <w:pStyle w:val="CAParagraph"/>
        <w:ind w:left="720" w:hanging="720"/>
      </w:pPr>
      <w:bookmarkStart w:id="15" w:name="_Hlk203650128"/>
      <w:r w:rsidRPr="002B591C">
        <w:t>19.</w:t>
      </w:r>
      <w:r w:rsidRPr="002B591C">
        <w:tab/>
      </w:r>
      <w:bookmarkStart w:id="16" w:name="_Hlk207983649"/>
      <w:bookmarkStart w:id="17" w:name="_Hlk203646957"/>
      <w:r w:rsidRPr="002B591C">
        <w:t xml:space="preserve">призовава Комисията да оцени възможното използване на хармонизирани методологии в ЦПП за измервания на околната среда, дълготрайността и ефективността, с цел да се подкрепи евентуалното създаване на общоевропейски показатели за устойчивост, адаптирани към характеристиките на всеки продукт, като се интегрират съответните показатели, например проследимост, </w:t>
      </w:r>
      <w:proofErr w:type="spellStart"/>
      <w:r w:rsidRPr="002B591C">
        <w:t>рециклируемост</w:t>
      </w:r>
      <w:proofErr w:type="spellEnd"/>
      <w:r w:rsidRPr="002B591C">
        <w:t xml:space="preserve"> и ефективност</w:t>
      </w:r>
      <w:bookmarkEnd w:id="16"/>
      <w:r w:rsidRPr="002B591C">
        <w:t xml:space="preserve"> по отношение на </w:t>
      </w:r>
      <w:proofErr w:type="spellStart"/>
      <w:r w:rsidRPr="002B591C">
        <w:t>кръговостта</w:t>
      </w:r>
      <w:proofErr w:type="spellEnd"/>
      <w:r w:rsidRPr="002B591C">
        <w:t xml:space="preserve">; подчертава, че този индекс следва да бъде пряко и лесно достъпен чрез ЦПП посредством носител на данни, например код QR, поставен върху продукта, който дава възможност на потребителите да получат достъп до ясна, структурирана, стандартизирана и проверима информация за продукта, така че да се повиши доверието и осведомеността на потребителите; счита, че предприятията от ЕС също ще се възползват от него, тъй като използването на хармонизирани методологии би улеснило разработването на собствени индекси за устойчивост и </w:t>
      </w:r>
      <w:r w:rsidRPr="002B591C">
        <w:lastRenderedPageBreak/>
        <w:t>би намалило разходите за привеждане в съответствие, докато по-голямата прозрачност ще им даде възможност да се конкурират въз основа на качество и устойчивост, а не на цена или обем;</w:t>
      </w:r>
      <w:bookmarkEnd w:id="15"/>
      <w:bookmarkEnd w:id="17"/>
    </w:p>
    <w:p w14:paraId="357333D1" w14:textId="77777777" w:rsidR="0036441E" w:rsidRPr="002B591C" w:rsidRDefault="0036441E" w:rsidP="0036441E">
      <w:pPr>
        <w:pStyle w:val="CAParagraph"/>
        <w:ind w:left="720" w:hanging="720"/>
      </w:pPr>
      <w:r w:rsidRPr="002B591C">
        <w:t>20.</w:t>
      </w:r>
      <w:r w:rsidRPr="002B591C">
        <w:tab/>
        <w:t>подчертава потенциала за интегриране на ЦПП с принципите на йерархията на отпадъците по начин, който би могъл да бъде подкрепен от подходящи показатели, за да се даде приоритет на повторната употреба пред рециклирането; подчертава необходимостта да се гарантира, че производителите запазват ключови данни за продукта за продължителни периоди от време;</w:t>
      </w:r>
    </w:p>
    <w:p w14:paraId="1F979638" w14:textId="77777777" w:rsidR="0036441E" w:rsidRPr="002B591C" w:rsidRDefault="0036441E" w:rsidP="0036441E">
      <w:pPr>
        <w:pStyle w:val="CAChapter"/>
        <w:rPr>
          <w:rStyle w:val="BoldItalic"/>
        </w:rPr>
      </w:pPr>
      <w:r w:rsidRPr="002B591C">
        <w:rPr>
          <w:rStyle w:val="BoldItalic"/>
        </w:rPr>
        <w:t>Устойчиви модели на стопанска дейност и на потребление</w:t>
      </w:r>
    </w:p>
    <w:p w14:paraId="156AAC27" w14:textId="77777777" w:rsidR="0036441E" w:rsidRPr="002B591C" w:rsidRDefault="0036441E" w:rsidP="0036441E">
      <w:pPr>
        <w:pStyle w:val="CAParagraph"/>
        <w:ind w:left="720" w:hanging="720"/>
      </w:pPr>
      <w:r w:rsidRPr="002B591C">
        <w:t>21.</w:t>
      </w:r>
      <w:r w:rsidRPr="002B591C">
        <w:tab/>
        <w:t xml:space="preserve">подкрепя привеждането на НЗР в съответствие с по-широките инициативи на ЕС за насърчаване на устойчивостта, </w:t>
      </w:r>
      <w:proofErr w:type="spellStart"/>
      <w:r w:rsidRPr="002B591C">
        <w:t>ремонтопригодността</w:t>
      </w:r>
      <w:proofErr w:type="spellEnd"/>
      <w:r w:rsidRPr="002B591C">
        <w:t xml:space="preserve"> и проектирането на продукти с удължен жизнен цикъл, като например екопроектирането, правото на ремонт, предоставянето на повече права на потребителите за екологичния преход, Регламента за стандартизацията и Рамковата директива за отпадъците</w:t>
      </w:r>
      <w:r w:rsidRPr="002B591C">
        <w:rPr>
          <w:rStyle w:val="FootnoteReference"/>
        </w:rPr>
        <w:footnoteReference w:id="20"/>
      </w:r>
      <w:r w:rsidRPr="002B591C">
        <w:t xml:space="preserve">, като по този начин потребителите се насърчават да се откажат от неустойчивите модели на потребление, като същевременно се гарантира, че преразглеждането на НЗР ще насърчи цифровизацията и опростените процедури и ще </w:t>
      </w:r>
      <w:r w:rsidRPr="009F661E">
        <w:rPr>
          <w:rStyle w:val="Strong"/>
          <w:b w:val="0"/>
          <w:bCs w:val="0"/>
        </w:rPr>
        <w:t>повиши конкурентоспособността на</w:t>
      </w:r>
      <w:r w:rsidRPr="002B591C">
        <w:rPr>
          <w:rStyle w:val="Strong"/>
        </w:rPr>
        <w:t xml:space="preserve"> </w:t>
      </w:r>
      <w:r w:rsidRPr="002B591C">
        <w:t>предприятията в ЕС;</w:t>
      </w:r>
    </w:p>
    <w:p w14:paraId="385B046C" w14:textId="77777777" w:rsidR="0036441E" w:rsidRPr="002B591C" w:rsidRDefault="0036441E" w:rsidP="0036441E">
      <w:pPr>
        <w:pStyle w:val="CAParagraph"/>
        <w:ind w:left="720" w:hanging="720"/>
      </w:pPr>
      <w:r w:rsidRPr="002B591C">
        <w:t>22.</w:t>
      </w:r>
      <w:r w:rsidRPr="002B591C">
        <w:tab/>
        <w:t>приканва Комисията да направи оценка на осъществимостта на интегрирането на схемите за разширена отговорност на производителя (РОП) в НЗР, за да се приеме хармонизирана рамка, която би могла да включва мерки като финансови стимули и ваучери за ремонт; счита, че Комисията следва да оцени дали ясните определения и разграничения на отговорностите в рамките на НЗР могат да предотвратят припокривания и да гарантират, че разпоредбите за РОП укрепват, а не дублират секторното законодателство и законодателството в областта на отпадъците, насърчават конкурентоспособността чрез рационализиране на изискванията за съответствие, по-специално на местно произведените стоки с по-нисък отпечатък върху околната среда, увеличават прозрачността и гарантират лоялна конкуренция на вътрешния пазар;</w:t>
      </w:r>
    </w:p>
    <w:p w14:paraId="16C57C2D" w14:textId="77777777" w:rsidR="0036441E" w:rsidRPr="002B591C" w:rsidRDefault="0036441E" w:rsidP="0036441E">
      <w:pPr>
        <w:pStyle w:val="CAParagraph"/>
        <w:ind w:left="720" w:hanging="720"/>
      </w:pPr>
      <w:r w:rsidRPr="002B591C">
        <w:t>23.</w:t>
      </w:r>
      <w:r w:rsidRPr="002B591C">
        <w:tab/>
        <w:t>изразява твърдо убеждение, че трайността е от основно значение за насърчаването на висококачествени и дълготрайни продукти и че НЗР, в съответствие с РЕУП, следва да се стреми да гарантира, че производителите предоставят резервни части и услуги по поддръжка за продължителен период от време в зависимост от категориите продукти, като се гарантира, че продуктите остават функционални и като се намали честотата на преждевременното изхвърляне;</w:t>
      </w:r>
    </w:p>
    <w:p w14:paraId="31399521" w14:textId="77777777" w:rsidR="0036441E" w:rsidRPr="002B591C" w:rsidRDefault="0036441E" w:rsidP="0036441E">
      <w:pPr>
        <w:pStyle w:val="CAParagraph"/>
        <w:ind w:left="720" w:hanging="720"/>
      </w:pPr>
      <w:r w:rsidRPr="002B591C">
        <w:t>24.</w:t>
      </w:r>
      <w:r w:rsidRPr="002B591C">
        <w:tab/>
        <w:t xml:space="preserve">освен това призовава Комисията да установи хармонизирани разпоредби в рамките на НЗР относно рециклирането и правилното обезвреждане на продуктите в края на жизнения им цикъл, като се вземат предвид изискванията, определени в РЕУП и в Рамковата директива за отпадъците; предлага това да включва разпоредби, свързани със схемите за обратно приемане и специални </w:t>
      </w:r>
      <w:r w:rsidRPr="002B591C">
        <w:lastRenderedPageBreak/>
        <w:t>мерки за подкрепа с цел насърчаване на обновяването, повторната употреба и устойчивото управление на цифровите устройства и други продукти;</w:t>
      </w:r>
    </w:p>
    <w:p w14:paraId="091AD11C" w14:textId="77777777" w:rsidR="0036441E" w:rsidRPr="002B591C" w:rsidRDefault="0036441E" w:rsidP="0036441E">
      <w:pPr>
        <w:pStyle w:val="CAParagraph"/>
        <w:ind w:left="720" w:hanging="720"/>
      </w:pPr>
      <w:r w:rsidRPr="002B591C">
        <w:t>25.</w:t>
      </w:r>
      <w:r w:rsidRPr="002B591C">
        <w:tab/>
        <w:t>изразява загриженост относно екологичното, социалното и икономическото въздействие на бързата и свръхбързата мода и техните действителни и потенциални последици за защитата на потребителите; подчертава, че подобни практики крият значителни предизвикателства, свързани със спазването на законодателството на Съюза в областта на продуктите, и може също така да повдигнат въпроси, свързани с лоялната конкуренция; отбелязва със загриженост, че редица продукти, пуснати на пазара, не отговарят на изискванията на ЕС в областта на химикалите и безопасността и че икономическите оператори често подлежат само на ограничена отчетност; призовава Комисията да оцени осъществимостта на разработването на ясни и хармонизирани определения за „бърза мода“ и „свръхбърза мода“, за да се преодолеят специфичните рискове, свързани с тези бизнес модели, като се гарантират еднакви условия на конкуренция за всички участници на пазара и се предотврати регулаторната разпокъсаност в рамките на вътрешния пазар; освен това призовава Комисията да оцени разпоредбите, които биха гарантирали наличието на напълно ефективни инструменти за справяне с предизвикателствата, породени от разпространението на „свръхбързи“ и нискокачествени продукти, включително по-стабилни процедури за оценяване на съответствието и подобрени инструменти за правоприлагане, за да се обезпечи вътрешен пазар, който гарантира най-високо равнище на защита на потребителите, като същевременно се дава възможност за растеж на иновативни продукти и идеи и се намалява ненужната административна тежест за отговорните предприятия и отговарящите на изискванията продукти;</w:t>
      </w:r>
    </w:p>
    <w:p w14:paraId="64D4C289" w14:textId="77777777" w:rsidR="0036441E" w:rsidRPr="002B591C" w:rsidRDefault="0036441E" w:rsidP="0036441E">
      <w:pPr>
        <w:pStyle w:val="CAParagraph"/>
        <w:ind w:left="0" w:firstLine="0"/>
        <w:rPr>
          <w:rStyle w:val="BoldItalic"/>
          <w:b w:val="0"/>
          <w:i w:val="0"/>
        </w:rPr>
      </w:pPr>
      <w:r w:rsidRPr="002B591C">
        <w:rPr>
          <w:rStyle w:val="BoldItalic"/>
        </w:rPr>
        <w:t>Продавачи на стоки втора употреба, обновяващи предприятия, ремонтни предприятия и асоциирани оператори в бизнес модела на кръговата икономика</w:t>
      </w:r>
    </w:p>
    <w:p w14:paraId="5137F7C8" w14:textId="77777777" w:rsidR="0036441E" w:rsidRPr="002B591C" w:rsidRDefault="0036441E" w:rsidP="0036441E">
      <w:pPr>
        <w:pStyle w:val="CAParagraph"/>
        <w:ind w:left="720" w:hanging="720"/>
      </w:pPr>
      <w:bookmarkStart w:id="18" w:name="_Hlk210316386"/>
      <w:r w:rsidRPr="002B591C">
        <w:t>26.</w:t>
      </w:r>
      <w:r w:rsidRPr="002B591C">
        <w:tab/>
        <w:t xml:space="preserve">подчертава по-специално необходимостта от установяване на хармонизирани определения за „оператори по вторично производство“, „обновяващи предприятия“, „ремонтни предприятия“ и когато е целесъобразно, други нововъзникващи участници в социалната, икономическата и кръговата икономика; отбелязва, че при липсата на тези общи определения такива участници могат погрешно да бъдат категоризирани като производители или вносители и по този начин да бъде счетено, че не спазват задълженията, приложими за тези категории – нещо, което би могло да ги изложи на санкции; изразява убеждението, че тези определения следва да бъдат пропорционални и че ще въведат по-голяма правна сигурност и прозрачност по отношение на правата и задълженията на тези икономически субекти; счита, че е необходимо тези определения да бъдат хармонизирани в съответствие с определенията за съответните дейности в РЕУП, когато има такива, за да се гарантира еднакво прилагане на изискванията за устойчивост; </w:t>
      </w:r>
    </w:p>
    <w:p w14:paraId="6B2990B7" w14:textId="77777777" w:rsidR="0036441E" w:rsidRPr="002B591C" w:rsidRDefault="0036441E" w:rsidP="0036441E">
      <w:pPr>
        <w:pStyle w:val="CAParagraph"/>
        <w:ind w:left="720" w:hanging="720"/>
      </w:pPr>
      <w:r w:rsidRPr="002B591C">
        <w:t>27.</w:t>
      </w:r>
      <w:r w:rsidRPr="002B591C">
        <w:tab/>
        <w:t xml:space="preserve">подчертава, че при установяването на общи определения следва да се вземат предвид специфичните задължения, които икономическите оператори, включително обновяващите и ремонтните предприятия и други нововъзникващи икономически оператори, са в състояние да спазват в разумна степен, с оглед на естеството и ограниченията на съответните им бизнес модели; счита, че по-голямата правна яснота би могла да спомогне за насърчаване на развитието на </w:t>
      </w:r>
      <w:r w:rsidRPr="002B591C">
        <w:lastRenderedPageBreak/>
        <w:t>пазара на употребявани стоки и да допринесе за по-устойчив и издръжлив модел на потребление с особени ползи за МСП и местните икономически дейности; във връзка с това подчертава значението на правилата, установени в рамките на правото на ремонт, за да се улесни ремонтът на продуктите и той да стане по-привлекателен за потребителите;</w:t>
      </w:r>
    </w:p>
    <w:p w14:paraId="34A1AD40" w14:textId="77777777" w:rsidR="0036441E" w:rsidRPr="002B591C" w:rsidRDefault="0036441E" w:rsidP="0036441E">
      <w:pPr>
        <w:pStyle w:val="CAParagraph"/>
        <w:ind w:left="720" w:hanging="720"/>
      </w:pPr>
      <w:r w:rsidRPr="002B591C">
        <w:t>28.</w:t>
      </w:r>
      <w:r w:rsidRPr="002B591C">
        <w:tab/>
        <w:t>признава значението на повишаването на доверието на потребителите в продуктите втора употреба и призовава за създаването на общоевропейски механизъм за сертифициране на обновяващите и ремонтните предприятия; счита, че подобен механизъм следва да се основава на общи методологии, които следва да бъдат разработени, като се вземат предвид местните особености, с цел да се улесни развитието на устойчиви и конкурентоспособни бизнес модели, които стимулират и създаването на качествени работни места в ЕС;</w:t>
      </w:r>
    </w:p>
    <w:p w14:paraId="398031F6" w14:textId="77777777" w:rsidR="0036441E" w:rsidRPr="002B591C" w:rsidRDefault="0036441E" w:rsidP="0036441E">
      <w:pPr>
        <w:pStyle w:val="CAParagraph"/>
        <w:ind w:left="720" w:hanging="720"/>
      </w:pPr>
      <w:r w:rsidRPr="002B591C">
        <w:t>29.</w:t>
      </w:r>
      <w:r w:rsidRPr="002B591C">
        <w:tab/>
        <w:t>признава, че НЗР не предоставя на независимите обновяващи предприятия достъп до техническа документация или декларации за съответствие; подчертава, че тази липса на достъп възпрепятства законното и безопасно обновяване на продуктите, особено за сложни продукти като електроника и машини, когато такъв достъп е необходим, за да се гарантира съответствие; счита, че ЦПП би могъл да запълни тази празнина, като позволи на субектите, участващи в законни дейности по ремонт и обновяване, да имат достъп до съответната информация за съответствие и безопасност, необходима за законосъобразното възстановяване на продуктите в отговарящо на изискванията състояние; счита, че този достъп следва да бъде ограничен до това, което е необходимо, за да се гарантира безопасността и да се даде възможност за правилното изпълнение на техните задачи, като същевременно се взема предвид защитата на чувствителната търговска информация;</w:t>
      </w:r>
    </w:p>
    <w:p w14:paraId="06098FAD" w14:textId="77777777" w:rsidR="0036441E" w:rsidRPr="002B591C" w:rsidRDefault="0036441E" w:rsidP="0036441E">
      <w:pPr>
        <w:pStyle w:val="CAParagraph"/>
        <w:ind w:left="720" w:hanging="720"/>
      </w:pPr>
      <w:r w:rsidRPr="002B591C">
        <w:t>30.</w:t>
      </w:r>
      <w:r w:rsidRPr="002B591C">
        <w:tab/>
        <w:t>подчертава необходимостта от разработване на ясно и хармонизирано определение за „съществено изменение“, което може да се използва като основа за специфично за продукта законодателство, като го разграничава от рутинните операции по ремонт или поддръжка; счита, че една стандартизирана процедура за оценка с цел определяне на съществения характер на дадено изменение би повишила правната сигурност и би подкрепила икономическите оператори на стоки втора употреба; счита, че е налице спешна необходимост от разработване на насоки, подлежащи на редовен преглед на общите процеси на обновяване и ремонт, по-специално за електронните устройства, като например подмяна на екрани, батерии или камери, включително посочване на съвместими компоненти, с цел установяване на презумпция за съответствие с приложимото законодателство, като по този начин се насърчава разработването на кръгови бизнес модели и се подкрепя работата на съответните органи и икономически оператори;</w:t>
      </w:r>
    </w:p>
    <w:p w14:paraId="37D98324" w14:textId="77777777" w:rsidR="0036441E" w:rsidRPr="002B591C" w:rsidRDefault="0036441E" w:rsidP="005D4002">
      <w:pPr>
        <w:pStyle w:val="PointTriple0"/>
        <w:ind w:left="720" w:hanging="720"/>
        <w:jc w:val="left"/>
      </w:pPr>
      <w:r w:rsidRPr="002B591C">
        <w:t>31.</w:t>
      </w:r>
      <w:r w:rsidRPr="002B591C">
        <w:tab/>
        <w:t>подчертава значителния икономически потенциал на повторната търговия – която включва обновяващите предприятия, ремонтните предприятия и други нововъзникващи участници – като жизнеспособна алтернатива на неустойчивите модели на потребление; приканва Комисията и органите за защита на потребителите да проведат кампании за повишаване на осведомеността относно ползите от алтернативите на повторната употреба и повторната търговия;</w:t>
      </w:r>
      <w:bookmarkEnd w:id="18"/>
    </w:p>
    <w:p w14:paraId="2E88C4C3" w14:textId="77777777" w:rsidR="0036441E" w:rsidRPr="002B591C" w:rsidRDefault="0036441E" w:rsidP="0036441E">
      <w:pPr>
        <w:pStyle w:val="Normal12a24b"/>
      </w:pPr>
      <w:r w:rsidRPr="002B591C">
        <w:rPr>
          <w:rStyle w:val="BoldItalic"/>
        </w:rPr>
        <w:lastRenderedPageBreak/>
        <w:t>Стандартизация и оценки на съответствието</w:t>
      </w:r>
    </w:p>
    <w:p w14:paraId="4FF127A8" w14:textId="77777777" w:rsidR="0036441E" w:rsidRPr="002B591C" w:rsidRDefault="0036441E" w:rsidP="0036441E">
      <w:pPr>
        <w:pStyle w:val="NormalHanging12a"/>
        <w:ind w:left="720" w:hanging="720"/>
        <w:outlineLvl w:val="2"/>
      </w:pPr>
      <w:r w:rsidRPr="002B591C">
        <w:t>32.</w:t>
      </w:r>
      <w:r w:rsidRPr="002B591C">
        <w:tab/>
        <w:t>счита, че хармонизираните стандарти съставляват основен елемент на единния пазар в подкрепа на целите от обществен интерес, определени в правото на ЕС; подчертава, че Комисията отговаря за издаването на искания за стандартизация с цел защита на интересите на потребителите, здравето, безопасността, опазването на околната среда и сигурността на данните, както и за насърчаване на социалното приобщаване, подкрепа за конкурентоспособността, насърчаване на иновациите, намаляване на ненужната административна тежест и опростяване на процедурите за съответствие; във връзка с това отбелязва, че ролята на европейските организации по стандартизация е да отговарят на такива искания, с цел да се вземе предвид широкият обществен интерес, както е посочено в правните актове на ЕС, и да спомагат за постигането на напредък по стратегическите приоритети на Съюза, в това число прехода към неутрална по отношение на климата икономика, повишената ефективност на ресурсите и разработването на модели на кръгова икономика;</w:t>
      </w:r>
    </w:p>
    <w:p w14:paraId="718B486C" w14:textId="77777777" w:rsidR="0036441E" w:rsidRPr="002B591C" w:rsidRDefault="0036441E" w:rsidP="0036441E">
      <w:pPr>
        <w:pStyle w:val="NormalHanging12a"/>
        <w:ind w:left="660" w:hanging="660"/>
        <w:outlineLvl w:val="2"/>
      </w:pPr>
      <w:r w:rsidRPr="002B591C">
        <w:t>33.</w:t>
      </w:r>
      <w:r w:rsidRPr="002B591C">
        <w:tab/>
        <w:t>приветства факта, че в стратегията за единния пазар се признава, че предприятията продължават да се сблъскват с предизвикателства поради липсата или забавената наличност на навременни и ефективни хармонизирани стандарти, което води до увеличаване на разходите, правна несигурност, намалена конкурентоспособност, отслабен надзор на пазара и по-бавно внедряване на нови технологии; отбелязва, че такъв е случаят и в бързо развиващи се сектори като изкуствения интелект; изразява загриженост, че при липсата на адекватни и приложими стандарти към момента на прилагане на новото законодателство производителите и новаторите биха могли да се сблъскат с неблагоприятни последици, както и потребителите, тъй като производителите могат сами да сертифицират своите продукти с неправилни класификации на риска, като по този начин се подкопават целите на правото на Съюза и се излага на риск защитата на ползвателите;</w:t>
      </w:r>
    </w:p>
    <w:p w14:paraId="076642C3" w14:textId="77777777" w:rsidR="0036441E" w:rsidRPr="002B591C" w:rsidRDefault="0036441E" w:rsidP="0036441E">
      <w:pPr>
        <w:pStyle w:val="NormalHanging12a"/>
        <w:ind w:left="720" w:hanging="720"/>
        <w:outlineLvl w:val="2"/>
      </w:pPr>
      <w:r w:rsidRPr="002B591C">
        <w:t>34.</w:t>
      </w:r>
      <w:r w:rsidRPr="002B591C">
        <w:tab/>
        <w:t>подчертава, че забавеното публикуване на хармонизирани стандарти в Официален вестник на ЕС продължава да бъде значителен проблем за различните участници на пазара и потребителите и ограничава способността на органите за надзор на пазара да налагат спазването на изискванията; призовава Комисията да въведе максимални срокове за исканията за стандартизация и да рационализира процеса на стандартизация;</w:t>
      </w:r>
    </w:p>
    <w:p w14:paraId="791BD920" w14:textId="77777777" w:rsidR="0036441E" w:rsidRPr="002B591C" w:rsidRDefault="0036441E" w:rsidP="0036441E">
      <w:pPr>
        <w:pStyle w:val="NormalHanging12a"/>
        <w:ind w:left="720" w:hanging="720"/>
        <w:outlineLvl w:val="2"/>
      </w:pPr>
      <w:r w:rsidRPr="002B591C">
        <w:t>35.</w:t>
      </w:r>
      <w:r w:rsidRPr="002B591C">
        <w:tab/>
        <w:t>подчертава значението на стандартизацията за насърчаване на свободното движение на стоки и за намаляване на пречките в рамките на вътрешния пазар, както и за повишаване на конкурентоспособността на европейските предприятия чрез улесняване на спазването на правото на Съюза; подчертава в този контекст ползите от дългогодишното публично-частно партньорство между европейските институции и европейските организации по стандартизация, което допринесе за разработването на продукти, които са по-безопасни и по-добре съгласувани с целите на цифровия и екологичния преход, като същевременно се гарантира, че стандартите се определят от пазара и по този начин се разработват в отговор на нуждите на пазара и иновациите, без да се излага на риск безопасността на потребителите;</w:t>
      </w:r>
    </w:p>
    <w:p w14:paraId="3C6599DC" w14:textId="77777777" w:rsidR="0036441E" w:rsidRPr="002B591C" w:rsidRDefault="0036441E" w:rsidP="0036441E">
      <w:pPr>
        <w:pStyle w:val="NormalHanging12a"/>
        <w:ind w:left="720" w:hanging="720"/>
        <w:outlineLvl w:val="2"/>
      </w:pPr>
      <w:r w:rsidRPr="002B591C">
        <w:t>36.</w:t>
      </w:r>
      <w:r w:rsidRPr="002B591C">
        <w:tab/>
        <w:t xml:space="preserve">подчертава значението на стандартизацията за конкурентоспособността на </w:t>
      </w:r>
      <w:r w:rsidRPr="002B591C">
        <w:lastRenderedPageBreak/>
        <w:t xml:space="preserve">европейските предприятия в световен мащаб; призовава Комисията да увеличи усилията си за координиране на общ европейски подход към позициите в рамките на международните форуми по стандартизация за всички продукти, спрямо които се прилагат международни стандарти; счита, че един общ европейски подход би могъл да бъде от ключово значение за подобряване на европейската координация и ангажираност на международно равнище във връзка със стандартизацията с </w:t>
      </w:r>
      <w:proofErr w:type="spellStart"/>
      <w:r w:rsidRPr="002B591C">
        <w:t>единомислещи</w:t>
      </w:r>
      <w:proofErr w:type="spellEnd"/>
      <w:r w:rsidRPr="002B591C">
        <w:t xml:space="preserve"> глобални партньори; подчертава, че приемането на международни стандарти следва да се улесни, ако тези стандарти са в съответствие с целите на политиката и стратегическите интереси на ЕС, за да се отворят допълнителни пазари за европейските продукти, да се избегне ненужно дублиране, да се насърчи съгласуваността в глобалната регулаторна среда и да се улесни международната търговия;</w:t>
      </w:r>
    </w:p>
    <w:p w14:paraId="20CC62DE" w14:textId="77777777" w:rsidR="0036441E" w:rsidRPr="002B591C" w:rsidRDefault="0036441E" w:rsidP="0036441E">
      <w:pPr>
        <w:pStyle w:val="NormalHanging12a"/>
        <w:ind w:left="720" w:hanging="720"/>
        <w:outlineLvl w:val="2"/>
      </w:pPr>
      <w:r w:rsidRPr="002B591C">
        <w:t>37.</w:t>
      </w:r>
      <w:r w:rsidRPr="002B591C">
        <w:tab/>
        <w:t>подчертава, че преразглеждането на НЗР следва да допринесе за по-голямо приобщаване, прозрачност и ефективност на процеса на стандартизация както на етапа на разработването, така и на етапа на изпълнението, включително при разпределянето на средства от ЕС за европейските организации по стандартизация; припомня, че осигуряването на значителна, дългосрочна и стабилна финансова подкрепа за организациите на гражданското общество и МСП е от съществено значение за улесняване на ефективното им участие в процеса на стандартизация; счита, че преразглеждането на НЗР следва да се извърши успоредно с преразглеждането на Регламента за стандартизацията;</w:t>
      </w:r>
    </w:p>
    <w:p w14:paraId="5BF99F3C" w14:textId="77777777" w:rsidR="0036441E" w:rsidRPr="002B591C" w:rsidRDefault="0036441E" w:rsidP="0036441E">
      <w:pPr>
        <w:pStyle w:val="NormalHanging12a"/>
        <w:ind w:left="720" w:hanging="720"/>
        <w:outlineLvl w:val="2"/>
      </w:pPr>
      <w:r w:rsidRPr="002B591C">
        <w:t>38.</w:t>
      </w:r>
      <w:r w:rsidRPr="002B591C">
        <w:tab/>
        <w:t>подчертава, че е важно да се запази принципът, според който процедурите за оценяване на съответствието служат за проверка на съответствието на продуктите с приложимите изисквания, определени в законодателството на ЕС за хармонизация съгласно НЗР; счита, че тези процедури са успели да гарантират безопасността, функционирането и надеждността на продуктите, като същевременно са допринесли за хармонизирането на правилата на вътрешния пазар; подчертава обаче необходимостта от оценка на прегледа на функционирането и яснотата на съществуващите модули за оценка на съответствието с оглед на продължаващата правна несигурност, непоследователното прилагане в различните сектори и нововъзникващите рискове, произтичащи от технологичното развитие, като например свързаните продукти; счита, че този преглед следва да се придържа към принципа, че равнището на риска, свързан с даден продукт, следва да определя необходимата процедура за оценка на съответствието; призовава Комисията да продължи да полага усилия за справяне с тези проблеми, включително чрез по-добър надзор на пазара, актуализирани стандарти и рационализирани процеси за икономическите оператори, особено за МСП, като по този начин се гарантира ориентирана към бъдещето система;</w:t>
      </w:r>
    </w:p>
    <w:p w14:paraId="4DC0E9B5" w14:textId="05CD6D79" w:rsidR="0036441E" w:rsidRDefault="0036441E" w:rsidP="005D4002">
      <w:pPr>
        <w:pStyle w:val="NormalHanging12a"/>
        <w:ind w:left="720" w:hanging="720"/>
        <w:outlineLvl w:val="2"/>
      </w:pPr>
      <w:r w:rsidRPr="002B591C">
        <w:t>39.</w:t>
      </w:r>
      <w:r w:rsidRPr="002B591C">
        <w:tab/>
        <w:t xml:space="preserve">подчертава, че </w:t>
      </w:r>
      <w:proofErr w:type="spellStart"/>
      <w:r w:rsidRPr="002B591C">
        <w:t>нотифицираните</w:t>
      </w:r>
      <w:proofErr w:type="spellEnd"/>
      <w:r w:rsidRPr="002B591C">
        <w:t xml:space="preserve"> органи трябва да работят по компетентен, безпристрастен и независим начин; изразява загриженост във връзка със значителните различия между държавите членки от гледна точка на начина на оценяване на тяхната компетентност, което води до трайна правна несигурност и различаващи се практики; изразява съжаление, че в някои случаи </w:t>
      </w:r>
      <w:proofErr w:type="spellStart"/>
      <w:r w:rsidRPr="002B591C">
        <w:t>нотифицираните</w:t>
      </w:r>
      <w:proofErr w:type="spellEnd"/>
      <w:r w:rsidRPr="002B591C">
        <w:t xml:space="preserve"> органи издават сертификати за съответствие, без да проверяват адекватно пълното съответствие с всички съответни клаузи на приложимите хармонизирани стандарти, което може сериозно да подкопае доверието в системата за стандартизация и значително да възпрепятства ефективната работа </w:t>
      </w:r>
      <w:r w:rsidRPr="002B591C">
        <w:lastRenderedPageBreak/>
        <w:t xml:space="preserve">на органите за надзор на пазара; предлага Комисията да проучи възможността за задължителна акредитация на </w:t>
      </w:r>
      <w:proofErr w:type="spellStart"/>
      <w:r w:rsidRPr="002B591C">
        <w:t>нотифицираните</w:t>
      </w:r>
      <w:proofErr w:type="spellEnd"/>
      <w:r w:rsidRPr="002B591C">
        <w:t xml:space="preserve"> органи, за да се гарантира тяхната компетентност, безпристрастност и независимост във всички държави членки; счита, че това е от съществено значение за справяне с различните практики, повишаване на правната сигурност и укрепване на доверието в системата за оценяване на съответствието;</w:t>
      </w:r>
    </w:p>
    <w:p w14:paraId="13287035" w14:textId="11655A47" w:rsidR="005D4002" w:rsidRDefault="005D4002" w:rsidP="005D4002">
      <w:pPr>
        <w:pStyle w:val="NormalHanging12a"/>
        <w:widowControl/>
        <w:ind w:left="0" w:firstLine="0"/>
        <w:jc w:val="center"/>
      </w:pPr>
      <w:r>
        <w:t>°</w:t>
      </w:r>
    </w:p>
    <w:p w14:paraId="0CD1BE9C" w14:textId="658A2A55" w:rsidR="005D4002" w:rsidRDefault="005D4002" w:rsidP="005D4002">
      <w:pPr>
        <w:pStyle w:val="NormalHanging12a"/>
        <w:widowControl/>
        <w:ind w:left="0" w:firstLine="0"/>
        <w:jc w:val="center"/>
      </w:pPr>
      <w:r>
        <w:t>°     °</w:t>
      </w:r>
    </w:p>
    <w:p w14:paraId="7CD2B465" w14:textId="28898680" w:rsidR="002B591C" w:rsidRPr="002B591C" w:rsidRDefault="0036441E" w:rsidP="002B591C">
      <w:pPr>
        <w:pStyle w:val="NormalHanging12a"/>
        <w:ind w:left="720" w:hanging="720"/>
        <w:outlineLvl w:val="2"/>
      </w:pPr>
      <w:r w:rsidRPr="002B591C">
        <w:t>40.</w:t>
      </w:r>
      <w:r w:rsidRPr="002B591C">
        <w:tab/>
        <w:t>възлага на своя председател да предаде настоящата резолюция съответно на Съвета и на Комисията.</w:t>
      </w:r>
    </w:p>
    <w:p w14:paraId="20E00899" w14:textId="3585664C" w:rsidR="00E365E1" w:rsidRPr="002B591C" w:rsidRDefault="00E365E1" w:rsidP="00F41B0A"/>
    <w:sectPr w:rsidR="00E365E1" w:rsidRPr="002B591C" w:rsidSect="002B59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606F2" w14:textId="77777777" w:rsidR="00F41B0A" w:rsidRPr="002B591C" w:rsidRDefault="00F41B0A">
      <w:r w:rsidRPr="002B591C">
        <w:separator/>
      </w:r>
    </w:p>
  </w:endnote>
  <w:endnote w:type="continuationSeparator" w:id="0">
    <w:p w14:paraId="6340F3B7" w14:textId="77777777" w:rsidR="00F41B0A" w:rsidRPr="002B591C" w:rsidRDefault="00F41B0A">
      <w:r w:rsidRPr="002B59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4C776" w14:textId="77777777" w:rsidR="00064002" w:rsidRPr="002B59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BE3F4" w14:textId="77777777" w:rsidR="00064002" w:rsidRPr="002B59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2DE9E" w14:textId="77777777" w:rsidR="00064002" w:rsidRPr="002B59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68813A" w14:textId="77777777" w:rsidR="00F41B0A" w:rsidRPr="002B591C" w:rsidRDefault="00F41B0A">
      <w:r w:rsidRPr="002B591C">
        <w:separator/>
      </w:r>
    </w:p>
  </w:footnote>
  <w:footnote w:type="continuationSeparator" w:id="0">
    <w:p w14:paraId="2F76FBA3" w14:textId="77777777" w:rsidR="00F41B0A" w:rsidRPr="002B591C" w:rsidRDefault="00F41B0A">
      <w:r w:rsidRPr="002B591C">
        <w:continuationSeparator/>
      </w:r>
    </w:p>
  </w:footnote>
  <w:footnote w:id="1">
    <w:p w14:paraId="7BBBA879" w14:textId="4A536702"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00F1168A" w:rsidRPr="00607412">
        <w:rPr>
          <w:lang w:val="ru-RU"/>
        </w:rPr>
        <w:t>ОВ</w:t>
      </w:r>
      <w:r w:rsidR="00F1168A" w:rsidRPr="009F661E">
        <w:t> </w:t>
      </w:r>
      <w:r w:rsidR="00F1168A" w:rsidRPr="00607412">
        <w:rPr>
          <w:lang w:val="ru-RU"/>
        </w:rPr>
        <w:t>С</w:t>
      </w:r>
      <w:r w:rsidR="00F1168A" w:rsidRPr="009F661E">
        <w:t> </w:t>
      </w:r>
      <w:r w:rsidR="00F1168A" w:rsidRPr="00607412">
        <w:rPr>
          <w:lang w:val="ru-RU"/>
        </w:rPr>
        <w:t>214, 16.6.2023</w:t>
      </w:r>
      <w:r w:rsidR="00F1168A" w:rsidRPr="009F661E">
        <w:t> </w:t>
      </w:r>
      <w:r w:rsidR="00F1168A" w:rsidRPr="00607412">
        <w:rPr>
          <w:lang w:val="ru-RU"/>
        </w:rPr>
        <w:t>г., стр.</w:t>
      </w:r>
      <w:r w:rsidR="00F1168A" w:rsidRPr="009F661E">
        <w:t> </w:t>
      </w:r>
      <w:r w:rsidR="00F1168A" w:rsidRPr="00607412">
        <w:rPr>
          <w:lang w:val="ru-RU"/>
        </w:rPr>
        <w:t>8.</w:t>
      </w:r>
    </w:p>
  </w:footnote>
  <w:footnote w:id="2">
    <w:p w14:paraId="693B1F71" w14:textId="03A4E91D"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Приети текстове, P10_TA(2025)0107.</w:t>
      </w:r>
    </w:p>
  </w:footnote>
  <w:footnote w:id="3">
    <w:p w14:paraId="1C322B10" w14:textId="6A056317"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L 218, 13.8.2008 г., стр. </w:t>
      </w:r>
      <w:r w:rsidRPr="002B591C">
        <w:rPr>
          <w:sz w:val="24"/>
          <w:lang w:val="bg-BG"/>
        </w:rPr>
        <w:t>30, ELI: </w:t>
      </w:r>
      <w:hyperlink r:id="rId1" w:tooltip="Предоставя достъп до този документ чрез неговия ELI URI." w:history="1">
        <w:r w:rsidRPr="002B591C">
          <w:rPr>
            <w:rStyle w:val="Hyperlink"/>
            <w:sz w:val="24"/>
            <w:lang w:val="bg-BG"/>
          </w:rPr>
          <w:t>http://data.europa.eu/eli/reg/2008/765/oj</w:t>
        </w:r>
      </w:hyperlink>
      <w:r w:rsidRPr="002B591C">
        <w:rPr>
          <w:sz w:val="24"/>
          <w:lang w:val="bg-BG"/>
        </w:rPr>
        <w:t>.</w:t>
      </w:r>
    </w:p>
  </w:footnote>
  <w:footnote w:id="4">
    <w:p w14:paraId="4BAAC5B3" w14:textId="72CD0D7C"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L 218, 13.8.2008 г., стр. </w:t>
      </w:r>
      <w:r w:rsidRPr="002B591C">
        <w:rPr>
          <w:sz w:val="24"/>
          <w:lang w:val="bg-BG"/>
        </w:rPr>
        <w:t>82, ELI: </w:t>
      </w:r>
      <w:hyperlink r:id="rId2" w:tooltip="Предоставя достъп до този документ чрез неговия ELI URI." w:history="1">
        <w:r w:rsidRPr="002B591C">
          <w:rPr>
            <w:rStyle w:val="Hyperlink"/>
            <w:sz w:val="24"/>
            <w:lang w:val="bg-BG"/>
          </w:rPr>
          <w:t>http://data.europa.eu/eli/dec/2008/768(1)/oj</w:t>
        </w:r>
      </w:hyperlink>
      <w:r w:rsidRPr="002B591C">
        <w:rPr>
          <w:sz w:val="24"/>
          <w:lang w:val="bg-BG"/>
        </w:rPr>
        <w:t>.</w:t>
      </w:r>
    </w:p>
  </w:footnote>
  <w:footnote w:id="5">
    <w:p w14:paraId="716F4967" w14:textId="5DE9C322"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OВ L 169, 25.6.2019 г., стр. </w:t>
      </w:r>
      <w:r w:rsidRPr="002B591C">
        <w:rPr>
          <w:sz w:val="24"/>
          <w:lang w:val="bg-BG"/>
        </w:rPr>
        <w:t>1, ELI: </w:t>
      </w:r>
      <w:hyperlink r:id="rId3" w:tooltip="Предоставя достъп до този документ чрез неговия ELI URI." w:history="1">
        <w:r w:rsidRPr="002B591C">
          <w:rPr>
            <w:rStyle w:val="Hyperlink"/>
            <w:sz w:val="24"/>
            <w:lang w:val="bg-BG"/>
          </w:rPr>
          <w:t>http://data.europa.eu/eli/reg/2019/1020/oj</w:t>
        </w:r>
      </w:hyperlink>
      <w:r w:rsidRPr="002B591C">
        <w:rPr>
          <w:sz w:val="24"/>
          <w:lang w:val="bg-BG"/>
        </w:rPr>
        <w:t>.</w:t>
      </w:r>
    </w:p>
  </w:footnote>
  <w:footnote w:id="6">
    <w:p w14:paraId="555FEB67" w14:textId="6C842640"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L 316, 14.11.2012 г., стр. </w:t>
      </w:r>
      <w:r w:rsidRPr="002B591C">
        <w:rPr>
          <w:sz w:val="24"/>
          <w:lang w:val="bg-BG"/>
        </w:rPr>
        <w:t xml:space="preserve">12, ELI: </w:t>
      </w:r>
      <w:hyperlink r:id="rId4" w:history="1">
        <w:r w:rsidRPr="002B591C">
          <w:rPr>
            <w:rStyle w:val="Hyperlink"/>
            <w:sz w:val="24"/>
            <w:lang w:val="bg-BG"/>
          </w:rPr>
          <w:t>http://data.europa.eu/eli/reg/2012/1025/oj</w:t>
        </w:r>
      </w:hyperlink>
      <w:r w:rsidRPr="002B591C">
        <w:rPr>
          <w:sz w:val="24"/>
          <w:lang w:val="bg-BG"/>
        </w:rPr>
        <w:t>.</w:t>
      </w:r>
    </w:p>
  </w:footnote>
  <w:footnote w:id="7">
    <w:p w14:paraId="5BD6B957" w14:textId="6825C090"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OВ L, 2024/2853, 18.11.2024 г., ELI: </w:t>
      </w:r>
      <w:hyperlink r:id="rId5" w:history="1">
        <w:r w:rsidRPr="002B591C">
          <w:rPr>
            <w:rStyle w:val="Hyperlink"/>
            <w:sz w:val="24"/>
            <w:lang w:val="bg-BG"/>
          </w:rPr>
          <w:t>http://data.europa.eu/eli/dir/2024/2853/oj</w:t>
        </w:r>
      </w:hyperlink>
      <w:r w:rsidRPr="002B591C">
        <w:rPr>
          <w:sz w:val="24"/>
          <w:lang w:val="bg-BG"/>
        </w:rPr>
        <w:t>.</w:t>
      </w:r>
    </w:p>
  </w:footnote>
  <w:footnote w:id="8">
    <w:p w14:paraId="57912029" w14:textId="7835355C"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OВ L 136, 22.5.2019 г., стр. </w:t>
      </w:r>
      <w:r w:rsidRPr="002B591C">
        <w:rPr>
          <w:sz w:val="24"/>
          <w:lang w:val="bg-BG"/>
        </w:rPr>
        <w:t>28, ELI: </w:t>
      </w:r>
      <w:hyperlink r:id="rId6" w:tooltip="Предоставя достъп до този документ чрез неговия ELI URI." w:history="1">
        <w:r w:rsidRPr="002B591C">
          <w:rPr>
            <w:rStyle w:val="Hyperlink"/>
            <w:sz w:val="24"/>
            <w:lang w:val="bg-BG"/>
          </w:rPr>
          <w:t>http://data.europa.eu/eli/dir/2019/771/oj</w:t>
        </w:r>
      </w:hyperlink>
      <w:r w:rsidRPr="002B591C">
        <w:rPr>
          <w:sz w:val="24"/>
          <w:lang w:val="bg-BG"/>
        </w:rPr>
        <w:t>.</w:t>
      </w:r>
    </w:p>
  </w:footnote>
  <w:footnote w:id="9">
    <w:p w14:paraId="758BB1C3" w14:textId="2443FAF0"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OВ L, 2024/1799, 10.7.2024 г., ELI: </w:t>
      </w:r>
      <w:hyperlink r:id="rId7" w:history="1">
        <w:r w:rsidRPr="002B591C">
          <w:rPr>
            <w:rStyle w:val="Hyperlink"/>
            <w:sz w:val="24"/>
            <w:lang w:val="bg-BG"/>
          </w:rPr>
          <w:t>http://data.europa.eu/eli/dir/2024/1799/oj</w:t>
        </w:r>
      </w:hyperlink>
      <w:r w:rsidRPr="002B591C">
        <w:rPr>
          <w:sz w:val="24"/>
          <w:lang w:val="bg-BG"/>
        </w:rPr>
        <w:t>.</w:t>
      </w:r>
    </w:p>
  </w:footnote>
  <w:footnote w:id="10">
    <w:p w14:paraId="0B2F8320" w14:textId="673A5250"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L 345, 27.12.2017 г., стр. </w:t>
      </w:r>
      <w:r w:rsidRPr="002B591C">
        <w:rPr>
          <w:sz w:val="24"/>
          <w:lang w:val="bg-BG"/>
        </w:rPr>
        <w:t xml:space="preserve">1, ELI: </w:t>
      </w:r>
      <w:hyperlink r:id="rId8" w:history="1">
        <w:r w:rsidRPr="002B591C">
          <w:rPr>
            <w:rStyle w:val="Hyperlink"/>
            <w:sz w:val="24"/>
            <w:lang w:val="bg-BG"/>
          </w:rPr>
          <w:t>http://data.europa.eu/eli/reg/2017/2394/oj</w:t>
        </w:r>
      </w:hyperlink>
      <w:r w:rsidRPr="002B591C">
        <w:rPr>
          <w:sz w:val="24"/>
          <w:lang w:val="bg-BG"/>
        </w:rPr>
        <w:t>.</w:t>
      </w:r>
    </w:p>
  </w:footnote>
  <w:footnote w:id="11">
    <w:p w14:paraId="38C60AB6" w14:textId="6D36651D"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L 409, 4.12.2020 г., стр. </w:t>
      </w:r>
      <w:r w:rsidRPr="002B591C">
        <w:rPr>
          <w:sz w:val="24"/>
          <w:lang w:val="bg-BG"/>
        </w:rPr>
        <w:t xml:space="preserve">1, ELI: </w:t>
      </w:r>
      <w:hyperlink r:id="rId9" w:history="1">
        <w:r w:rsidRPr="002B591C">
          <w:rPr>
            <w:rStyle w:val="Hyperlink"/>
            <w:sz w:val="24"/>
            <w:lang w:val="bg-BG"/>
          </w:rPr>
          <w:t>http://data.europa.eu/eli/dir/2020/1828/oj</w:t>
        </w:r>
      </w:hyperlink>
      <w:r w:rsidRPr="002B591C">
        <w:rPr>
          <w:sz w:val="24"/>
          <w:lang w:val="bg-BG"/>
        </w:rPr>
        <w:t>.</w:t>
      </w:r>
    </w:p>
  </w:footnote>
  <w:footnote w:id="12">
    <w:p w14:paraId="2095C8C7" w14:textId="42B338B0"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C 247, 29.6.2022 г., стр. 1.</w:t>
      </w:r>
    </w:p>
  </w:footnote>
  <w:footnote w:id="13">
    <w:p w14:paraId="2D4439E9" w14:textId="3F688E10"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ОВ L 277, 27.10.2022 г., стр. </w:t>
      </w:r>
      <w:r w:rsidRPr="002B591C">
        <w:rPr>
          <w:sz w:val="24"/>
          <w:lang w:val="bg-BG"/>
        </w:rPr>
        <w:t xml:space="preserve">1, ELI: </w:t>
      </w:r>
      <w:hyperlink r:id="rId10" w:history="1">
        <w:r w:rsidRPr="002B591C">
          <w:rPr>
            <w:rStyle w:val="Hyperlink"/>
            <w:sz w:val="24"/>
            <w:lang w:val="bg-BG"/>
          </w:rPr>
          <w:t>http://data.europa.eu/eli/reg/2022/2065/oj</w:t>
        </w:r>
      </w:hyperlink>
      <w:r w:rsidRPr="002B591C">
        <w:rPr>
          <w:sz w:val="24"/>
          <w:lang w:val="bg-BG"/>
        </w:rPr>
        <w:t>.</w:t>
      </w:r>
    </w:p>
  </w:footnote>
  <w:footnote w:id="14">
    <w:p w14:paraId="2D6E5B4A" w14:textId="1FE2EEBD"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L 265, 12.10.2022 г., стр. </w:t>
      </w:r>
      <w:r w:rsidRPr="002B591C">
        <w:rPr>
          <w:sz w:val="24"/>
          <w:lang w:val="bg-BG"/>
        </w:rPr>
        <w:t>1, ELI: </w:t>
      </w:r>
      <w:hyperlink r:id="rId11" w:tooltip="Предоставя достъп до този документ чрез неговия ELI URI." w:history="1">
        <w:r w:rsidRPr="002B591C">
          <w:rPr>
            <w:rStyle w:val="Hyperlink"/>
            <w:sz w:val="24"/>
            <w:lang w:val="bg-BG"/>
          </w:rPr>
          <w:t>http://data.europa.eu/eli/reg/2022/1925/oj</w:t>
        </w:r>
      </w:hyperlink>
      <w:r w:rsidRPr="002B591C">
        <w:rPr>
          <w:sz w:val="24"/>
          <w:lang w:val="bg-BG"/>
        </w:rPr>
        <w:t>.</w:t>
      </w:r>
    </w:p>
  </w:footnote>
  <w:footnote w:id="15">
    <w:p w14:paraId="7DB0EFD5" w14:textId="35C8907D"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OВ L, 2024/1781, 28.6.2024 г., ELI: </w:t>
      </w:r>
      <w:hyperlink r:id="rId12" w:history="1">
        <w:r w:rsidRPr="002B591C">
          <w:rPr>
            <w:rStyle w:val="Hyperlink"/>
            <w:sz w:val="24"/>
            <w:lang w:val="bg-BG"/>
          </w:rPr>
          <w:t>http://data.europa.eu/eli/reg/2024/1781/oj</w:t>
        </w:r>
      </w:hyperlink>
      <w:r w:rsidRPr="002B591C">
        <w:rPr>
          <w:sz w:val="24"/>
          <w:lang w:val="bg-BG"/>
        </w:rPr>
        <w:t>.</w:t>
      </w:r>
    </w:p>
  </w:footnote>
  <w:footnote w:id="16">
    <w:p w14:paraId="07EDC94D" w14:textId="3DA24898"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ОВ L 197, 24.7.2012 г., стр. </w:t>
      </w:r>
      <w:r w:rsidRPr="002B591C">
        <w:rPr>
          <w:sz w:val="24"/>
          <w:lang w:val="bg-BG"/>
        </w:rPr>
        <w:t>38</w:t>
      </w:r>
      <w:r w:rsidR="00F1168A" w:rsidRPr="00F1168A">
        <w:rPr>
          <w:sz w:val="24"/>
          <w:lang w:val="bg-BG"/>
        </w:rPr>
        <w:t xml:space="preserve">, ELI: </w:t>
      </w:r>
      <w:hyperlink r:id="rId13" w:history="1">
        <w:r w:rsidR="00F1168A" w:rsidRPr="00F1168A">
          <w:rPr>
            <w:rStyle w:val="Hyperlink"/>
            <w:sz w:val="24"/>
            <w:lang w:val="bg-BG"/>
          </w:rPr>
          <w:t>http://data.europa.eu/eli/dir/2012/19/oj</w:t>
        </w:r>
      </w:hyperlink>
      <w:r w:rsidRPr="002B591C">
        <w:rPr>
          <w:sz w:val="24"/>
          <w:lang w:val="bg-BG"/>
        </w:rPr>
        <w:t>.</w:t>
      </w:r>
    </w:p>
  </w:footnote>
  <w:footnote w:id="17">
    <w:p w14:paraId="48503975" w14:textId="7CA382E0"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Регламент (ЕС) 2023/988 на Европейския парламент и на Съвета от 10 май 2023 г. относно общата безопасност на продуктите, за изменение на Регламент (ЕС) № 1025/2012 на Европейския парламент и на Съвета и на Директива (ЕС) 2020/1828 на Европейския парламент и на Съвета и за отмяна на Директива 2001/95/ЕО на Европейския парламент и на Съвета и на Директива 87/357/ЕИО на Съвета </w:t>
      </w:r>
      <w:r w:rsidR="00F1168A">
        <w:rPr>
          <w:sz w:val="24"/>
          <w:lang w:val="bg-BG"/>
        </w:rPr>
        <w:t>(</w:t>
      </w:r>
      <w:r w:rsidRPr="002B591C">
        <w:rPr>
          <w:sz w:val="24"/>
          <w:lang w:val="bg-BG"/>
        </w:rPr>
        <w:t xml:space="preserve">OВ L 135, 23.5.2023 г., </w:t>
      </w:r>
      <w:proofErr w:type="spellStart"/>
      <w:r w:rsidRPr="002B591C">
        <w:rPr>
          <w:sz w:val="24"/>
          <w:lang w:val="bg-BG"/>
        </w:rPr>
        <w:t>стp</w:t>
      </w:r>
      <w:proofErr w:type="spellEnd"/>
      <w:r w:rsidRPr="002B591C">
        <w:rPr>
          <w:sz w:val="24"/>
          <w:lang w:val="bg-BG"/>
        </w:rPr>
        <w:t xml:space="preserve">. </w:t>
      </w:r>
      <w:r w:rsidRPr="002B591C">
        <w:rPr>
          <w:sz w:val="24"/>
          <w:lang w:val="bg-BG"/>
        </w:rPr>
        <w:t xml:space="preserve">1, ELI: </w:t>
      </w:r>
      <w:hyperlink r:id="rId14" w:history="1">
        <w:r w:rsidRPr="002B591C">
          <w:rPr>
            <w:rStyle w:val="Hyperlink"/>
            <w:sz w:val="24"/>
            <w:lang w:val="bg-BG"/>
          </w:rPr>
          <w:t>http://data.europa.eu/eli/reg/2023/988/oj</w:t>
        </w:r>
      </w:hyperlink>
      <w:r w:rsidRPr="002B591C">
        <w:rPr>
          <w:sz w:val="24"/>
          <w:lang w:val="bg-BG"/>
        </w:rPr>
        <w:t>).</w:t>
      </w:r>
    </w:p>
  </w:footnote>
  <w:footnote w:id="18">
    <w:p w14:paraId="48B916F8" w14:textId="27DC4E34"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 xml:space="preserve">Регламент (ЕС) 2024/1689 на Европейския парламент и на Съвета от 13 юни 2024 г. </w:t>
      </w:r>
      <w:r w:rsidRPr="002B591C">
        <w:rPr>
          <w:sz w:val="24"/>
          <w:lang w:val="bg-BG"/>
        </w:rPr>
        <w:t xml:space="preserve">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 ELI: </w:t>
      </w:r>
      <w:hyperlink r:id="rId15" w:history="1">
        <w:r w:rsidRPr="002B591C">
          <w:rPr>
            <w:rStyle w:val="Hyperlink"/>
            <w:sz w:val="24"/>
            <w:lang w:val="bg-BG"/>
          </w:rPr>
          <w:t>http://data.europa.eu/eli/reg/2024/1689/oj</w:t>
        </w:r>
      </w:hyperlink>
      <w:r w:rsidRPr="002B591C">
        <w:rPr>
          <w:sz w:val="24"/>
          <w:lang w:val="bg-BG"/>
        </w:rPr>
        <w:t>).</w:t>
      </w:r>
    </w:p>
  </w:footnote>
  <w:footnote w:id="19">
    <w:p w14:paraId="7FB2FD49" w14:textId="24873581"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 стр. </w:t>
      </w:r>
      <w:r w:rsidRPr="002B591C">
        <w:rPr>
          <w:sz w:val="24"/>
          <w:lang w:val="bg-BG"/>
        </w:rPr>
        <w:t>1, ELI: </w:t>
      </w:r>
      <w:hyperlink r:id="rId16" w:tooltip="Предоставя достъп до този документ чрез неговия ELI URI." w:history="1">
        <w:r w:rsidRPr="002B591C">
          <w:rPr>
            <w:rStyle w:val="Hyperlink"/>
            <w:sz w:val="24"/>
            <w:lang w:val="bg-BG"/>
          </w:rPr>
          <w:t>http://data.europa.eu/eli/reg/2016/679/oj</w:t>
        </w:r>
      </w:hyperlink>
      <w:r w:rsidRPr="002B591C">
        <w:rPr>
          <w:sz w:val="24"/>
          <w:lang w:val="bg-BG"/>
        </w:rPr>
        <w:t>).</w:t>
      </w:r>
    </w:p>
  </w:footnote>
  <w:footnote w:id="20">
    <w:p w14:paraId="10ABC784" w14:textId="47386699" w:rsidR="0036441E" w:rsidRPr="002B591C" w:rsidRDefault="0036441E" w:rsidP="002B591C">
      <w:pPr>
        <w:pStyle w:val="FootnoteText"/>
        <w:ind w:left="567" w:hanging="567"/>
        <w:rPr>
          <w:sz w:val="24"/>
          <w:lang w:val="bg-BG"/>
        </w:rPr>
      </w:pPr>
      <w:r w:rsidRPr="002B591C">
        <w:rPr>
          <w:rStyle w:val="FootnoteReference"/>
          <w:sz w:val="24"/>
          <w:lang w:val="bg-BG"/>
        </w:rPr>
        <w:footnoteRef/>
      </w:r>
      <w:r w:rsidR="002B591C" w:rsidRPr="002B591C">
        <w:rPr>
          <w:sz w:val="24"/>
          <w:lang w:val="bg-BG"/>
        </w:rPr>
        <w:t xml:space="preserve"> </w:t>
      </w:r>
      <w:r w:rsidR="002B591C" w:rsidRPr="002B591C">
        <w:rPr>
          <w:sz w:val="24"/>
          <w:lang w:val="bg-BG"/>
        </w:rPr>
        <w:tab/>
      </w:r>
      <w:r w:rsidRPr="002B591C">
        <w:rPr>
          <w:sz w:val="24"/>
          <w:lang w:val="bg-BG"/>
        </w:rPr>
        <w:t>Директива 2008/98/ЕО на Европейския парламент и на Съвета от 19 ноември 2008 г. относно отпадъците и за отмяна на определени директиви (ОВ L 312, 22.11.2008 г., стр. </w:t>
      </w:r>
      <w:r w:rsidRPr="002B591C">
        <w:rPr>
          <w:sz w:val="24"/>
          <w:lang w:val="bg-BG"/>
        </w:rPr>
        <w:t xml:space="preserve">3, ELI: </w:t>
      </w:r>
      <w:hyperlink r:id="rId17" w:history="1">
        <w:r w:rsidRPr="002B591C">
          <w:rPr>
            <w:rStyle w:val="Hyperlink"/>
            <w:sz w:val="24"/>
            <w:lang w:val="bg-BG"/>
          </w:rPr>
          <w:t>http://data.europa.eu/eli/dir/2008/98/oj</w:t>
        </w:r>
      </w:hyperlink>
      <w:r w:rsidRPr="002B591C">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82D17" w14:textId="77777777" w:rsidR="00064002" w:rsidRPr="002B59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5E9C2" w14:textId="77777777" w:rsidR="00064002" w:rsidRPr="002B59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88F76" w14:textId="77777777" w:rsidR="00064002" w:rsidRPr="002B59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447789">
    <w:abstractNumId w:val="9"/>
  </w:num>
  <w:num w:numId="2" w16cid:durableId="1677420264">
    <w:abstractNumId w:val="9"/>
  </w:num>
  <w:num w:numId="3" w16cid:durableId="829446344">
    <w:abstractNumId w:val="7"/>
  </w:num>
  <w:num w:numId="4" w16cid:durableId="550312916">
    <w:abstractNumId w:val="7"/>
  </w:num>
  <w:num w:numId="5" w16cid:durableId="348682999">
    <w:abstractNumId w:val="6"/>
  </w:num>
  <w:num w:numId="6" w16cid:durableId="719088221">
    <w:abstractNumId w:val="6"/>
  </w:num>
  <w:num w:numId="7" w16cid:durableId="1612781137">
    <w:abstractNumId w:val="5"/>
  </w:num>
  <w:num w:numId="8" w16cid:durableId="1748066599">
    <w:abstractNumId w:val="5"/>
  </w:num>
  <w:num w:numId="9" w16cid:durableId="2091274854">
    <w:abstractNumId w:val="4"/>
  </w:num>
  <w:num w:numId="10" w16cid:durableId="1634172810">
    <w:abstractNumId w:val="4"/>
  </w:num>
  <w:num w:numId="11" w16cid:durableId="346755532">
    <w:abstractNumId w:val="8"/>
  </w:num>
  <w:num w:numId="12" w16cid:durableId="1900167356">
    <w:abstractNumId w:val="8"/>
  </w:num>
  <w:num w:numId="13" w16cid:durableId="2116517553">
    <w:abstractNumId w:val="3"/>
  </w:num>
  <w:num w:numId="14" w16cid:durableId="89856547">
    <w:abstractNumId w:val="3"/>
  </w:num>
  <w:num w:numId="15" w16cid:durableId="975180759">
    <w:abstractNumId w:val="2"/>
  </w:num>
  <w:num w:numId="16" w16cid:durableId="1170095518">
    <w:abstractNumId w:val="2"/>
  </w:num>
  <w:num w:numId="17" w16cid:durableId="826677439">
    <w:abstractNumId w:val="1"/>
  </w:num>
  <w:num w:numId="18" w16cid:durableId="67307854">
    <w:abstractNumId w:val="1"/>
  </w:num>
  <w:num w:numId="19" w16cid:durableId="1107000842">
    <w:abstractNumId w:val="0"/>
  </w:num>
  <w:num w:numId="20" w16cid:durableId="1732462723">
    <w:abstractNumId w:val="0"/>
  </w:num>
  <w:num w:numId="21" w16cid:durableId="87889298">
    <w:abstractNumId w:val="9"/>
  </w:num>
  <w:num w:numId="22" w16cid:durableId="1819566598">
    <w:abstractNumId w:val="7"/>
  </w:num>
  <w:num w:numId="23" w16cid:durableId="570240489">
    <w:abstractNumId w:val="6"/>
  </w:num>
  <w:num w:numId="24" w16cid:durableId="1778022266">
    <w:abstractNumId w:val="5"/>
  </w:num>
  <w:num w:numId="25" w16cid:durableId="253176125">
    <w:abstractNumId w:val="4"/>
  </w:num>
  <w:num w:numId="26" w16cid:durableId="1809930068">
    <w:abstractNumId w:val="8"/>
  </w:num>
  <w:num w:numId="27" w16cid:durableId="1858614493">
    <w:abstractNumId w:val="3"/>
  </w:num>
  <w:num w:numId="28" w16cid:durableId="756441447">
    <w:abstractNumId w:val="2"/>
  </w:num>
  <w:num w:numId="29" w16cid:durableId="2127506991">
    <w:abstractNumId w:val="1"/>
  </w:num>
  <w:num w:numId="30" w16cid:durableId="754396613">
    <w:abstractNumId w:val="0"/>
  </w:num>
  <w:num w:numId="31" w16cid:durableId="1172574217">
    <w:abstractNumId w:val="9"/>
  </w:num>
  <w:num w:numId="32" w16cid:durableId="198204445">
    <w:abstractNumId w:val="7"/>
  </w:num>
  <w:num w:numId="33" w16cid:durableId="890001328">
    <w:abstractNumId w:val="6"/>
  </w:num>
  <w:num w:numId="34" w16cid:durableId="539901306">
    <w:abstractNumId w:val="5"/>
  </w:num>
  <w:num w:numId="35" w16cid:durableId="35277472">
    <w:abstractNumId w:val="4"/>
  </w:num>
  <w:num w:numId="36" w16cid:durableId="1407918099">
    <w:abstractNumId w:val="8"/>
  </w:num>
  <w:num w:numId="37" w16cid:durableId="223178110">
    <w:abstractNumId w:val="3"/>
  </w:num>
  <w:num w:numId="38" w16cid:durableId="174927675">
    <w:abstractNumId w:val="2"/>
  </w:num>
  <w:num w:numId="39" w16cid:durableId="961419373">
    <w:abstractNumId w:val="1"/>
  </w:num>
  <w:num w:numId="40" w16cid:durableId="1898667997">
    <w:abstractNumId w:val="0"/>
  </w:num>
  <w:num w:numId="41" w16cid:durableId="897865234">
    <w:abstractNumId w:val="10"/>
  </w:num>
  <w:num w:numId="42" w16cid:durableId="165750018">
    <w:abstractNumId w:val="10"/>
  </w:num>
  <w:num w:numId="43" w16cid:durableId="2124958418">
    <w:abstractNumId w:val="10"/>
  </w:num>
  <w:num w:numId="44" w16cid:durableId="2131626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9/2025"/>
    <w:docVar w:name="dvlangue" w:val="BG"/>
    <w:docVar w:name="dvnumam" w:val="0"/>
    <w:docVar w:name="dvpe" w:val="771.897"/>
    <w:docVar w:name="dvrapporteur" w:val="Докладчик: "/>
    <w:docVar w:name="dvtitre" w:val="Резолюция на Европейския парламент от ... 2025 г. относно нова законодателна рамка за продуктите, адаптирана към цифровия и устойчивия преход(2024/2119(INI))"/>
  </w:docVars>
  <w:rsids>
    <w:rsidRoot w:val="00F41B0A"/>
    <w:rsid w:val="00002272"/>
    <w:rsid w:val="00064002"/>
    <w:rsid w:val="000677B9"/>
    <w:rsid w:val="000831BA"/>
    <w:rsid w:val="000A42CC"/>
    <w:rsid w:val="000E7DD9"/>
    <w:rsid w:val="0010095E"/>
    <w:rsid w:val="00125B37"/>
    <w:rsid w:val="0015028B"/>
    <w:rsid w:val="001668DA"/>
    <w:rsid w:val="00187494"/>
    <w:rsid w:val="001F32AE"/>
    <w:rsid w:val="002767FF"/>
    <w:rsid w:val="002B18FE"/>
    <w:rsid w:val="002B5493"/>
    <w:rsid w:val="002B591C"/>
    <w:rsid w:val="00322547"/>
    <w:rsid w:val="00343214"/>
    <w:rsid w:val="00361C00"/>
    <w:rsid w:val="0036441E"/>
    <w:rsid w:val="00395FA1"/>
    <w:rsid w:val="003E15D4"/>
    <w:rsid w:val="00411CCE"/>
    <w:rsid w:val="00413962"/>
    <w:rsid w:val="0041666E"/>
    <w:rsid w:val="00421060"/>
    <w:rsid w:val="00471C19"/>
    <w:rsid w:val="004867E3"/>
    <w:rsid w:val="00494A28"/>
    <w:rsid w:val="004C0004"/>
    <w:rsid w:val="004C5D52"/>
    <w:rsid w:val="0050519A"/>
    <w:rsid w:val="005072A1"/>
    <w:rsid w:val="00514517"/>
    <w:rsid w:val="00545827"/>
    <w:rsid w:val="00560270"/>
    <w:rsid w:val="005C2568"/>
    <w:rsid w:val="005D4002"/>
    <w:rsid w:val="005F1B17"/>
    <w:rsid w:val="006037C0"/>
    <w:rsid w:val="0060741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61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6AC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68A"/>
    <w:rsid w:val="00F149E9"/>
    <w:rsid w:val="00F41B0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1AF15"/>
  <w15:chartTrackingRefBased/>
  <w15:docId w15:val="{D21A5ED9-AE42-442E-AD36-D63C838A8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6441E"/>
    <w:pPr>
      <w:spacing w:after="240"/>
      <w:ind w:left="567" w:hanging="567"/>
    </w:pPr>
  </w:style>
  <w:style w:type="paragraph" w:customStyle="1" w:styleId="EPComma">
    <w:name w:val="EPComma"/>
    <w:basedOn w:val="Normal"/>
    <w:rsid w:val="0036441E"/>
    <w:pPr>
      <w:spacing w:before="480" w:after="240"/>
    </w:pPr>
  </w:style>
  <w:style w:type="character" w:styleId="Hyperlink">
    <w:name w:val="Hyperlink"/>
    <w:basedOn w:val="DefaultParagraphFont"/>
    <w:rsid w:val="0036441E"/>
    <w:rPr>
      <w:color w:val="0563C1" w:themeColor="hyperlink"/>
      <w:u w:val="single"/>
    </w:rPr>
  </w:style>
  <w:style w:type="paragraph" w:customStyle="1" w:styleId="CAChapter">
    <w:name w:val="CA_Chapter"/>
    <w:basedOn w:val="Normal"/>
    <w:rsid w:val="0036441E"/>
    <w:pPr>
      <w:snapToGrid w:val="0"/>
      <w:spacing w:before="360" w:after="240"/>
      <w:outlineLvl w:val="1"/>
    </w:pPr>
    <w:rPr>
      <w:lang w:eastAsia="en-US"/>
    </w:rPr>
  </w:style>
  <w:style w:type="character" w:customStyle="1" w:styleId="BoldItalic">
    <w:name w:val="BoldItalic"/>
    <w:uiPriority w:val="1"/>
    <w:rsid w:val="0036441E"/>
    <w:rPr>
      <w:b/>
      <w:bCs w:val="0"/>
      <w:i/>
      <w:iCs w:val="0"/>
      <w:strike w:val="0"/>
      <w:dstrike w:val="0"/>
      <w:u w:val="none"/>
      <w:effect w:val="none"/>
    </w:rPr>
  </w:style>
  <w:style w:type="paragraph" w:customStyle="1" w:styleId="CAParagraph">
    <w:name w:val="CA_Paragraph"/>
    <w:basedOn w:val="Normal"/>
    <w:rsid w:val="0036441E"/>
    <w:pPr>
      <w:widowControl/>
      <w:snapToGrid w:val="0"/>
      <w:spacing w:after="240"/>
      <w:ind w:left="567" w:hanging="567"/>
      <w:outlineLvl w:val="2"/>
    </w:pPr>
    <w:rPr>
      <w:lang w:eastAsia="en-US"/>
    </w:rPr>
  </w:style>
  <w:style w:type="character" w:styleId="Strong">
    <w:name w:val="Strong"/>
    <w:basedOn w:val="DefaultParagraphFont"/>
    <w:uiPriority w:val="22"/>
    <w:qFormat/>
    <w:rsid w:val="0036441E"/>
    <w:rPr>
      <w:b/>
      <w:bCs/>
    </w:rPr>
  </w:style>
  <w:style w:type="paragraph" w:customStyle="1" w:styleId="PointTriple0">
    <w:name w:val="PointTriple 0"/>
    <w:basedOn w:val="Normal"/>
    <w:rsid w:val="0036441E"/>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Normal12a24b">
    <w:name w:val="Normal12a24b"/>
    <w:basedOn w:val="Normal"/>
    <w:rsid w:val="0036441E"/>
    <w:pPr>
      <w:snapToGrid w:val="0"/>
      <w:spacing w:before="360" w:after="240"/>
    </w:pPr>
    <w:rPr>
      <w:lang w:eastAsia="en-US"/>
    </w:rPr>
  </w:style>
  <w:style w:type="paragraph" w:styleId="Revision">
    <w:name w:val="Revision"/>
    <w:hidden/>
    <w:uiPriority w:val="99"/>
    <w:semiHidden/>
    <w:rsid w:val="00F1168A"/>
    <w:rPr>
      <w:sz w:val="24"/>
      <w:lang w:val="bg-BG"/>
    </w:rPr>
  </w:style>
  <w:style w:type="character" w:styleId="UnresolvedMention">
    <w:name w:val="Unresolved Mention"/>
    <w:basedOn w:val="DefaultParagraphFont"/>
    <w:uiPriority w:val="99"/>
    <w:semiHidden/>
    <w:unhideWhenUsed/>
    <w:rsid w:val="00F116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12/19/oj" TargetMode="External"/><Relationship Id="rId3" Type="http://schemas.openxmlformats.org/officeDocument/2006/relationships/hyperlink" Target="http://data.europa.eu/eli/reg/2019/1020/oj" TargetMode="External"/><Relationship Id="rId7" Type="http://schemas.openxmlformats.org/officeDocument/2006/relationships/hyperlink" Target="http://data.europa.eu/eli/dir/2024/1799/oj" TargetMode="External"/><Relationship Id="rId12" Type="http://schemas.openxmlformats.org/officeDocument/2006/relationships/hyperlink" Target="http://data.europa.eu/eli/reg/2024/1781/oj" TargetMode="External"/><Relationship Id="rId17" Type="http://schemas.openxmlformats.org/officeDocument/2006/relationships/hyperlink" Target="http://data.europa.eu/eli/dir/2008/98/oj" TargetMode="External"/><Relationship Id="rId2" Type="http://schemas.openxmlformats.org/officeDocument/2006/relationships/hyperlink" Target="http://data.europa.eu/eli/dec/2008/768(1)/oj" TargetMode="External"/><Relationship Id="rId16" Type="http://schemas.openxmlformats.org/officeDocument/2006/relationships/hyperlink" Target="http://data.europa.eu/eli/reg/2016/679/oj" TargetMode="External"/><Relationship Id="rId1" Type="http://schemas.openxmlformats.org/officeDocument/2006/relationships/hyperlink" Target="http://data.europa.eu/eli/reg/2008/765/oj" TargetMode="External"/><Relationship Id="rId6" Type="http://schemas.openxmlformats.org/officeDocument/2006/relationships/hyperlink" Target="http://data.europa.eu/eli/dir/2019/771/oj" TargetMode="External"/><Relationship Id="rId11" Type="http://schemas.openxmlformats.org/officeDocument/2006/relationships/hyperlink" Target="http://data.europa.eu/eli/reg/2022/1925/oj" TargetMode="External"/><Relationship Id="rId5" Type="http://schemas.openxmlformats.org/officeDocument/2006/relationships/hyperlink" Target="http://data.europa.eu/eli/dir/2024/2853/oj" TargetMode="External"/><Relationship Id="rId15" Type="http://schemas.openxmlformats.org/officeDocument/2006/relationships/hyperlink" Target="http://data.europa.eu/eli/reg/2024/1689/oj" TargetMode="External"/><Relationship Id="rId10" Type="http://schemas.openxmlformats.org/officeDocument/2006/relationships/hyperlink" Target="http://data.europa.eu/eli/reg/2022/2065/oj" TargetMode="External"/><Relationship Id="rId4" Type="http://schemas.openxmlformats.org/officeDocument/2006/relationships/hyperlink" Target="http://data.europa.eu/eli/reg/2012/1025/oj" TargetMode="External"/><Relationship Id="rId9" Type="http://schemas.openxmlformats.org/officeDocument/2006/relationships/hyperlink" Target="http://data.europa.eu/eli/dir/2020/1828/oj" TargetMode="External"/><Relationship Id="rId14" Type="http://schemas.openxmlformats.org/officeDocument/2006/relationships/hyperlink" Target="http://data.europa.eu/eli/reg/2023/98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6537</Words>
  <Characters>40147</Characters>
  <Application>Microsoft Office Word</Application>
  <DocSecurity>0</DocSecurity>
  <Lines>334</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ILLY_D</cp:lastModifiedBy>
  <cp:revision>3</cp:revision>
  <cp:lastPrinted>2004-11-19T15:42:00Z</cp:lastPrinted>
  <dcterms:created xsi:type="dcterms:W3CDTF">2025-11-24T13:34:00Z</dcterms:created>
  <dcterms:modified xsi:type="dcterms:W3CDTF">2026-01-28T10:59:00Z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A10-0189/2025</vt:lpwstr>
  </property>
  <property fmtid="{D5CDD505-2E9C-101B-9397-08002B2CF9AE}" pid="4" name="&lt;Type&gt;">
    <vt:lpwstr>RR</vt:lpwstr>
  </property>
</Properties>
</file>