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57303" w14:paraId="409A1971" w14:textId="77777777" w:rsidTr="0010095E">
        <w:trPr>
          <w:trHeight w:hRule="exact" w:val="1418"/>
        </w:trPr>
        <w:tc>
          <w:tcPr>
            <w:tcW w:w="6804" w:type="dxa"/>
            <w:shd w:val="clear" w:color="auto" w:fill="auto"/>
            <w:vAlign w:val="center"/>
          </w:tcPr>
          <w:p w14:paraId="5AAB34C0" w14:textId="77777777" w:rsidR="00751A4A" w:rsidRPr="00957303" w:rsidRDefault="00D11A61" w:rsidP="0010095E">
            <w:pPr>
              <w:pStyle w:val="EPName"/>
            </w:pPr>
            <w:r w:rsidRPr="00957303">
              <w:t>Európai Parlament</w:t>
            </w:r>
          </w:p>
          <w:p w14:paraId="75139831" w14:textId="77777777" w:rsidR="00751A4A" w:rsidRPr="00957303" w:rsidRDefault="005F1B17" w:rsidP="005F1B17">
            <w:pPr>
              <w:pStyle w:val="EPTerm"/>
              <w:rPr>
                <w:rStyle w:val="HideTWBExt"/>
                <w:noProof w:val="0"/>
                <w:vanish w:val="0"/>
                <w:color w:val="auto"/>
              </w:rPr>
            </w:pPr>
            <w:r w:rsidRPr="00957303">
              <w:t>2024</w:t>
            </w:r>
            <w:r w:rsidR="00817416" w:rsidRPr="00957303">
              <w:t>-202</w:t>
            </w:r>
            <w:r w:rsidRPr="00957303">
              <w:t>9</w:t>
            </w:r>
          </w:p>
        </w:tc>
        <w:tc>
          <w:tcPr>
            <w:tcW w:w="2268" w:type="dxa"/>
            <w:shd w:val="clear" w:color="auto" w:fill="auto"/>
          </w:tcPr>
          <w:p w14:paraId="0BC285F7" w14:textId="77777777" w:rsidR="00751A4A" w:rsidRPr="00957303" w:rsidRDefault="00187494" w:rsidP="0010095E">
            <w:pPr>
              <w:pStyle w:val="EPLogo"/>
            </w:pPr>
            <w:r w:rsidRPr="00957303">
              <w:rPr>
                <w:noProof/>
                <w:lang w:eastAsia="ja-JP"/>
              </w:rPr>
              <w:drawing>
                <wp:inline distT="0" distB="0" distL="0" distR="0" wp14:anchorId="28E781B6" wp14:editId="5467EDD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2CECD2E" w14:textId="77777777" w:rsidR="00D058B8" w:rsidRPr="00957303" w:rsidRDefault="00D058B8" w:rsidP="004C5D52">
      <w:pPr>
        <w:pStyle w:val="LineTop"/>
      </w:pPr>
    </w:p>
    <w:p w14:paraId="02A24258" w14:textId="77777777" w:rsidR="00680577" w:rsidRPr="00957303" w:rsidRDefault="00D11A61" w:rsidP="00680577">
      <w:pPr>
        <w:pStyle w:val="EPBodyTA1"/>
      </w:pPr>
      <w:r w:rsidRPr="00957303">
        <w:t>ELFOGADOTT SZÖVEGEK</w:t>
      </w:r>
    </w:p>
    <w:p w14:paraId="25D7DB59" w14:textId="77777777" w:rsidR="00D058B8" w:rsidRPr="00957303" w:rsidRDefault="00D058B8" w:rsidP="00D058B8">
      <w:pPr>
        <w:pStyle w:val="LineBottom"/>
      </w:pPr>
    </w:p>
    <w:p w14:paraId="6506B3B5" w14:textId="68ACED1B" w:rsidR="00D11A61" w:rsidRPr="00957303" w:rsidRDefault="00D11A61" w:rsidP="00D11A61">
      <w:pPr>
        <w:pStyle w:val="ATHeading1"/>
      </w:pPr>
      <w:bookmarkStart w:id="0" w:name="TANumber"/>
      <w:r w:rsidRPr="00957303">
        <w:t>P10_</w:t>
      </w:r>
      <w:proofErr w:type="gramStart"/>
      <w:r w:rsidRPr="00957303">
        <w:t>TA(</w:t>
      </w:r>
      <w:proofErr w:type="gramEnd"/>
      <w:r w:rsidRPr="00957303">
        <w:t>2025)</w:t>
      </w:r>
      <w:bookmarkEnd w:id="0"/>
      <w:r w:rsidR="00957303" w:rsidRPr="00957303">
        <w:t>0242</w:t>
      </w:r>
    </w:p>
    <w:p w14:paraId="4D291772" w14:textId="3EB7B76A" w:rsidR="00D11A61" w:rsidRPr="00957303" w:rsidRDefault="00755593" w:rsidP="00D11A61">
      <w:pPr>
        <w:pStyle w:val="ATHeading2"/>
      </w:pPr>
      <w:bookmarkStart w:id="1" w:name="title"/>
      <w:r w:rsidRPr="00957303">
        <w:t>A digitális és fenntartható átállásra alkalmas termékekre vonatkozó új jogszabályi keret</w:t>
      </w:r>
      <w:bookmarkEnd w:id="1"/>
    </w:p>
    <w:p w14:paraId="3C755172" w14:textId="77777777" w:rsidR="00D11A61" w:rsidRPr="00957303" w:rsidRDefault="00D11A61" w:rsidP="00D11A61">
      <w:pPr>
        <w:rPr>
          <w:i/>
          <w:vanish/>
        </w:rPr>
      </w:pPr>
      <w:r w:rsidRPr="00957303">
        <w:rPr>
          <w:i/>
        </w:rPr>
        <w:fldChar w:fldCharType="begin"/>
      </w:r>
      <w:r w:rsidRPr="00957303">
        <w:rPr>
          <w:i/>
        </w:rPr>
        <w:instrText xml:space="preserve"> TC"(</w:instrText>
      </w:r>
      <w:bookmarkStart w:id="2" w:name="DocNumber"/>
      <w:r w:rsidRPr="00957303">
        <w:rPr>
          <w:i/>
        </w:rPr>
        <w:instrText>A10-0189/2025</w:instrText>
      </w:r>
      <w:bookmarkEnd w:id="2"/>
      <w:r w:rsidRPr="00957303">
        <w:rPr>
          <w:i/>
        </w:rPr>
        <w:instrText xml:space="preserve"> - Előadó: David Cormand)"\l3 \n&gt; \* MERGEFORMAT </w:instrText>
      </w:r>
      <w:r w:rsidRPr="00957303">
        <w:rPr>
          <w:i/>
        </w:rPr>
        <w:fldChar w:fldCharType="end"/>
      </w:r>
    </w:p>
    <w:p w14:paraId="7BC264DE" w14:textId="77777777" w:rsidR="00D11A61" w:rsidRPr="00957303" w:rsidRDefault="00D11A61" w:rsidP="00D11A61">
      <w:pPr>
        <w:rPr>
          <w:vanish/>
        </w:rPr>
      </w:pPr>
      <w:bookmarkStart w:id="3" w:name="Commission"/>
      <w:r w:rsidRPr="00957303">
        <w:rPr>
          <w:vanish/>
        </w:rPr>
        <w:t>Belső Piaci és Fogyasztóvédelmi Bizottság</w:t>
      </w:r>
      <w:bookmarkEnd w:id="3"/>
    </w:p>
    <w:p w14:paraId="6BA48C69" w14:textId="77777777" w:rsidR="00D11A61" w:rsidRPr="00957303" w:rsidRDefault="00D11A61" w:rsidP="00D11A61">
      <w:pPr>
        <w:rPr>
          <w:vanish/>
        </w:rPr>
      </w:pPr>
      <w:bookmarkStart w:id="4" w:name="PE"/>
      <w:r w:rsidRPr="00957303">
        <w:rPr>
          <w:vanish/>
        </w:rPr>
        <w:t>PE771.897</w:t>
      </w:r>
      <w:bookmarkEnd w:id="4"/>
    </w:p>
    <w:p w14:paraId="22AB8A6A" w14:textId="239CF3B8" w:rsidR="00D11A61" w:rsidRPr="00957303" w:rsidRDefault="00D11A61" w:rsidP="00D11A61">
      <w:pPr>
        <w:pStyle w:val="ATHeading3"/>
      </w:pPr>
      <w:bookmarkStart w:id="5" w:name="Sujet"/>
      <w:r w:rsidRPr="00957303">
        <w:t xml:space="preserve">Az Európai Parlament 2025. </w:t>
      </w:r>
      <w:r w:rsidR="00755593" w:rsidRPr="00957303">
        <w:t>október 2</w:t>
      </w:r>
      <w:r w:rsidR="00385C79" w:rsidRPr="00957303">
        <w:t>1</w:t>
      </w:r>
      <w:r w:rsidRPr="00957303">
        <w:t>-i állásfoglalása a digitális és fenntartható átállásra alkalmas termékekre vonatkozó új jogszabályi keretről</w:t>
      </w:r>
      <w:bookmarkEnd w:id="5"/>
      <w:r w:rsidRPr="00957303">
        <w:t xml:space="preserve"> </w:t>
      </w:r>
      <w:bookmarkStart w:id="6" w:name="References"/>
      <w:r w:rsidRPr="00957303">
        <w:t>(2024/2119(INI))</w:t>
      </w:r>
      <w:bookmarkEnd w:id="6"/>
    </w:p>
    <w:p w14:paraId="26A29403" w14:textId="77777777" w:rsidR="00456A70" w:rsidRPr="00957303" w:rsidRDefault="00456A70" w:rsidP="00456A70">
      <w:pPr>
        <w:pStyle w:val="EPComma"/>
      </w:pPr>
      <w:r w:rsidRPr="00957303">
        <w:rPr>
          <w:i/>
          <w:iCs/>
        </w:rPr>
        <w:t>Az Európai Parlament</w:t>
      </w:r>
      <w:r w:rsidRPr="00957303">
        <w:t>,</w:t>
      </w:r>
    </w:p>
    <w:p w14:paraId="4614F1C2" w14:textId="563E6355" w:rsidR="00456A70" w:rsidRPr="00957303" w:rsidRDefault="00456A70" w:rsidP="00755593">
      <w:pPr>
        <w:pStyle w:val="NormalHanging12a"/>
        <w:widowControl/>
      </w:pPr>
      <w:r w:rsidRPr="00957303">
        <w:t>–</w:t>
      </w:r>
      <w:r w:rsidRPr="00957303">
        <w:tab/>
        <w:t>tekintettel „Az egységes piac fennállásának 30. évfordulója: az elért eredmények és a jövőbeli fejlemények” című</w:t>
      </w:r>
      <w:r w:rsidR="00755593" w:rsidRPr="00957303">
        <w:t>,</w:t>
      </w:r>
      <w:r w:rsidRPr="00957303">
        <w:t xml:space="preserve"> 2023. január 18-i állásfoglalására</w:t>
      </w:r>
      <w:r w:rsidRPr="00957303">
        <w:rPr>
          <w:rStyle w:val="FootnoteReference"/>
        </w:rPr>
        <w:footnoteReference w:id="1"/>
      </w:r>
      <w:r w:rsidRPr="00957303">
        <w:t>,</w:t>
      </w:r>
    </w:p>
    <w:p w14:paraId="2C8B81EF" w14:textId="684A72FB" w:rsidR="00456A70" w:rsidRPr="00957303" w:rsidRDefault="00456A70" w:rsidP="00755593">
      <w:pPr>
        <w:pStyle w:val="NormalHanging12a"/>
        <w:widowControl/>
      </w:pPr>
      <w:r w:rsidRPr="00957303">
        <w:t>–</w:t>
      </w:r>
      <w:r w:rsidRPr="00957303">
        <w:tab/>
        <w:t>tekintettel a belső piac régi kihívásairól és új kereskedelmi gyakorlatairól szóló</w:t>
      </w:r>
      <w:r w:rsidR="00755593" w:rsidRPr="00957303">
        <w:t>,</w:t>
      </w:r>
      <w:r w:rsidRPr="00957303">
        <w:t xml:space="preserve"> 2025. május 8-i állásfoglalására</w:t>
      </w:r>
      <w:bookmarkStart w:id="7" w:name="_Hlk210640607"/>
      <w:r w:rsidRPr="00957303">
        <w:rPr>
          <w:rStyle w:val="FootnoteReference"/>
        </w:rPr>
        <w:footnoteReference w:id="2"/>
      </w:r>
      <w:bookmarkEnd w:id="7"/>
      <w:r w:rsidRPr="00957303">
        <w:t>,</w:t>
      </w:r>
    </w:p>
    <w:p w14:paraId="7F047B39" w14:textId="77777777" w:rsidR="00456A70" w:rsidRPr="00957303" w:rsidRDefault="00456A70" w:rsidP="00755593">
      <w:pPr>
        <w:pStyle w:val="NormalHanging12a"/>
        <w:widowControl/>
      </w:pPr>
      <w:r w:rsidRPr="00957303">
        <w:t>–</w:t>
      </w:r>
      <w:r w:rsidRPr="00957303">
        <w:tab/>
        <w:t>tekintettel a Bizottság 2025. évi munkaprogramjára (</w:t>
      </w:r>
      <w:proofErr w:type="gramStart"/>
      <w:r w:rsidRPr="00957303">
        <w:t>COM(</w:t>
      </w:r>
      <w:proofErr w:type="gramEnd"/>
      <w:r w:rsidRPr="00957303">
        <w:t>2025)0045),</w:t>
      </w:r>
    </w:p>
    <w:p w14:paraId="69F82BE5" w14:textId="77777777" w:rsidR="00456A70" w:rsidRPr="00957303" w:rsidRDefault="00456A70" w:rsidP="00755593">
      <w:pPr>
        <w:pStyle w:val="NormalHanging12a"/>
        <w:widowControl/>
      </w:pPr>
      <w:r w:rsidRPr="00957303">
        <w:t>–</w:t>
      </w:r>
      <w:r w:rsidRPr="00957303">
        <w:tab/>
        <w:t>tekintettel az új jogalkotási keretről szóló bizottsági értékelésre (NLF) (</w:t>
      </w:r>
      <w:proofErr w:type="gramStart"/>
      <w:r w:rsidRPr="00957303">
        <w:t>SWD(</w:t>
      </w:r>
      <w:proofErr w:type="gramEnd"/>
      <w:r w:rsidRPr="00957303">
        <w:t>2022)0365),</w:t>
      </w:r>
    </w:p>
    <w:p w14:paraId="70B8E97F" w14:textId="77777777" w:rsidR="00456A70" w:rsidRPr="00957303" w:rsidRDefault="00456A70" w:rsidP="00755593">
      <w:pPr>
        <w:pStyle w:val="NormalHanging12a"/>
        <w:widowControl/>
      </w:pPr>
      <w:r w:rsidRPr="00957303">
        <w:t>–</w:t>
      </w:r>
      <w:r w:rsidRPr="00957303">
        <w:tab/>
        <w:t>tekintettel a termékek forgalmazása tekintetében az akkreditálás és piacfelügyelet előírásainak megállapításáról és a 339/93/EGK rendelet hatályon kívül helyezéséről szóló, 2008. július 9-i 765/2008/EK európai parlamenti és tanácsi rendeletre</w:t>
      </w:r>
      <w:r w:rsidRPr="00957303">
        <w:rPr>
          <w:rStyle w:val="FootnoteReference"/>
        </w:rPr>
        <w:footnoteReference w:id="3"/>
      </w:r>
      <w:r w:rsidRPr="00957303">
        <w:t>,</w:t>
      </w:r>
    </w:p>
    <w:p w14:paraId="00E2B044" w14:textId="77777777" w:rsidR="00456A70" w:rsidRPr="00957303" w:rsidRDefault="00456A70" w:rsidP="00755593">
      <w:pPr>
        <w:pStyle w:val="NormalHanging12a"/>
        <w:widowControl/>
      </w:pPr>
      <w:r w:rsidRPr="00957303">
        <w:t>–</w:t>
      </w:r>
      <w:r w:rsidRPr="00957303">
        <w:tab/>
        <w:t>tekintettel a termékek forgalomba hozatalának közös keretrendszeréről, valamint a 93/465/EGK tanácsi határozat hatályon kívül helyezéséről szóló, 2008. július 9-i 768/2008/EK európai parlamenti és tanácsi határozatra</w:t>
      </w:r>
      <w:r w:rsidRPr="00957303">
        <w:rPr>
          <w:rStyle w:val="FootnoteReference"/>
        </w:rPr>
        <w:footnoteReference w:id="4"/>
      </w:r>
      <w:r w:rsidRPr="00957303">
        <w:t>,</w:t>
      </w:r>
    </w:p>
    <w:p w14:paraId="1390CF63" w14:textId="77777777" w:rsidR="00456A70" w:rsidRPr="00957303" w:rsidRDefault="00456A70" w:rsidP="00755593">
      <w:pPr>
        <w:pStyle w:val="NormalHanging12a"/>
        <w:widowControl/>
      </w:pPr>
      <w:r w:rsidRPr="00957303">
        <w:t>–</w:t>
      </w:r>
      <w:r w:rsidRPr="00957303">
        <w:tab/>
        <w:t>tekintettel a piacfelügyeletről és a termékek megfelelőségéről, valamint a 2004/42/EK irányelv, továbbá a 765/2008/EK és a 305/2011/EU rendelet módosításáról szóló, 2019. június 20-i (EU) 2019/1020 európai parlamenti és tanácsi rendeletre</w:t>
      </w:r>
      <w:r w:rsidRPr="00957303">
        <w:rPr>
          <w:rStyle w:val="FootnoteReference"/>
        </w:rPr>
        <w:footnoteReference w:id="5"/>
      </w:r>
      <w:r w:rsidRPr="00957303">
        <w:t xml:space="preserve"> (MSR),</w:t>
      </w:r>
    </w:p>
    <w:p w14:paraId="3570C2A9" w14:textId="77777777" w:rsidR="00456A70" w:rsidRPr="00957303" w:rsidRDefault="00456A70" w:rsidP="00755593">
      <w:pPr>
        <w:pStyle w:val="NormalHanging12a"/>
        <w:widowControl/>
      </w:pPr>
      <w:r w:rsidRPr="00957303">
        <w:lastRenderedPageBreak/>
        <w:t>–</w:t>
      </w:r>
      <w:r w:rsidRPr="00957303">
        <w:tab/>
        <w:t>tekintettel a Bizottság „Átfogó uniós eszköztár a biztonságos és fenntartható e-kereskedelem érdekében” című, 2025. február 5-i közleményére (</w:t>
      </w:r>
      <w:proofErr w:type="gramStart"/>
      <w:r w:rsidRPr="00957303">
        <w:t>COM(</w:t>
      </w:r>
      <w:proofErr w:type="gramEnd"/>
      <w:r w:rsidRPr="00957303">
        <w:t>2025)0037),</w:t>
      </w:r>
    </w:p>
    <w:p w14:paraId="41E8AD7E" w14:textId="4C6465DC" w:rsidR="00456A70" w:rsidRPr="00957303" w:rsidRDefault="00456A70" w:rsidP="00755593">
      <w:pPr>
        <w:pStyle w:val="NormalHanging12a"/>
        <w:widowControl/>
      </w:pPr>
      <w:r w:rsidRPr="00957303">
        <w:t>–</w:t>
      </w:r>
      <w:r w:rsidRPr="00957303">
        <w:tab/>
        <w:t>tekintettel az Uniós Vámkódexnek és az Európai Unió vámhatóságának a létrehozásáról, valamint a 952/2013/EU rendelet hatályon kívül helyezéséről szóló</w:t>
      </w:r>
      <w:r w:rsidR="00755593" w:rsidRPr="00957303">
        <w:t>,</w:t>
      </w:r>
      <w:r w:rsidRPr="00957303">
        <w:t xml:space="preserve"> 2023. május 17-i rendeletre irányuló javaslatra (</w:t>
      </w:r>
      <w:proofErr w:type="gramStart"/>
      <w:r w:rsidRPr="00957303">
        <w:t>COM(</w:t>
      </w:r>
      <w:proofErr w:type="gramEnd"/>
      <w:r w:rsidRPr="00957303">
        <w:t>2023)0258),</w:t>
      </w:r>
    </w:p>
    <w:p w14:paraId="16547FB6" w14:textId="77777777" w:rsidR="00456A70" w:rsidRPr="00957303" w:rsidRDefault="00456A70" w:rsidP="00755593">
      <w:pPr>
        <w:pStyle w:val="NormalHanging12a"/>
        <w:widowControl/>
        <w:rPr>
          <w:bCs/>
          <w:iCs/>
        </w:rPr>
      </w:pPr>
      <w:r w:rsidRPr="00957303">
        <w:t>–</w:t>
      </w:r>
      <w:r w:rsidRPr="00957303">
        <w:tab/>
        <w:t>tekintettel a „Versenyképességi iránytű az EU számára” című, 2025. január 29-i bizottsági közleményre (</w:t>
      </w:r>
      <w:proofErr w:type="gramStart"/>
      <w:r w:rsidRPr="00957303">
        <w:t>COM(</w:t>
      </w:r>
      <w:proofErr w:type="gramEnd"/>
      <w:r w:rsidRPr="00957303">
        <w:t xml:space="preserve">2025)0030), </w:t>
      </w:r>
    </w:p>
    <w:p w14:paraId="42B420CA" w14:textId="47851679" w:rsidR="00456A70" w:rsidRPr="00957303" w:rsidRDefault="00456A70" w:rsidP="00755593">
      <w:pPr>
        <w:pStyle w:val="NormalHanging12a"/>
        <w:widowControl/>
        <w:rPr>
          <w:bCs/>
          <w:iCs/>
        </w:rPr>
      </w:pPr>
      <w:r w:rsidRPr="00957303">
        <w:t>–</w:t>
      </w:r>
      <w:r w:rsidRPr="00957303">
        <w:tab/>
        <w:t>tekintettel az európai szabványosításról, a 89/686/EGK és a 93/15/EGK tanácsi irányelv, a 94/9/EK, a 94/25/EK, a 95/16/EK, a 97/23/EK, a 98/34/EK, a 2004/22/EK, a 2007/23/EK, a 2009/23/EK és a 2009/105/EK európai parlamenti és tanácsi irányelv módosításáról, valamint a 87/95/EGK tanácsi határozat és az 1673/2006/EK európai parlamenti és tanácsi határozat hatályon kívül helyezéséről szóló, 2012. október 25-i 1025/2012/EU európai parlamenti és tanácsi rendeletre</w:t>
      </w:r>
      <w:r w:rsidRPr="00957303">
        <w:rPr>
          <w:rStyle w:val="FootnoteReference"/>
          <w:bCs/>
          <w:iCs/>
        </w:rPr>
        <w:footnoteReference w:id="6"/>
      </w:r>
      <w:r w:rsidRPr="00957303">
        <w:t xml:space="preserve"> (a szabványosításról szóló rendelet),</w:t>
      </w:r>
    </w:p>
    <w:p w14:paraId="135ABDA7" w14:textId="77777777" w:rsidR="00456A70" w:rsidRPr="00957303" w:rsidRDefault="00456A70" w:rsidP="00755593">
      <w:pPr>
        <w:pStyle w:val="NormalHanging12a"/>
        <w:widowControl/>
        <w:rPr>
          <w:bCs/>
          <w:iCs/>
        </w:rPr>
      </w:pPr>
      <w:r w:rsidRPr="00957303">
        <w:t>–</w:t>
      </w:r>
      <w:r w:rsidRPr="00957303">
        <w:tab/>
        <w:t>tekintettel a hibás termékekért való felelősségről és a 85/374/EGK tanácsi irányelv hatályon kívül helyezéséről szóló, 2024. október 23-i (EU) 2024/2853 európai parlamenti és tanácsi irányelvre</w:t>
      </w:r>
      <w:r w:rsidRPr="00957303">
        <w:rPr>
          <w:rStyle w:val="FootnoteReference"/>
          <w:bCs/>
          <w:iCs/>
        </w:rPr>
        <w:footnoteReference w:id="7"/>
      </w:r>
      <w:r w:rsidRPr="00957303">
        <w:t xml:space="preserve"> (a termékfelelősségről szóló irányelv),</w:t>
      </w:r>
    </w:p>
    <w:p w14:paraId="1B2A6219" w14:textId="77777777" w:rsidR="00456A70" w:rsidRPr="00957303" w:rsidRDefault="00456A70" w:rsidP="00755593">
      <w:pPr>
        <w:pStyle w:val="NormalHanging12a"/>
        <w:widowControl/>
        <w:rPr>
          <w:bCs/>
          <w:iCs/>
        </w:rPr>
      </w:pPr>
      <w:r w:rsidRPr="00957303">
        <w:t>–</w:t>
      </w:r>
      <w:r w:rsidRPr="00957303">
        <w:tab/>
        <w:t>tekintettel az áruk adásvételére irányuló szerződések egyes vonatkozásairól, az (EU) 2017/2394 rendelet és a 2009/22/EK irányelv módosításáról, valamint az 1999/44/EK irányelv hatályon kívül helyezéséről szóló, 2019. május 20-i (EU) 2019/771 európai parlamenti és tanácsi irányelvre</w:t>
      </w:r>
      <w:r w:rsidRPr="00957303">
        <w:rPr>
          <w:rStyle w:val="FootnoteReference"/>
          <w:bCs/>
          <w:iCs/>
        </w:rPr>
        <w:footnoteReference w:id="8"/>
      </w:r>
      <w:r w:rsidRPr="00957303">
        <w:t>,</w:t>
      </w:r>
    </w:p>
    <w:p w14:paraId="440215ED" w14:textId="77777777" w:rsidR="00456A70" w:rsidRPr="00957303" w:rsidRDefault="00456A70" w:rsidP="00755593">
      <w:pPr>
        <w:pStyle w:val="NormalHanging12a"/>
        <w:widowControl/>
        <w:rPr>
          <w:bCs/>
          <w:iCs/>
        </w:rPr>
      </w:pPr>
      <w:r w:rsidRPr="00957303">
        <w:t>–</w:t>
      </w:r>
      <w:r w:rsidRPr="00957303">
        <w:tab/>
        <w:t>tekintettel a Bizottságnak „Az európai zöld megállapodás” című, 2019. december 11-i közleményére (</w:t>
      </w:r>
      <w:proofErr w:type="gramStart"/>
      <w:r w:rsidRPr="00957303">
        <w:t>COM(</w:t>
      </w:r>
      <w:proofErr w:type="gramEnd"/>
      <w:r w:rsidRPr="00957303">
        <w:t>2019)0640),</w:t>
      </w:r>
    </w:p>
    <w:p w14:paraId="1F0FEB75" w14:textId="77777777" w:rsidR="00456A70" w:rsidRPr="00957303" w:rsidRDefault="00456A70" w:rsidP="00755593">
      <w:pPr>
        <w:pStyle w:val="NormalHanging12a"/>
        <w:widowControl/>
        <w:rPr>
          <w:bCs/>
          <w:iCs/>
        </w:rPr>
      </w:pPr>
      <w:r w:rsidRPr="00957303">
        <w:t>–</w:t>
      </w:r>
      <w:r w:rsidRPr="00957303">
        <w:tab/>
        <w:t>tekintettel az áruk javítását előmozdító közös szabályok meghatározásáról, valamint az (EU) 2017/2394 rendelet, továbbá az (EU) 2019/771 és az (EU) 2020/1828 irányelv módosításáról szóló, 2024. június 13-i (EU) 2024/1799 európai parlamenti és tanácsi irányelvre</w:t>
      </w:r>
      <w:r w:rsidRPr="00957303">
        <w:rPr>
          <w:rStyle w:val="FootnoteReference"/>
          <w:bCs/>
          <w:iCs/>
        </w:rPr>
        <w:footnoteReference w:id="9"/>
      </w:r>
      <w:r w:rsidRPr="00957303">
        <w:t>,</w:t>
      </w:r>
    </w:p>
    <w:p w14:paraId="40C8B07C" w14:textId="77777777" w:rsidR="00456A70" w:rsidRPr="00957303" w:rsidRDefault="00456A70" w:rsidP="00755593">
      <w:pPr>
        <w:pStyle w:val="NormalHanging12a"/>
        <w:widowControl/>
        <w:rPr>
          <w:bCs/>
          <w:iCs/>
        </w:rPr>
      </w:pPr>
      <w:r w:rsidRPr="00957303">
        <w:t>–</w:t>
      </w:r>
      <w:r w:rsidRPr="00957303">
        <w:tab/>
        <w:t>tekintettel a fogyasztóvédelmi jogszabályok végrehajtásáért felelős nemzeti hatóságok közötti együttműködésről és a 2006/2004/EK rendelet hatályon kívül helyezéséről szóló, 2017. december 12-i (EU) 2017/2394 európai parlamenti és tanácsi rendeletre</w:t>
      </w:r>
      <w:r w:rsidRPr="00957303">
        <w:rPr>
          <w:rStyle w:val="FootnoteReference"/>
          <w:bCs/>
          <w:iCs/>
        </w:rPr>
        <w:footnoteReference w:id="10"/>
      </w:r>
      <w:r w:rsidRPr="00957303">
        <w:t xml:space="preserve"> (fogyasztóvédelmi együttműködésről szóló rendelet),</w:t>
      </w:r>
    </w:p>
    <w:p w14:paraId="6E275BBD" w14:textId="77777777" w:rsidR="00456A70" w:rsidRPr="00957303" w:rsidRDefault="00456A70" w:rsidP="00755593">
      <w:pPr>
        <w:pStyle w:val="NormalHanging12a"/>
        <w:widowControl/>
        <w:rPr>
          <w:bCs/>
          <w:iCs/>
        </w:rPr>
      </w:pPr>
      <w:r w:rsidRPr="00957303">
        <w:t>–</w:t>
      </w:r>
      <w:r w:rsidRPr="00957303">
        <w:tab/>
        <w:t>tekintettel a fogyasztók kollektív érdekeinek védelmére irányuló képviseleti keresetekről és a 2009/22/EK irányelv hatályon kívül helyezéséről szóló, 2020. november 25-i (EU) 2020/1828 európai parlamenti és tanácsi irányelvre</w:t>
      </w:r>
      <w:r w:rsidRPr="00957303">
        <w:rPr>
          <w:rStyle w:val="FootnoteReference"/>
          <w:bCs/>
          <w:iCs/>
        </w:rPr>
        <w:footnoteReference w:id="11"/>
      </w:r>
      <w:r w:rsidRPr="00957303">
        <w:t>,</w:t>
      </w:r>
    </w:p>
    <w:p w14:paraId="76F74191" w14:textId="77777777" w:rsidR="00456A70" w:rsidRPr="00957303" w:rsidRDefault="00456A70" w:rsidP="00755593">
      <w:pPr>
        <w:pStyle w:val="NormalHanging12a"/>
        <w:widowControl/>
        <w:rPr>
          <w:bCs/>
          <w:iCs/>
        </w:rPr>
      </w:pPr>
      <w:r w:rsidRPr="00957303">
        <w:lastRenderedPageBreak/>
        <w:t>–</w:t>
      </w:r>
      <w:r w:rsidRPr="00957303">
        <w:tab/>
        <w:t>tekintettel „A termékekre vonatkozó uniós szabályok végrehajtásáról szóló 2022. évi „kék útmutató”” című, 2022. június 29-i bizottsági közleményre</w:t>
      </w:r>
      <w:r w:rsidRPr="00957303">
        <w:rPr>
          <w:rStyle w:val="FootnoteReference"/>
          <w:bCs/>
          <w:iCs/>
        </w:rPr>
        <w:footnoteReference w:id="12"/>
      </w:r>
      <w:r w:rsidRPr="00957303">
        <w:t>,</w:t>
      </w:r>
    </w:p>
    <w:p w14:paraId="069B44B3" w14:textId="77777777" w:rsidR="00456A70" w:rsidRPr="00957303" w:rsidRDefault="00456A70" w:rsidP="00755593">
      <w:pPr>
        <w:pStyle w:val="NormalHanging12a"/>
        <w:widowControl/>
        <w:rPr>
          <w:bCs/>
          <w:iCs/>
        </w:rPr>
      </w:pPr>
      <w:r w:rsidRPr="00957303">
        <w:t>–</w:t>
      </w:r>
      <w:r w:rsidRPr="00957303">
        <w:tab/>
        <w:t>tekintettel „A digitális méltányosságra vonatkozó uniós fogyasztóvédelmi jog célravezetőségi vizsgálatának vezetői összefoglalója” című bizottsági szolgálati munkadokumentumra (</w:t>
      </w:r>
      <w:proofErr w:type="gramStart"/>
      <w:r w:rsidRPr="00957303">
        <w:t>SWD(</w:t>
      </w:r>
      <w:proofErr w:type="gramEnd"/>
      <w:r w:rsidRPr="00957303">
        <w:t>2024)0231),</w:t>
      </w:r>
    </w:p>
    <w:p w14:paraId="0DA74599" w14:textId="77777777" w:rsidR="00456A70" w:rsidRPr="00957303" w:rsidRDefault="00456A70" w:rsidP="00755593">
      <w:pPr>
        <w:pStyle w:val="NormalHanging12a"/>
        <w:widowControl/>
        <w:rPr>
          <w:bCs/>
          <w:iCs/>
        </w:rPr>
      </w:pPr>
      <w:r w:rsidRPr="00957303">
        <w:t>–</w:t>
      </w:r>
      <w:r w:rsidRPr="00957303">
        <w:tab/>
        <w:t>tekintettel a digitális szolgáltatások egységes piacáról és a 2000/31/EK irányelv módosításáról szóló, 2022. október 19-i (EU) 2022/2065 európai parlamenti és tanácsi rendeletre (digitális szolgáltatásokról szóló rendelet)</w:t>
      </w:r>
      <w:r w:rsidRPr="00957303">
        <w:rPr>
          <w:rStyle w:val="FootnoteReference"/>
          <w:bCs/>
          <w:iCs/>
        </w:rPr>
        <w:footnoteReference w:id="13"/>
      </w:r>
      <w:r w:rsidRPr="00957303">
        <w:t>,</w:t>
      </w:r>
    </w:p>
    <w:p w14:paraId="6525A565" w14:textId="77777777" w:rsidR="00456A70" w:rsidRPr="00957303" w:rsidRDefault="00456A70" w:rsidP="00755593">
      <w:pPr>
        <w:pStyle w:val="NormalHanging12a"/>
        <w:widowControl/>
        <w:rPr>
          <w:bCs/>
          <w:iCs/>
        </w:rPr>
      </w:pPr>
      <w:r w:rsidRPr="00957303">
        <w:t>–</w:t>
      </w:r>
      <w:r w:rsidRPr="00957303">
        <w:tab/>
        <w:t>tekintettel a digitális ágazat vonatkozásában a versengő és tisztességes piacokról, valamint az (EU) 2019/1937 és az (EU) 2020/1828 irányelv módosításáról szóló, 2022. szeptember 14-i (EU) 2022/1925 európai parlamenti és tanácsi rendeletre (digitális piacokról szóló jogszabály)</w:t>
      </w:r>
      <w:r w:rsidRPr="00957303">
        <w:rPr>
          <w:rStyle w:val="FootnoteReference"/>
          <w:bCs/>
          <w:iCs/>
        </w:rPr>
        <w:footnoteReference w:id="14"/>
      </w:r>
      <w:r w:rsidRPr="00957303">
        <w:t>,</w:t>
      </w:r>
    </w:p>
    <w:p w14:paraId="7046F0F9" w14:textId="77777777" w:rsidR="00456A70" w:rsidRPr="00957303" w:rsidRDefault="00456A70" w:rsidP="00755593">
      <w:pPr>
        <w:pStyle w:val="NormalHanging12a"/>
        <w:widowControl/>
        <w:rPr>
          <w:bCs/>
          <w:iCs/>
        </w:rPr>
      </w:pPr>
      <w:r w:rsidRPr="00957303">
        <w:t>–</w:t>
      </w:r>
      <w:r w:rsidRPr="00957303">
        <w:tab/>
        <w:t>tekintettel „A tisztább és versenyképesebb Európát szolgáló, körforgásos gazdaságra vonatkozó új cselekvési terv” című, 2020. március 11-i bizottsági közleményre (</w:t>
      </w:r>
      <w:proofErr w:type="gramStart"/>
      <w:r w:rsidRPr="00957303">
        <w:t>COM(</w:t>
      </w:r>
      <w:proofErr w:type="gramEnd"/>
      <w:r w:rsidRPr="00957303">
        <w:t>2020)0098),</w:t>
      </w:r>
    </w:p>
    <w:p w14:paraId="6C978620" w14:textId="77777777" w:rsidR="00456A70" w:rsidRPr="00957303" w:rsidRDefault="00456A70" w:rsidP="00755593">
      <w:pPr>
        <w:pStyle w:val="NormalHanging12a"/>
        <w:widowControl/>
        <w:rPr>
          <w:bCs/>
          <w:iCs/>
        </w:rPr>
      </w:pPr>
      <w:r w:rsidRPr="00957303">
        <w:t>–</w:t>
      </w:r>
      <w:r w:rsidRPr="00957303">
        <w:tab/>
        <w:t>tekintettel a fenntartható termékek környezettudatos tervezésére vonatkozó követelmények megállapítási keretének létrehozásáról, az (EU) 2020/1828 irányelv és az (EU) 2023/1542 rendelet módosításáról, valamint a 2009/125/EK irányelv hatályon kívül helyezéséről szóló, 2024. június 13-i (EU) 2024/1781 európai parlamenti és tanácsi rendeletre</w:t>
      </w:r>
      <w:r w:rsidRPr="00957303">
        <w:rPr>
          <w:rStyle w:val="FootnoteReference"/>
          <w:bCs/>
          <w:iCs/>
        </w:rPr>
        <w:footnoteReference w:id="15"/>
      </w:r>
      <w:r w:rsidRPr="00957303">
        <w:t xml:space="preserve"> (a fenntartható termékek környezettudatos tervezéséről szóló rendelet),</w:t>
      </w:r>
    </w:p>
    <w:p w14:paraId="0C017BA1" w14:textId="77777777" w:rsidR="00456A70" w:rsidRPr="00957303" w:rsidRDefault="00456A70" w:rsidP="00755593">
      <w:pPr>
        <w:pStyle w:val="NormalHanging12a"/>
        <w:widowControl/>
        <w:rPr>
          <w:bCs/>
          <w:iCs/>
        </w:rPr>
      </w:pPr>
      <w:r w:rsidRPr="00957303">
        <w:t>–</w:t>
      </w:r>
      <w:r w:rsidRPr="00957303">
        <w:tab/>
        <w:t>tekintettel az elektromos és elektronikus berendezések hulladékairól (e-hulladék) szóló, 2012. július 4-i 2012/19/EU európai parlamenti és tanácsi irányelvre</w:t>
      </w:r>
      <w:r w:rsidRPr="00957303">
        <w:rPr>
          <w:rStyle w:val="FootnoteReference"/>
          <w:bCs/>
          <w:iCs/>
        </w:rPr>
        <w:footnoteReference w:id="16"/>
      </w:r>
      <w:r w:rsidRPr="00957303">
        <w:t>,</w:t>
      </w:r>
    </w:p>
    <w:p w14:paraId="2FF088A9" w14:textId="77777777" w:rsidR="00456A70" w:rsidRPr="00957303" w:rsidRDefault="00456A70" w:rsidP="00755593">
      <w:pPr>
        <w:pStyle w:val="NormalHanging12a"/>
        <w:widowControl/>
      </w:pPr>
      <w:r w:rsidRPr="00957303">
        <w:t>–</w:t>
      </w:r>
      <w:r w:rsidRPr="00957303">
        <w:tab/>
        <w:t>tekintettel eljárási szabályzata 55. cikkére,</w:t>
      </w:r>
    </w:p>
    <w:p w14:paraId="39B78593" w14:textId="77777777" w:rsidR="00456A70" w:rsidRPr="00957303" w:rsidRDefault="00456A70" w:rsidP="00755593">
      <w:pPr>
        <w:pStyle w:val="NormalHanging12a"/>
        <w:widowControl/>
      </w:pPr>
      <w:r w:rsidRPr="00957303">
        <w:t>–</w:t>
      </w:r>
      <w:r w:rsidRPr="00957303">
        <w:tab/>
        <w:t>tekintettel a Belső Piaci és Fogyasztóvédelmi Bizottság jelentésére (A10-0189/2025),</w:t>
      </w:r>
    </w:p>
    <w:p w14:paraId="508C2B7F" w14:textId="77777777" w:rsidR="00456A70" w:rsidRPr="00957303" w:rsidRDefault="00456A70" w:rsidP="00755593">
      <w:pPr>
        <w:pStyle w:val="NormalHanging12a"/>
        <w:widowControl/>
        <w:rPr>
          <w:snapToGrid w:val="0"/>
        </w:rPr>
      </w:pPr>
      <w:r w:rsidRPr="00957303">
        <w:t>A.</w:t>
      </w:r>
      <w:r w:rsidRPr="00957303">
        <w:tab/>
      </w:r>
      <w:r w:rsidRPr="00957303">
        <w:rPr>
          <w:snapToGrid w:val="0"/>
        </w:rPr>
        <w:t xml:space="preserve">mivel az </w:t>
      </w:r>
      <w:r w:rsidRPr="00957303">
        <w:t xml:space="preserve">új jogszabályi </w:t>
      </w:r>
      <w:r w:rsidRPr="00957303">
        <w:rPr>
          <w:snapToGrid w:val="0"/>
        </w:rPr>
        <w:t>keret javította a termékekre vonatkozó jogszabályok következetességét és hatékonyságát az egységes piacon a gazdasági szereplőkre vonatkozó harmonizált</w:t>
      </w:r>
      <w:r w:rsidRPr="00957303">
        <w:t xml:space="preserve"> fogalommeghatározások és e szereplők kötelezettségei, a </w:t>
      </w:r>
      <w:r w:rsidRPr="00957303">
        <w:rPr>
          <w:snapToGrid w:val="0"/>
        </w:rPr>
        <w:t>megfelelőségértékelések, a piacfelügyelet és a bejelentett szervezetek akkreditációja,</w:t>
      </w:r>
      <w:r w:rsidRPr="00957303">
        <w:t xml:space="preserve"> valamint a termékekre vonatkozó uniós jogszabályoknak való megfelelést igazoló harmonizált szabványok önkéntes alkalmazása révén;</w:t>
      </w:r>
    </w:p>
    <w:p w14:paraId="2C6D91D6" w14:textId="77777777" w:rsidR="00456A70" w:rsidRPr="00957303" w:rsidRDefault="00456A70" w:rsidP="00755593">
      <w:pPr>
        <w:pStyle w:val="NormalHanging12a"/>
        <w:widowControl/>
        <w:rPr>
          <w:bCs/>
          <w:iCs/>
        </w:rPr>
      </w:pPr>
      <w:r w:rsidRPr="00957303">
        <w:t>B.</w:t>
      </w:r>
      <w:r w:rsidRPr="00957303">
        <w:tab/>
        <w:t xml:space="preserve">mivel az új jogszabályi keret hatékony eszköznek bizonyult az európai versenyképesség előmozdításában, és bevezetése fontos előrelépést jelent a „régi megközelítés” irányából az „új megközelítés” felé; mivel az alapvető követelményekre összpontosít és olyan rugalmas szabályozási környezetet tesz lehetővé, amely az európai szabványosítási rendszeren belüli erős, a köz- és magánszféra közötti partnerség révén előmozdítja az </w:t>
      </w:r>
      <w:r w:rsidRPr="00957303">
        <w:lastRenderedPageBreak/>
        <w:t>innovációt és a fenntartható fejlődést annak biztosítása érdekében, hogy csak a követelményeknek megfelelő termékek kerüljenek forgalomba;</w:t>
      </w:r>
    </w:p>
    <w:p w14:paraId="02808B66" w14:textId="77777777" w:rsidR="00456A70" w:rsidRPr="00957303" w:rsidRDefault="00456A70" w:rsidP="00755593">
      <w:pPr>
        <w:pStyle w:val="NormalHanging12a"/>
        <w:widowControl/>
        <w:rPr>
          <w:bCs/>
          <w:iCs/>
        </w:rPr>
      </w:pPr>
      <w:r w:rsidRPr="00957303">
        <w:t>C.</w:t>
      </w:r>
      <w:r w:rsidRPr="00957303">
        <w:tab/>
        <w:t>mivel az új jogszabályi keret 2022. évi értékelése értékes lehetőséget kínál arra, hogy megállapításait beépítsék a felülvizsgálati folyamatba, biztosítva, hogy az uniós szabályozási keret továbbra is hozzáigazítható legyen a technológiai fejlődéshez, a digitalizációhoz, a fenntarthatósághoz és a változó piaci igényekhez; mivel az új jogszabályi keret felülvizsgálati folyamata értékes lehetőséget kínál eredményességének, hatékonyságának és relevanciájának értékelésére, különös tekintettel a Parlament prioritásaira, többek között a társadalmi befogadásra, a környezeti felelősségvállalásra, a termékbiztonságra és a termékmegfelelésre, a versenyképességre, a szükségtelen adminisztratív terhek csökkentésére és az egységes piac megerősítésére;</w:t>
      </w:r>
    </w:p>
    <w:p w14:paraId="18707491" w14:textId="77777777" w:rsidR="00456A70" w:rsidRPr="00957303" w:rsidRDefault="00456A70" w:rsidP="00755593">
      <w:pPr>
        <w:pStyle w:val="NormalHanging12a"/>
        <w:widowControl/>
        <w:rPr>
          <w:bCs/>
          <w:iCs/>
        </w:rPr>
      </w:pPr>
      <w:r w:rsidRPr="00957303">
        <w:t>D.</w:t>
      </w:r>
      <w:r w:rsidRPr="00957303">
        <w:tab/>
        <w:t>mivel az új jogszabályi keret egységes szabályrendszert hoz létre annak biztosítása érdekében, hogy az uniós piacon forgalomba hozott termékek következetes biztonsági és minőségi előírásoknak feleljenek meg, hozzájárulva a tagállamokban elismert magas szintű fogyasztóvédelemhez;</w:t>
      </w:r>
    </w:p>
    <w:p w14:paraId="2D348E1C" w14:textId="77777777" w:rsidR="00456A70" w:rsidRPr="00957303" w:rsidRDefault="00456A70" w:rsidP="00755593">
      <w:pPr>
        <w:pStyle w:val="NormalHanging12a"/>
        <w:widowControl/>
        <w:rPr>
          <w:bCs/>
          <w:iCs/>
        </w:rPr>
      </w:pPr>
      <w:r w:rsidRPr="00957303">
        <w:t>E.</w:t>
      </w:r>
      <w:r w:rsidRPr="00957303">
        <w:tab/>
        <w:t xml:space="preserve">mivel az új jogszabályi keret az európai szabványosítási rendszer elemeként fontos szerepet játszik az európai ipar </w:t>
      </w:r>
      <w:bookmarkStart w:id="8" w:name="_Hlk203393315"/>
      <w:r w:rsidRPr="00957303">
        <w:t>versenyképességében is azáltal, hogy előmozdítja az innovációt</w:t>
      </w:r>
      <w:bookmarkEnd w:id="8"/>
      <w:r w:rsidRPr="00957303">
        <w:t>, ösztönzi a műszaki szakértők önkéntes hozzájárulását, és biztonságos és élvonalbeli technológiákat vezet be az EU egységes piacára;</w:t>
      </w:r>
    </w:p>
    <w:p w14:paraId="543C91D3" w14:textId="77777777" w:rsidR="00456A70" w:rsidRPr="00957303" w:rsidRDefault="00456A70" w:rsidP="00755593">
      <w:pPr>
        <w:pStyle w:val="NormalHanging12a"/>
        <w:widowControl/>
        <w:rPr>
          <w:bCs/>
          <w:iCs/>
        </w:rPr>
      </w:pPr>
      <w:r w:rsidRPr="00957303">
        <w:t>F.</w:t>
      </w:r>
      <w:r w:rsidRPr="00957303">
        <w:tab/>
        <w:t xml:space="preserve">mivel a termékekre vonatkozó jogszabályok korszerűsítése – különösen a digitalizáció révén – </w:t>
      </w:r>
      <w:bookmarkStart w:id="9" w:name="_Hlk203400046"/>
      <w:r w:rsidRPr="00957303">
        <w:t>egyszerűsítheti a megfelelési eljárásokat és csökkentheti a gazdasági szereplőkre, különösen a kis- és középvállalkozásokra (kkv-k) nehezedő szükségtelen adminisztratív terheket</w:t>
      </w:r>
      <w:bookmarkEnd w:id="9"/>
      <w:r w:rsidRPr="00957303">
        <w:t>, miközben fenntartja a magas szintű biztonsági előírásokat és a szabályoknak való megfelelést;</w:t>
      </w:r>
    </w:p>
    <w:p w14:paraId="32B33AB2" w14:textId="77777777" w:rsidR="00456A70" w:rsidRPr="00957303" w:rsidRDefault="00456A70" w:rsidP="00755593">
      <w:pPr>
        <w:pStyle w:val="NormalHanging12a"/>
        <w:widowControl/>
        <w:rPr>
          <w:bCs/>
          <w:iCs/>
        </w:rPr>
      </w:pPr>
      <w:r w:rsidRPr="00957303">
        <w:t>G.</w:t>
      </w:r>
      <w:r w:rsidRPr="00957303">
        <w:tab/>
        <w:t>mivel az új jogszabályi keret felülvizsgálatának folyamatosan fejlődnie kell az olyan, újonnan megjelenő kockázatok kezelése érdekében, mint például az új technológiák egyre nagyobb mértékű jelenléte a termékekben; mivel figyelembe kell vennie a veszélyes anyagok termékekben való jelenlétével kapcsolatos növekvő aggodalmat is; mivel az új jogszabályi keret felülvizsgálata kulcsfontosságú eszköz lesz a piacfelügyeleti keret megerősítésében az e-kereskedelem és a digitálisan összekapcsolt termékek változó jellege jelentette kihívások kezelése, valamint a körforgásos gazdaság új követelményeihez való alkalmazkodás érdekében;</w:t>
      </w:r>
    </w:p>
    <w:p w14:paraId="20DF9FD9" w14:textId="77777777" w:rsidR="00456A70" w:rsidRPr="00957303" w:rsidRDefault="00456A70" w:rsidP="00755593">
      <w:pPr>
        <w:pStyle w:val="NormalHanging12a"/>
        <w:widowControl/>
        <w:rPr>
          <w:bCs/>
          <w:iCs/>
        </w:rPr>
      </w:pPr>
      <w:r w:rsidRPr="00957303">
        <w:t>H.</w:t>
      </w:r>
      <w:r w:rsidRPr="00957303">
        <w:tab/>
        <w:t>mivel a piaci stabilizációs tartalék értékelése – bár ez még nem része az új jogszabályi keret felülvizsgálatának – részét képezi annak a szélesebb körű végrehajtási erőfeszítésnek, amelynek célja annak biztosítása, hogy az uniós piacon lévő termékek magas szintű biztonsági előírásoknak feleljenek meg, és ne jelentsenek kockázatot a fogyasztókra és a környezetre nézve;</w:t>
      </w:r>
    </w:p>
    <w:p w14:paraId="3E0411DD" w14:textId="77777777" w:rsidR="00456A70" w:rsidRPr="00957303" w:rsidRDefault="00456A70" w:rsidP="00755593">
      <w:pPr>
        <w:pStyle w:val="NormalHanging12a"/>
        <w:widowControl/>
        <w:rPr>
          <w:bCs/>
          <w:iCs/>
        </w:rPr>
      </w:pPr>
      <w:r w:rsidRPr="00957303">
        <w:t>I.</w:t>
      </w:r>
      <w:r w:rsidRPr="00957303">
        <w:tab/>
        <w:t>mivel a digitális termékútlevélnek központi eszközként kell szolgálnia az átláthatóság, a nyomonkövethetőség és a fogyasztók és a hatóságok tájékozott döntéshozatalának előmozdításához;</w:t>
      </w:r>
    </w:p>
    <w:p w14:paraId="3D2E1072" w14:textId="77777777" w:rsidR="00456A70" w:rsidRPr="00957303" w:rsidRDefault="00456A70" w:rsidP="00755593">
      <w:pPr>
        <w:pStyle w:val="NormalHanging12a"/>
        <w:widowControl/>
        <w:rPr>
          <w:bCs/>
          <w:iCs/>
        </w:rPr>
      </w:pPr>
      <w:r w:rsidRPr="00957303">
        <w:t>J.</w:t>
      </w:r>
      <w:r w:rsidRPr="00957303">
        <w:tab/>
        <w:t xml:space="preserve">mivel a digitális termékútlevél horizontális, ágazatokon átívelő végrehajtása – amely az új, használt, javított és újragyártott termékekre egyaránt kiterjedne – csökkentené a </w:t>
      </w:r>
      <w:r w:rsidRPr="00957303">
        <w:lastRenderedPageBreak/>
        <w:t>fenntarthatósági beszámolás fragmentáltságát, és biztosítaná a koherenciát a belső piacon;</w:t>
      </w:r>
    </w:p>
    <w:p w14:paraId="2B39B1FE" w14:textId="77777777" w:rsidR="00456A70" w:rsidRPr="00957303" w:rsidRDefault="00456A70" w:rsidP="00755593">
      <w:pPr>
        <w:pStyle w:val="NormalHanging12a"/>
        <w:widowControl/>
        <w:rPr>
          <w:bCs/>
          <w:iCs/>
        </w:rPr>
      </w:pPr>
      <w:r w:rsidRPr="00957303">
        <w:t>K.</w:t>
      </w:r>
      <w:r w:rsidRPr="00957303">
        <w:tab/>
        <w:t>mivel az e-kereskedelem jelentős szerepet játszik a fogyasztói élmény alakításában azáltal, hogy megkönnyíti a nagyobb kényelmet, szélesíti az áruk és szolgáltatások széles köréhez való hozzáférést, és lehetővé teszi a fogyasztók számára, hogy megfizethetőbb vásárlási lehetőségeket vegyenek igénybe; mivel ugyanakkor jelentős fogyasztóvédelmi kihívásokat jelent, beleértve a nem biztonságos vagy nem megfelelő termékeknek való kitettséget, az információk hozzáférhetőségében, egyértelműségében és összehasonlíthatóságában mutatkozó egyenlőtlenségeket, valamint a fogyasztók magatartásbeli elfogultságának és sebezhetőségének kihasználását célzó kereskedelmi gyakorlatokat;</w:t>
      </w:r>
    </w:p>
    <w:p w14:paraId="5F6E292D" w14:textId="77777777" w:rsidR="00456A70" w:rsidRPr="00957303" w:rsidRDefault="00456A70" w:rsidP="00755593">
      <w:pPr>
        <w:pStyle w:val="NormalHanging12a"/>
        <w:widowControl/>
        <w:rPr>
          <w:bCs/>
          <w:iCs/>
        </w:rPr>
      </w:pPr>
      <w:r w:rsidRPr="00957303">
        <w:t>L.</w:t>
      </w:r>
      <w:r w:rsidRPr="00957303">
        <w:tab/>
        <w:t>mivel az uniós újrakereskedelmi piacot a 2022–2023-as időszakban 94 milliárd EUR-ra becsülték, ami a teljes e-kereskedelem 12,3%-át teszi ki, és az előrejelzések szerint 2025-re 120 milliárd EUR-ra nő, ami az e-kereskedelem 14%-át teszi ki; hangsúlyozza, hogy gyors növekedését számos tényező vezérli, többek között a fenntarthatósággal és a környezetvédelmi aggályokkal kapcsolatos növekvő fogyasztói tudatosság, a megfizethető alternatívák iránti megnövekedett kereslet és az egyedi termékek iránti növekvő érdeklődés, mivel az újrakereskedelem megkönnyíti a régebbi és a gyártáson kívüli termékekhez való hozzáférést;</w:t>
      </w:r>
    </w:p>
    <w:p w14:paraId="202E7D44" w14:textId="77777777" w:rsidR="00456A70" w:rsidRPr="00957303" w:rsidRDefault="00456A70" w:rsidP="00755593">
      <w:pPr>
        <w:pStyle w:val="NormalHanging12a"/>
        <w:widowControl/>
        <w:rPr>
          <w:bCs/>
          <w:iCs/>
        </w:rPr>
      </w:pPr>
      <w:r w:rsidRPr="00957303">
        <w:t>M.</w:t>
      </w:r>
      <w:r w:rsidRPr="00957303">
        <w:tab/>
        <w:t>mivel az online termékértékesítés növekedése jelentős kihívást jelent, mivel a felelős felek, például a nem uniós eladók vagy közvetítők azonosításának nehézsége végrehajtási problémákat okoz; mivel továbbra is vannak kiskapuk az uniós jogszabályokat be nem tartó online értékesítők nyomon követése és az ellenük való fellépés terén, ami lehetővé teszi a nem megfelelő termékek megfelelő felügyelet nélküli értékesítését;</w:t>
      </w:r>
    </w:p>
    <w:p w14:paraId="32884BFB" w14:textId="77777777" w:rsidR="00456A70" w:rsidRPr="00957303" w:rsidRDefault="00456A70" w:rsidP="00755593">
      <w:pPr>
        <w:pStyle w:val="NormalHanging12a"/>
        <w:widowControl/>
        <w:rPr>
          <w:bCs/>
          <w:iCs/>
        </w:rPr>
      </w:pPr>
      <w:r w:rsidRPr="00957303">
        <w:t>N.</w:t>
      </w:r>
      <w:r w:rsidRPr="00957303">
        <w:tab/>
        <w:t>mivel az e-kereskedelmi platformokra a digitális szolgáltatásokról szóló rendelet és az általános termékbiztonsági rendelet</w:t>
      </w:r>
      <w:r w:rsidRPr="00957303">
        <w:rPr>
          <w:rStyle w:val="FootnoteReference"/>
        </w:rPr>
        <w:footnoteReference w:id="17"/>
      </w:r>
      <w:r w:rsidRPr="00957303">
        <w:t xml:space="preserve"> értelmében különböző kötelezettségek vonatkoznak, és a termékfelelősségről szóló irányelv értelmében meghatározott körülmények között felelősségre vonhatók; mivel e tekintetben az online platformok felelősségre vonhatók, ha nem tartják tiszteletben egyedi közvetítői kötelezettségeiket; mivel az e-kereskedelem – különösen az online óriásplatformokon és a nem uniós platformokon – továbbra is jelentős kihívást jelent az EU versenyképessége szempontjából, és aggályokat vet fel a fogyasztói jogokkal, valamint az egészséggel és biztonsággal kapcsolatban, különösen mivel egyes termékkategóriák sürgős aggályokat vetnek fel a kiszolgáltatott fogyasztói csoportokra gyakorolt hatásukat illetően;</w:t>
      </w:r>
    </w:p>
    <w:p w14:paraId="31D7B174" w14:textId="77777777" w:rsidR="00456A70" w:rsidRPr="00957303" w:rsidRDefault="00456A70" w:rsidP="00755593">
      <w:pPr>
        <w:pStyle w:val="NormalHanging12a"/>
        <w:widowControl/>
        <w:rPr>
          <w:bCs/>
          <w:iCs/>
        </w:rPr>
      </w:pPr>
      <w:r w:rsidRPr="00957303">
        <w:t>O.</w:t>
      </w:r>
      <w:r w:rsidRPr="00957303">
        <w:tab/>
        <w:t xml:space="preserve">mivel bár az új jogszabályi keret célja a harmonizált végrehajtás, a megfelelőségértékelő szervezetek végrehajtása és felügyelete tagállamonként eltérő; mivel egyes országok gondosabban végezhetik az ellenőrzéseket és érvényesíthetik a megfelelést, míg mások késedelmekkel vagy a prioritások hiányával szembesülhetnek; mivel ez a következetlen </w:t>
      </w:r>
      <w:r w:rsidRPr="00957303">
        <w:lastRenderedPageBreak/>
        <w:t>végrehajtás különbségeket okozhat a termékbiztonsági szintekben, és torzíthatja a belső piacot;</w:t>
      </w:r>
    </w:p>
    <w:p w14:paraId="3ABF7DBE" w14:textId="77777777" w:rsidR="00456A70" w:rsidRPr="00957303" w:rsidRDefault="00456A70" w:rsidP="00755593">
      <w:pPr>
        <w:pStyle w:val="NormalHanging12a"/>
        <w:widowControl/>
        <w:rPr>
          <w:bCs/>
          <w:iCs/>
        </w:rPr>
      </w:pPr>
      <w:r w:rsidRPr="00957303">
        <w:t>P.</w:t>
      </w:r>
      <w:r w:rsidRPr="00957303">
        <w:tab/>
        <w:t xml:space="preserve">mivel az új jogszabályi keretnek biztosítania kell, hogy a megfelelőségértékelési eljárások harmonizáltak, megbízhatóak és továbbra is alkalmasak legyenek a digitális és összekapcsolt termékek növekvő összetettségének kezelésére, beleértve a kiberbiztonsági kockázatokat és a változó technológiai jellemzőket, ugyanakkor prioritásként kell kezelnie a fogyasztók biztonságát és jogait; </w:t>
      </w:r>
    </w:p>
    <w:p w14:paraId="5F47AA41" w14:textId="77777777" w:rsidR="00456A70" w:rsidRPr="00957303" w:rsidRDefault="00456A70" w:rsidP="00755593">
      <w:pPr>
        <w:pStyle w:val="NormalHanging12a"/>
        <w:widowControl/>
        <w:rPr>
          <w:bCs/>
          <w:iCs/>
        </w:rPr>
      </w:pPr>
      <w:r w:rsidRPr="00957303">
        <w:t>Q.</w:t>
      </w:r>
      <w:r w:rsidRPr="00957303">
        <w:tab/>
        <w:t>mivel az új jogszabályi keretnek egyértelmű iránymutatásokat kell tartalmaznia annak érdekében, hogy biztosítsa a következetes alkalmazást a tagállamokban, magas szintű termékbiztonsági normákat tartson fenn, és előmozdítsa a méltányosságot és az átláthatóságot a belső piacon;</w:t>
      </w:r>
    </w:p>
    <w:p w14:paraId="5B5B5D59" w14:textId="77777777" w:rsidR="00456A70" w:rsidRPr="00957303" w:rsidRDefault="00456A70" w:rsidP="00755593">
      <w:pPr>
        <w:pStyle w:val="NormalHanging12a"/>
        <w:widowControl/>
        <w:rPr>
          <w:bCs/>
          <w:iCs/>
        </w:rPr>
      </w:pPr>
      <w:r w:rsidRPr="00957303">
        <w:t>R.</w:t>
      </w:r>
      <w:r w:rsidRPr="00957303">
        <w:tab/>
        <w:t>mivel a bejelentett szervezetek megfelelőségértékelési folyamatban betöltött szerepét meg kell erősíteni az akkreditációs rendszeren belüli átláthatóság, függetlenség és kompetencia fokozásával, a termékek valamennyi uniós tagállamban történő elismerésének megkönnyítésével, valamint annak biztosításával, hogy hatékonyan tudjanak reagálni a digitalizáció és a körforgásos gazdaság kihívásaira, miközben védik a vállalkozások, különösen a kkv-k és a fogyasztók érdekeit egyaránt;</w:t>
      </w:r>
    </w:p>
    <w:p w14:paraId="5B190216" w14:textId="77777777" w:rsidR="00456A70" w:rsidRPr="00957303" w:rsidRDefault="00456A70" w:rsidP="00755593">
      <w:pPr>
        <w:pStyle w:val="NormalHanging12a"/>
        <w:widowControl/>
        <w:rPr>
          <w:bCs/>
          <w:iCs/>
        </w:rPr>
      </w:pPr>
      <w:r w:rsidRPr="00957303">
        <w:t>S.</w:t>
      </w:r>
      <w:r w:rsidRPr="00957303">
        <w:tab/>
        <w:t>mivel több tagállam már bevezetett héacsökkentést az újrafelhasznált, felújított, javított és használt termékek tekintetében, beleértve a jótékonysági szervezetek és a szociális gazdasági platformok által értékesített termékeket is, a körforgásos gazdaság elveinek előmozdítása és a helyi gazdaság fellendítése céljából;</w:t>
      </w:r>
    </w:p>
    <w:p w14:paraId="6971EF44" w14:textId="77777777" w:rsidR="00456A70" w:rsidRPr="00957303" w:rsidRDefault="00456A70" w:rsidP="00755593">
      <w:pPr>
        <w:pStyle w:val="CAChapter"/>
        <w:widowControl/>
        <w:spacing w:before="0"/>
        <w:ind w:left="567" w:hanging="567"/>
        <w:outlineLvl w:val="9"/>
      </w:pPr>
      <w:r w:rsidRPr="00957303">
        <w:rPr>
          <w:rStyle w:val="BoldItalic"/>
        </w:rPr>
        <w:t>A gazdasági szereplők szerepei és felelősségei</w:t>
      </w:r>
    </w:p>
    <w:p w14:paraId="52F4E569" w14:textId="77777777" w:rsidR="00456A70" w:rsidRPr="00957303" w:rsidRDefault="00456A70" w:rsidP="00755593">
      <w:pPr>
        <w:widowControl/>
        <w:spacing w:after="240"/>
        <w:ind w:left="567" w:hanging="567"/>
      </w:pPr>
      <w:r w:rsidRPr="00957303">
        <w:t>1.</w:t>
      </w:r>
      <w:r w:rsidRPr="00957303">
        <w:tab/>
        <w:t>hangsúlyozza, hogy olyan időtálló modellre van szükség, amely fenntartja az új jogszabályi keret alapelveit, ugyanakkor integrálja a felmerülő szakpolitikai prioritásokat és a 2022. évi értékelés megállapításait, különösen a fenntarthatóságot, a digitalizációt és a megerősített piacfelügyeletet; hangsúlyozza, hogy a felülvizsgálatnak a fogyasztók és a vállalkozások javát kell szolgálnia;</w:t>
      </w:r>
    </w:p>
    <w:p w14:paraId="1811C197" w14:textId="77777777" w:rsidR="00456A70" w:rsidRPr="00957303" w:rsidRDefault="00456A70" w:rsidP="00755593">
      <w:pPr>
        <w:widowControl/>
        <w:spacing w:after="240"/>
        <w:ind w:left="567" w:hanging="567"/>
      </w:pPr>
      <w:r w:rsidRPr="00957303">
        <w:t xml:space="preserve">2. </w:t>
      </w:r>
      <w:r w:rsidRPr="00957303">
        <w:tab/>
        <w:t>hangsúlyozza, hogy olyan új jogszabályi keretre van szükség, amely összhangban van a jogbiztonság és az átláthatóság mind a fogyasztók, mind a vállalkozások számára történő növelésére, valamint az EU versenyképességének megerősítésére és egyszerűsített megfelelési eljárásokkal történő érvényesítésre irányuló átfogó célkitűzésekkel, a biztonsági vagy minőségi előírások csökkentése nélkül; hangsúlyozza, hogy egyszerűsítésre kell törekedni a szükségtelen adminisztratív terhek csökkentése érdekében anélkül, hogy aláásnák az elfogadott szakpolitikai célkitűzéseket vagy gyengítenék a fogyasztóvédelmet;</w:t>
      </w:r>
    </w:p>
    <w:p w14:paraId="7C3C8C87" w14:textId="77777777" w:rsidR="00456A70" w:rsidRPr="00957303" w:rsidRDefault="00456A70" w:rsidP="00755593">
      <w:pPr>
        <w:widowControl/>
        <w:spacing w:after="240"/>
        <w:ind w:left="567" w:hanging="567"/>
      </w:pPr>
      <w:r w:rsidRPr="00957303">
        <w:t>3.</w:t>
      </w:r>
      <w:r w:rsidRPr="00957303">
        <w:tab/>
        <w:t xml:space="preserve">kéri a felülvizsgálatot a termékekre vonatkozó uniós jogszabályok közötti összhang biztosítása érdekében, beleértve az általános termékbiztonsági rendeletet, a termékfelelősségről szóló irányelvet, a fenntartható termékek környezettudatos </w:t>
      </w:r>
      <w:r w:rsidRPr="00957303">
        <w:lastRenderedPageBreak/>
        <w:t>tervezéséről szóló rendeletet, a mesterséges intelligenciáról szóló jogszabályt</w:t>
      </w:r>
      <w:r w:rsidRPr="00957303">
        <w:rPr>
          <w:rStyle w:val="FootnoteReference"/>
        </w:rPr>
        <w:footnoteReference w:id="18"/>
      </w:r>
      <w:r w:rsidRPr="00957303">
        <w:t xml:space="preserve"> és a digitális szolgáltatásokról szóló jogszabályt, valamint a biztonságos és megfelelő termékek belső piacon belüli szabad mozgásának biztosítása érdekében; felhívja a Bizottságot, hogy a jogbiztonság fokozása, a fogyasztóvédelem megerősítése és annak biztosítása érdekében, hogy az uniós gazdasági szereplők egyenlő feltételek mellett működhessenek a belső piacon és a nem uniós vállalatokkal szemben, vizsgálja felül és adott esetben frissítse a gazdasági szereplők szerepeit és felelősségi körét, valamint a 768/2008/EK határozat szerinti kötelezettségeit;</w:t>
      </w:r>
    </w:p>
    <w:p w14:paraId="39E80C9B" w14:textId="77777777" w:rsidR="00456A70" w:rsidRPr="00957303" w:rsidRDefault="00456A70" w:rsidP="00755593">
      <w:pPr>
        <w:widowControl/>
        <w:spacing w:after="240"/>
        <w:ind w:left="567" w:hanging="567"/>
      </w:pPr>
      <w:r w:rsidRPr="00957303">
        <w:t>4.</w:t>
      </w:r>
      <w:r w:rsidRPr="00957303">
        <w:tab/>
        <w:t>hangsúlyozza, hogy az EU-ban a nem uniós kereskedők nevében a termékmegfelelésért felelős személy gyakran nem képes fogyasztói jogorvoslatot vagy kártérítést nyújtani, különösen akkor, ha meghatalmazott képviselőként jár el; elismeri továbbá, hogy nincsenek harmonizált követelmények annak biztosítására, hogy ezek a szereplők teljesíteni tudják kötelezettségeiket; sürgeti a Bizottságot, hogy gyorsítsa fel „az uniós piacon forgalomba hozott termékekért felelős személyre” vonatkozó rendelkezések hatékonyságának mélyreható értékelését, valamint hogy építsen a piaci stabilizációs tartalék 4. cikkéről szóló időközi jelentés eredményeire is; felhívja a Bizottságot, hogy fontolja meg egy olyan kötelező követelmény bevezetését, amely szerint a nem uniós kereskedőknek fokozott jogi és pénzügyi felelősséggel rendelkező felelős személyt kell kinevezniük az EU-ban annak biztosítása érdekében, hogy a fogyasztók ne maradjanak jogorvoslat nélkül, egyenlő versenyfeltételeket biztosítva az uniós és a nem uniós vállalatok számára; sürgeti továbbá a Bizottságot, hogy állapítson meg működési követelményeket a felelős személyek számára, amelyek magukban foglalhatnak a gazdasági fizetőképességükkel vagy feladataik hatékony ellátására való képességükkel kapcsolatos szempontokat is;</w:t>
      </w:r>
    </w:p>
    <w:p w14:paraId="16387000" w14:textId="77777777" w:rsidR="00456A70" w:rsidRPr="00957303" w:rsidRDefault="00456A70" w:rsidP="00755593">
      <w:pPr>
        <w:widowControl/>
        <w:spacing w:after="240"/>
        <w:ind w:left="567" w:hanging="567"/>
      </w:pPr>
      <w:r w:rsidRPr="00957303">
        <w:t>5.</w:t>
      </w:r>
      <w:r w:rsidRPr="00957303">
        <w:tab/>
        <w:t>hangsúlyozza, hogy az új jogszabályi keretnek tovább kell fejlődnie, hogy támogassa a körforgásos gazdaság és a digitalizáció követelményeinek integrálását, amint azt az új jogszabályi keret célravezetőségi vizsgálata és értékelése is kiemeli; megjegyzi, hogy ez magában foglalja annak biztosítását, hogy a megfelelőségértékelések hatékonyan kezeljék a gyorsan fejlődő technológiák – például a szoftver- és hardverfrissítések, a termékek összekapcsoltsága és a mesterséges intelligencia – jelentette kihívásokat, amelyek a termékek forgalomba hozatalát követően potenciálisan megváltoztathatják az alapvető termékjellemzőket, miközben támogatják a versenyképességet és az egyszerűsített megfelelési eljárásokat is;</w:t>
      </w:r>
    </w:p>
    <w:p w14:paraId="0E2D73BD" w14:textId="77777777" w:rsidR="00456A70" w:rsidRPr="00957303" w:rsidRDefault="00456A70" w:rsidP="00755593">
      <w:pPr>
        <w:widowControl/>
        <w:spacing w:after="240"/>
        <w:ind w:left="567" w:hanging="567"/>
      </w:pPr>
      <w:r w:rsidRPr="00957303">
        <w:t>6.</w:t>
      </w:r>
      <w:r w:rsidRPr="00957303">
        <w:tab/>
        <w:t xml:space="preserve">felhívja a Bizottságot, hogy biztosítsa az új jogszabályi keret megfelelő alkalmazását, amelynek összhangban kell lennie a meglévő uniós jogszabályokkal, többek között a mesterséges intelligencia használatával és az automatizált döntéshozatallal kapcsolatos fogyasztóvédelmet erősítő rendelkezésekkel; e tekintetben emlékeztet az általános </w:t>
      </w:r>
      <w:r w:rsidRPr="00957303">
        <w:lastRenderedPageBreak/>
        <w:t>adatvédelmi rendelet</w:t>
      </w:r>
      <w:r w:rsidRPr="00957303">
        <w:rPr>
          <w:rStyle w:val="FootnoteReference"/>
        </w:rPr>
        <w:footnoteReference w:id="19"/>
      </w:r>
      <w:r w:rsidRPr="00957303">
        <w:t xml:space="preserve"> és a mesterséges intelligenciáról szóló rendelet meglévő rendelkezéseire, amelyek értelmében a fogyasztókat egyértelműen tájékoztatni kell abban az esetben, ha a döntéseket mesterséges intelligencia vagy automatizált feldolgozás alkalmazásával hozzák, különösen ha személyes adatokról van szó, és hogy a fogyasztók számára lehetőséget kell biztosítani arra, hogy ilyen esetekben emberi beavatkozást kérjenek;</w:t>
      </w:r>
    </w:p>
    <w:p w14:paraId="00BDD4EF" w14:textId="77777777" w:rsidR="00456A70" w:rsidRPr="00957303" w:rsidRDefault="00456A70" w:rsidP="00755593">
      <w:pPr>
        <w:widowControl/>
        <w:spacing w:after="240"/>
        <w:ind w:left="567" w:hanging="567"/>
      </w:pPr>
      <w:r w:rsidRPr="00957303">
        <w:t>7.</w:t>
      </w:r>
      <w:r w:rsidRPr="00957303">
        <w:tab/>
        <w:t>hangsúlyozza a piaci stabilizációs tartalék mint az új jogszabályi keret sarokköve hatékony és következetes végrehajtásának fontosságát; hangsúlyozza a nemzeti piacfelügyeleti hatóságok alapvető szerepét az uniós piacon forgalomba hozott termékek, köztük az online értékesített termékek biztonságának és megfelelőségének biztosításában; felszólít működési kapacitásuk és koordinációjuk megerősítésére nemzeti és uniós szinten egyaránt, különösen jobb kockázatalapú tervezés és közös fellépések révén, és felhívja a Bizottságot, hogy értékelje egy uniós piacfelügyeleti hatóság szükségességét; hangsúlyozza, hogy biztosítani kell a piacfelügyeleti hatóságok megfelelő erőforrásait, a jobb együttműködést, a fokozott információcserét és a digitális eszközök használatát; ösztönzi a Bizottságot és a tagállamokat, hogy továbbra is támogassák az olyan együttműködési mechanizmusokat, mint az uniós termékmegfelelőségi hálózat, és biztosítsák az ágazatokon és határokon átnyúló következetes végrehajtási gyakorlatokat a jól működő piacfelügyeleti rendszer biztosítása érdekében, amely elengedhetetlen a fogyasztóvédelem, a tisztességes verseny és az egységes piacba vetett bizalom megőrzéséhez;</w:t>
      </w:r>
    </w:p>
    <w:p w14:paraId="0D9E7BF1" w14:textId="77777777" w:rsidR="00456A70" w:rsidRPr="00957303" w:rsidRDefault="00456A70" w:rsidP="00755593">
      <w:pPr>
        <w:widowControl/>
        <w:spacing w:after="240"/>
        <w:ind w:left="567" w:hanging="567"/>
      </w:pPr>
      <w:bookmarkStart w:id="10" w:name="_Hlk207786350"/>
      <w:r w:rsidRPr="00957303">
        <w:t>8.</w:t>
      </w:r>
      <w:r w:rsidRPr="00957303">
        <w:tab/>
        <w:t xml:space="preserve">megjegyzi, hogy a piaci stabilizációs tartalék értékelése még nem képezi részét az új jogszabályi keret felülvizsgálatának, de azt 2026 decemberéig le kell zárni a felülvizsgálatra irányuló javaslattal együtt; hangsúlyozza, hogy a piaci stabilizációs tartalék kulcsszerepet játszik a piacfelügyelet hatékonyságának EU-szerte történő fokozásában; </w:t>
      </w:r>
      <w:bookmarkStart w:id="11" w:name="_Hlk203638681"/>
      <w:r w:rsidRPr="00957303">
        <w:t>javasolja, hogy a piaci stabilizációs tartalék kockázatértékelését továbbra is használják a magas kockázatú termékek azonosítására és a gazdasági szereplők, különösen a harmadik országbeli gazdasági szereplők megfelelési előzményeinek nyomon követésére; felkéri a Bizottságot, hogy értékelje egy kockázatalapú riasztási rendszer megvalósíthatóságát azon üzemeltetők számára, akik korábban rossz megfelelési teljesítménnyel rendelkeztek, és amely lehetővé tenné a megerősített piacfelügyeleti nyomon követést</w:t>
      </w:r>
      <w:bookmarkEnd w:id="11"/>
      <w:r w:rsidRPr="00957303">
        <w:t xml:space="preserve">; </w:t>
      </w:r>
      <w:bookmarkEnd w:id="10"/>
      <w:r w:rsidRPr="00957303">
        <w:t>javasolja egy proaktívabb és digitálisan támogatott felügyeleti mechanizmus bevezetését, amelyet a tagállamok által kijelölt nemzeti hatóságokra bíznak a hatékonyabb és következetesebb felügyelet biztosítása érdekében; ezzel összefüggésben hangsúlyozza a piaci stabilizációs tartalék aktualizálásának fontosságát a piacfelügyeleti hatóságok intézkedéseinek és információcseréjének észszerűsítése és szabványosítása érdekében az EU-ban; javasolja, hogy dolgozzanak ki fő teljesítménymutatókat a megfelelés szisztematikus és objektív értékelésére;</w:t>
      </w:r>
    </w:p>
    <w:p w14:paraId="140578FD" w14:textId="77777777" w:rsidR="00456A70" w:rsidRPr="00957303" w:rsidRDefault="00456A70" w:rsidP="00755593">
      <w:pPr>
        <w:widowControl/>
        <w:spacing w:after="240"/>
        <w:ind w:left="567" w:hanging="567"/>
        <w:rPr>
          <w:b/>
          <w:bCs/>
          <w:i/>
          <w:iCs/>
        </w:rPr>
      </w:pPr>
      <w:r w:rsidRPr="00957303">
        <w:rPr>
          <w:rStyle w:val="BoldItalic"/>
        </w:rPr>
        <w:t>Digitális termékútlevél (DPP)</w:t>
      </w:r>
    </w:p>
    <w:p w14:paraId="30FF35E0" w14:textId="77777777" w:rsidR="00456A70" w:rsidRPr="00957303" w:rsidRDefault="00456A70" w:rsidP="00755593">
      <w:pPr>
        <w:widowControl/>
        <w:spacing w:after="240"/>
        <w:ind w:left="567" w:hanging="567"/>
      </w:pPr>
      <w:r w:rsidRPr="00957303">
        <w:t>9.</w:t>
      </w:r>
      <w:r w:rsidRPr="00957303">
        <w:tab/>
        <w:t xml:space="preserve">kiemeli a horizontális és interoperábilis digitális termékútlevél mint olyan eszköz előnyeit, amely hozzáférést biztosít a termékjellemzőkre, a termékmegfelelőségre, az </w:t>
      </w:r>
      <w:r w:rsidRPr="00957303">
        <w:lastRenderedPageBreak/>
        <w:t>ellátási láncokra, az energiahatékonyságra, a részletes fenntarthatósági teljesítménymérőkre vonatkozó harmonizált információkhoz, valamint a termékösszetételre, a tartósságra, a javíthatóságra, az újrafelhasználhatóságra, az újrafeldolgozhatóságra, a karbantartási költségekre, valamint a pótalkatrészek árára és rendelkezésre állására vonatkozó alapvető adatokhoz; megjegyzi, hogy a digitális termékútlevélben feltüntetendő konkrét információknak figyelembe kell venniük a termékkategóriát, amelyhez eltérő hozzáférési jogok kapcsolódnak az érintett szereplőktől függően; úgy véli, hogy a digitális termékútlevélnek az értéklánc mentén referenciaponttá kell válnia a fogyasztók, a hatóságok és a vállalkozások számára;</w:t>
      </w:r>
    </w:p>
    <w:p w14:paraId="49C297CC" w14:textId="77777777" w:rsidR="00456A70" w:rsidRPr="00957303" w:rsidRDefault="00456A70" w:rsidP="00755593">
      <w:pPr>
        <w:widowControl/>
        <w:spacing w:after="240"/>
        <w:ind w:left="567" w:hanging="567"/>
      </w:pPr>
      <w:r w:rsidRPr="00957303">
        <w:t>10.</w:t>
      </w:r>
      <w:r w:rsidRPr="00957303">
        <w:tab/>
        <w:t>úgy véli, hogy a megfelelőségi követelmények egyszerűsítése érdekében a digitális termékútlevélnek a jelenlegi megfelelőségi nyilatkozatok helyébe kell lépnie; ezzel összefüggésben üdvözli a játékok biztonságáról szóló, küszöbön álló rendeletet, amely lehetővé teszi a gazdasági szereplők számára, hogy megfelelőségi nyilatkozatok készítése helyett teljes mértékben a digitális termékútlevélre támaszkodjanak;</w:t>
      </w:r>
    </w:p>
    <w:p w14:paraId="49463EE5" w14:textId="77777777" w:rsidR="00456A70" w:rsidRPr="00957303" w:rsidRDefault="00456A70" w:rsidP="00755593">
      <w:pPr>
        <w:widowControl/>
        <w:spacing w:after="240"/>
        <w:ind w:left="567" w:hanging="567"/>
      </w:pPr>
      <w:r w:rsidRPr="00957303">
        <w:t>11.</w:t>
      </w:r>
      <w:r w:rsidRPr="00957303">
        <w:tab/>
        <w:t>hangsúlyozza, hogy a digitális termékútlevél fontos szerepet játszik abban, hogy a fogyasztók megalapozott döntéseket hozhassanak, és ezáltal kiépíti a fogyasztói bizalmat és elősegíti a körforgásos termékáramot; hangsúlyozza, hogy az EU éghajlat-politikai és környezetvédelmi céljaival összhangban képes támogatni a fenntartható fogyasztást, és hozzá tud járulni ahhoz, hogy a fogyasztókat a fenntartható gazdaság érdekében bevonják az egységes piacba;</w:t>
      </w:r>
    </w:p>
    <w:p w14:paraId="26E7A7D1" w14:textId="77777777" w:rsidR="00456A70" w:rsidRPr="00957303" w:rsidRDefault="00456A70" w:rsidP="00755593">
      <w:pPr>
        <w:widowControl/>
        <w:spacing w:after="240"/>
        <w:ind w:left="567" w:hanging="567"/>
      </w:pPr>
      <w:r w:rsidRPr="00957303">
        <w:t>12.</w:t>
      </w:r>
      <w:r w:rsidRPr="00957303">
        <w:tab/>
        <w:t>hangsúlyozza, hogy a horizontális digitális termékútlevél jelentősen javítaná a piacfelügyeleti és vámhatóságok munkáját, mivel lehetővé tenné az alapvető termékmegfelelőségi információk hatékony átvilágítását a megfelelőségi ellenőrzések céljából; hangsúlyozza, hogy a piacfelügyeleti hatóságoknak biztosítaniuk kell, hogy a gazdasági szereplők mindig rendelkezésre bocsássák a szükséges adatokat, és hogy azok folyamatosan hozzáférhetők legyenek a fogyasztók, a hatóságok, a felújítók és a javítók számára, a vonatkozó jogszabályokban meghatározott határidőknek, hozzáférési jogoknak és egyéb vonatkozó rendelkezéseknek megfelelően; hangsúlyozza, hogy a Bizottságnak testre szabott segítséget, egyértelmű iránymutatásokat, egyszerűsített eljárásokat és kapacitásépítési eszközöket kell biztosítania az érintett gazdasági szereplők, különösen a kkv-k számára a digitális termékútlevél végrehajtásának megkönnyítése érdekében;</w:t>
      </w:r>
    </w:p>
    <w:p w14:paraId="201DC17D" w14:textId="77777777" w:rsidR="00456A70" w:rsidRPr="00957303" w:rsidRDefault="00456A70" w:rsidP="00755593">
      <w:pPr>
        <w:pStyle w:val="CAParagraph"/>
        <w:outlineLvl w:val="9"/>
      </w:pPr>
      <w:r w:rsidRPr="00957303">
        <w:t>13.</w:t>
      </w:r>
      <w:r w:rsidRPr="00957303">
        <w:tab/>
        <w:t>felkéri a Bizottságot, hogy dolgozzon ki ambiciózus stratégiát a digitális termékútlevél és a meglévő adatbázisok, többek között az uniós Safety Gate, a piacfelügyeleti információs és kommunikációs rendszer, a Certex és a jövőbeli uniós vámügyi adatközpont, valamint a fogyasztóvédelmi rendelet keretében kidolgozott mechanizmusok közötti interoperabilitás biztosítására; úgy véli, hogy a digitális termékútlevélben szereplő adatoknak géppel olvashatónak és e rendszerek között könnyen átadhatónak kell lenniük annak biztosítása érdekében, hogy az egyik piacfelügyeleti vagy vámhatóság által nem biztonságosnak vagy nem megfelelőnek minősített termékeket automatikusan mindenki számára megjelöljék;</w:t>
      </w:r>
    </w:p>
    <w:p w14:paraId="3094939B" w14:textId="77777777" w:rsidR="00456A70" w:rsidRPr="00957303" w:rsidRDefault="00456A70" w:rsidP="00755593">
      <w:pPr>
        <w:widowControl/>
        <w:spacing w:after="240"/>
        <w:ind w:left="567" w:hanging="567"/>
      </w:pPr>
      <w:r w:rsidRPr="00957303">
        <w:t xml:space="preserve">14. </w:t>
      </w:r>
      <w:r w:rsidRPr="00957303">
        <w:tab/>
        <w:t xml:space="preserve">felhívja a Bizottságot, hogy értékelje a digitális termékútlevél – mint az uniós piacon forgalmazott valamennyi releváns termékre vonatkozó horizontális követelmény – az új jogszabályi keretbe történő fokozatos integrálásának megvalósíthatóságát; megjegyzi azonban, hogy a digitális termékútlevél még a fejlesztés korai szakaszában van, és fokozatos megközelítést igényel annak biztosítása érdekében, hogy a gazdasági </w:t>
      </w:r>
      <w:r w:rsidRPr="00957303">
        <w:lastRenderedPageBreak/>
        <w:t>szereplők alkalmazkodni tudjanak az alkalmazandó követelményekhez a teljes körű végrehajtás érdekében;</w:t>
      </w:r>
    </w:p>
    <w:p w14:paraId="4EEF67D1" w14:textId="77777777" w:rsidR="00456A70" w:rsidRPr="00957303" w:rsidRDefault="00456A70" w:rsidP="00755593">
      <w:pPr>
        <w:widowControl/>
        <w:spacing w:after="240"/>
        <w:ind w:left="567" w:hanging="567"/>
      </w:pPr>
      <w:r w:rsidRPr="00957303">
        <w:t xml:space="preserve">15. </w:t>
      </w:r>
      <w:bookmarkStart w:id="12" w:name="_Hlk207786450"/>
      <w:r w:rsidRPr="00957303">
        <w:tab/>
        <w:t xml:space="preserve">elismeri, hogy különböző vállalatok aktívan fejlesztenek használt árukra szabott DPP-megoldásokat, és hogy az ilyen termékek életciklusának nyomon követésére szolgáló technológiai eszközök már rendelkezésre állnak; felhívja a Bizottságot, hogy értékelje az ilyen kezdeményezéseket, és mérlegelje, hogy a használt termékekre vonatkozó digitális termékútlevél fokozatos bevezetése az új termékekre vonatkozó digitális termékútlevél teljes körű végrehajtását követően hozzájárulhat-e a körforgásos gazdaság üzleti modelljeinek előmozdításához, a fogyasztói bizalom kiépítéséhez, a környezetvédelmi célkitűzések támogatásához, a biztonsági normák tiszteletben tartása mellett azáltal, hogy lehetővé teszi mind a piacfelügyeleti hatóságok, mind a fogyasztók számára a használt termékek jogszerűségének, minőségének és teljesítményének értékelését; </w:t>
      </w:r>
      <w:bookmarkEnd w:id="12"/>
      <w:r w:rsidRPr="00957303">
        <w:t>hangsúlyozza azonban a használt termékekkel kapcsolatos sajátos következményeket, amennyiben az eladó – gyakran fogyasztó – a digitális termékútlevél megfelelő frissítésére irányuló képessége korlátozott lehet; megjegyzi ezért, hogy az olyan gazdasági szereplők, mint a használt cikkek felújítói, újragyártói és importőrei számára nehéznek bizonyulhat az eredeti információk beszerzése; felhívja a Bizottságot, hogy a digitális termékútlevelet és a kapcsolódó követelményeket a körforgásos termékekkel összefüggésben vizsgálja, és értékelje, hogy azok hogyan tudják a legjobban előmozdítani a körforgásos gazdaságot.</w:t>
      </w:r>
    </w:p>
    <w:p w14:paraId="516E93D8" w14:textId="77777777" w:rsidR="00456A70" w:rsidRPr="00957303" w:rsidRDefault="00456A70" w:rsidP="00755593">
      <w:pPr>
        <w:widowControl/>
        <w:spacing w:after="240"/>
        <w:ind w:left="567" w:hanging="567"/>
      </w:pPr>
      <w:r w:rsidRPr="00957303">
        <w:t>16.</w:t>
      </w:r>
      <w:r w:rsidRPr="00957303">
        <w:tab/>
        <w:t>úgy véli, hogy a digitális termékútlevelet olyan módon kell végrehajtani, amely támogatja a gazdasági szereplőket azáltal, hogy egyszerűsíti megfelelési kötelezettségeiket, több kötelező információ digitális közlését teszi lehetővé, csökkenti a papíralapú tájékoztatási követelményeket, és egy olyan eszközt biztosít, amellyel egyszerre teljesíthető az összes termék-megfelelőségi és tájékoztatási kötelezettség; hangsúlyozza azonban, hogy a fogyasztók biztonságának biztosításához elengedhetetlen információkat papíralapú formátumban is rendelkezésre kell bocsátani azon felhasználók számára, akik esetleg nem rendelkeznek az ilyen információkhoz való hozzáféréshez szükséges digitális jártassággal vagy technikai eszközökkel;</w:t>
      </w:r>
    </w:p>
    <w:p w14:paraId="1A2A93EC" w14:textId="77777777" w:rsidR="00456A70" w:rsidRPr="00957303" w:rsidRDefault="00456A70" w:rsidP="00755593">
      <w:pPr>
        <w:pStyle w:val="CAParagraph"/>
        <w:outlineLvl w:val="9"/>
      </w:pPr>
      <w:r w:rsidRPr="00957303">
        <w:t>17.</w:t>
      </w:r>
      <w:r w:rsidRPr="00957303">
        <w:tab/>
        <w:t xml:space="preserve">elismeri, hogy a CE-jelölés előnyösnek bizonyult abban a tekintetben, hogy lehetővé tette a gyártók számára a termék megfelelőségének igazolását, amelyet ezt követően a piacfelügyeleti hatóságok értékelhetnek; elismeri, hogy javítani kell a CE-jelöléssel és a fogyasztók számára a megtévesztő biztonsági vagy minőségi címke kockázataival kapcsolatos tudatosságot; </w:t>
      </w:r>
      <w:bookmarkStart w:id="13" w:name="_Hlk207786643"/>
      <w:r w:rsidRPr="00957303">
        <w:t>rámutat arra, hogy a félreértések elkerülése és a digitális termékútlevélen keresztüli információáramlás egyszerűsítése érdekében a Bizottságnak értékelnie kell a CE-jelölés különböző termékkategóriáknak megfelelő módon történő alkalmazásának megvalósíthatóságát, és értékelnie kell, hogy a CE-jelölést fizikai formátumban kell-e alkalmazni a terméken, vagy inkább csak a digitális termékútlevélen keresztül kell-e kifejezni;</w:t>
      </w:r>
      <w:bookmarkEnd w:id="13"/>
    </w:p>
    <w:p w14:paraId="6E797F07" w14:textId="77777777" w:rsidR="00456A70" w:rsidRPr="00957303" w:rsidRDefault="00456A70" w:rsidP="00755593">
      <w:pPr>
        <w:widowControl/>
        <w:spacing w:after="240"/>
        <w:ind w:left="567" w:hanging="567"/>
      </w:pPr>
      <w:r w:rsidRPr="00957303">
        <w:t xml:space="preserve">18. </w:t>
      </w:r>
      <w:bookmarkStart w:id="14" w:name="_Hlk207786730"/>
      <w:r w:rsidRPr="00957303">
        <w:tab/>
        <w:t xml:space="preserve">felhívja a Bizottságot, hogy fontolja meg a CE-jelölésre vonatkozó releváns információk digitális termékútlevélen keresztüli egyszerűsítését az átláthatóság fokozása és az átfogó termékinformációk biztosítása érdekében; </w:t>
      </w:r>
      <w:bookmarkEnd w:id="14"/>
      <w:r w:rsidRPr="00957303">
        <w:t xml:space="preserve">úgy véli, hogy a Bizottságnak fokoznia kell erőfeszítéseit annak biztosítása érdekében, hogy a digitális termékútlevél adathordozói (például QR-kódok, vonalkódok vagy RFID-k) megfelelő és arányos technikai biztonsági intézkedéseket tartalmazzanak, amelyek célja az egyes termékkategóriákra jellemző hamisítás kockázatának jelentős csökkentése az adatok hitelességének és integritásának biztosítása, az engedély nélküli sokszorosítás </w:t>
      </w:r>
      <w:r w:rsidRPr="00957303">
        <w:lastRenderedPageBreak/>
        <w:t>megelőzése és a piacfelügyeleti mechanizmusok megerősítése érdekében, hozzájárulva ezáltal a nagyobb fenntarthatósághoz és a fokozott fogyasztóvédelemhez;</w:t>
      </w:r>
    </w:p>
    <w:p w14:paraId="460B1585" w14:textId="77777777" w:rsidR="00456A70" w:rsidRPr="00957303" w:rsidRDefault="00456A70" w:rsidP="00755593">
      <w:pPr>
        <w:pStyle w:val="CAParagraph"/>
        <w:outlineLvl w:val="9"/>
      </w:pPr>
      <w:bookmarkStart w:id="15" w:name="_Hlk203650128"/>
      <w:r w:rsidRPr="00957303">
        <w:t>19.</w:t>
      </w:r>
      <w:r w:rsidRPr="00957303">
        <w:tab/>
      </w:r>
      <w:bookmarkStart w:id="16" w:name="_Hlk207983649"/>
      <w:bookmarkStart w:id="17" w:name="_Hlk203646957"/>
      <w:r w:rsidRPr="00957303">
        <w:t>felhívja a Bizottságot, hogy értékelje a harmonizált módszerek használatának lehetőségét a digitális termékútlevélben a környezetvédelemre, a tartósságra és a teljesítményre vonatkozó mérések tekintetében annak érdekében, hogy támogassa az egyes termékek jellemzőihez igazított uniós szintű fenntarthatósági mutatók esetleges létrehozását, integrálva a releváns mutatókat, például a körforgásosság tekintetében a nyomonkövethetőséget, az újrafeldolgozhatóságot és a teljesítményt</w:t>
      </w:r>
      <w:bookmarkEnd w:id="16"/>
      <w:r w:rsidRPr="00957303">
        <w:t>; hangsúlyozza, hogy ennek az indexnek a digitális termékútlevélen keresztül közvetlenül és könnyen hozzáférhetőnek kell lennie a terméken elhelyezett adathordozó, például QR-kód révén, lehetővé téve a fogyasztók számára a termékkel kapcsolatos egyértelmű, strukturált, szabványosított és ellenőrizhető információkhoz való hozzáférést a fogyasztói bizalom és tudatosság növelése érdekében; úgy véli, hogy ez az uniós vállalkozások számára is előnyös lenne, mivel a harmonizált módszerek alkalmazása megkönnyítené saját fenntarthatósági indexeik kidolgozását és csökkentené a megfelelési költségeket, míg a nagyobb átláthatóság lehetővé tenné számukra, hogy az ár vagy a mennyiség helyett a minőség és a fenntarthatóság alapján versenyezzenek;</w:t>
      </w:r>
      <w:bookmarkEnd w:id="15"/>
      <w:bookmarkEnd w:id="17"/>
    </w:p>
    <w:p w14:paraId="32457166" w14:textId="77777777" w:rsidR="00456A70" w:rsidRPr="00957303" w:rsidRDefault="00456A70" w:rsidP="00755593">
      <w:pPr>
        <w:pStyle w:val="CAParagraph"/>
        <w:outlineLvl w:val="9"/>
      </w:pPr>
      <w:r w:rsidRPr="00957303">
        <w:t>20.</w:t>
      </w:r>
      <w:r w:rsidRPr="00957303">
        <w:tab/>
        <w:t>hangsúlyozza annak lehetőségét, hogy a digitális termékútlevelet olyan módon integrálják a hulladékhierarchia elveibe, amelyet megfelelő mutatókkal lehetne támogatni annak érdekében, hogy az újrahasználat elsőbbséget élvezzen az újrafeldolgozással szemben; hangsúlyozza, hogy biztosítani kell, hogy a gyártók hosszabb ideig megőrizzék a kulcsfontosságú termékadatokat;</w:t>
      </w:r>
    </w:p>
    <w:p w14:paraId="2D1C26FB" w14:textId="77777777" w:rsidR="00456A70" w:rsidRPr="00957303" w:rsidRDefault="00456A70" w:rsidP="00755593">
      <w:pPr>
        <w:pStyle w:val="CAChapter"/>
        <w:widowControl/>
        <w:spacing w:before="0"/>
        <w:ind w:left="567" w:hanging="567"/>
        <w:outlineLvl w:val="9"/>
        <w:rPr>
          <w:rStyle w:val="BoldItalic"/>
        </w:rPr>
      </w:pPr>
      <w:r w:rsidRPr="00957303">
        <w:rPr>
          <w:rStyle w:val="BoldItalic"/>
        </w:rPr>
        <w:t>Fenntartható üzleti modellek és fogyasztási minták</w:t>
      </w:r>
    </w:p>
    <w:p w14:paraId="2C102541" w14:textId="77777777" w:rsidR="00456A70" w:rsidRPr="00957303" w:rsidRDefault="00456A70" w:rsidP="00755593">
      <w:pPr>
        <w:pStyle w:val="CAParagraph"/>
        <w:outlineLvl w:val="9"/>
      </w:pPr>
      <w:r w:rsidRPr="00957303">
        <w:t>21.</w:t>
      </w:r>
      <w:r w:rsidRPr="00957303">
        <w:tab/>
        <w:t>támogatja az új jogszabályi keret összehangolását a fenntarthatóságot, a javíthatóságot és a hosszabb élettartamú termékek tervezését előmozdító szélesebb körű uniós kezdeményezésekkel, például a környezettudatos tervezéssel, a javításhoz való joggal, a fogyasztók zöld átállásban való szerepvállalásának növelésével, a szabványosítási rendelettel és a hulladékokról szóló keretirányelvvel</w:t>
      </w:r>
      <w:r w:rsidRPr="00957303">
        <w:rPr>
          <w:rStyle w:val="FootnoteReference"/>
        </w:rPr>
        <w:footnoteReference w:id="20"/>
      </w:r>
      <w:r w:rsidRPr="00957303">
        <w:t xml:space="preserve">, ezáltal ösztönözve a fogyasztókat a nem fenntartható fogyasztási mintákról való átállásra, biztosítva ugyanakkor, hogy az új jogszabályi keret felülvizsgálata előmozdítsa a digitalizációt és az egyszerűsített eljárásokat, és </w:t>
      </w:r>
      <w:r w:rsidRPr="00957303">
        <w:rPr>
          <w:rStyle w:val="Strong"/>
          <w:b w:val="0"/>
          <w:bCs w:val="0"/>
        </w:rPr>
        <w:t>fokozni fogja az uniós vállalkozások versenyképességét</w:t>
      </w:r>
      <w:r w:rsidRPr="00957303">
        <w:t>;</w:t>
      </w:r>
    </w:p>
    <w:p w14:paraId="0271FFB1" w14:textId="77777777" w:rsidR="00456A70" w:rsidRPr="00957303" w:rsidRDefault="00456A70" w:rsidP="00755593">
      <w:pPr>
        <w:pStyle w:val="CAParagraph"/>
        <w:outlineLvl w:val="9"/>
      </w:pPr>
      <w:r w:rsidRPr="00957303">
        <w:t>22.</w:t>
      </w:r>
      <w:r w:rsidRPr="00957303">
        <w:tab/>
        <w:t xml:space="preserve">felkéri a Bizottságot, hogy értékelje a kiterjesztett gyártói felelősségi rendszerek az új jogszabályi keretbe való integrálásának megvalósíthatóságát egy olyan harmonizált keret elfogadása érdekében, amely olyan intézkedéseket is magában foglalhatna, mint a pénzügyi ösztönzők és a javítási utalványok; úgy véli, hogy a Bizottságnak értékelnie kell, hogy az új jogszabályi kereten belül a felelősségi körök egyértelmű meghatározásai és elhatárolásai megelőzhetik-e az átfedéseket, és biztosítják-e, hogy a kiterjesztett gyártói felelősségi rendelkezések a párhuzamosság helyett megerősítsék az ágazati és hulladékgazdálkodási jogszabályokat, a megfelelési követelmények egyszerűsítése révén előmozdítsák a versenyképességet, különösen az alacsonyabb </w:t>
      </w:r>
      <w:r w:rsidRPr="00957303">
        <w:lastRenderedPageBreak/>
        <w:t>környezeti lábnyomú, helyben előállított áruk esetében, növeljék az átláthatóságot, és biztosítsák a tisztességes versenyt a belső piacon;</w:t>
      </w:r>
    </w:p>
    <w:p w14:paraId="6A6ACAF1" w14:textId="77777777" w:rsidR="00456A70" w:rsidRPr="00957303" w:rsidRDefault="00456A70" w:rsidP="00755593">
      <w:pPr>
        <w:pStyle w:val="CAParagraph"/>
        <w:outlineLvl w:val="9"/>
      </w:pPr>
      <w:r w:rsidRPr="00957303">
        <w:t>23.</w:t>
      </w:r>
      <w:r w:rsidRPr="00957303">
        <w:tab/>
        <w:t>határozottan úgy véli, hogy a tartósság kulcsfontosságú a kiváló minőségű, hosszú élettartamú termékek előmozdítása szempontjából, és a fenntartható termékek környezettudatos tervezéséről szóló rendelettel összhangban az új jogszabályi keretnek törekednie kell annak biztosítására, hogy a gyártók a termékkategóriáktól függően hosszabb ideig bocsássák rendelkezésre a pótalkatrészeket és a karbantartási szolgáltatásokat, biztosítva, hogy a termékek működőképesek maradjanak, és csökkentve a korai ártalmatlanítás gyakoriságát és csökkentve ezáltal idő előtti hulladékká válást;</w:t>
      </w:r>
    </w:p>
    <w:p w14:paraId="1DF86EC0" w14:textId="77777777" w:rsidR="00456A70" w:rsidRPr="00957303" w:rsidRDefault="00456A70" w:rsidP="00755593">
      <w:pPr>
        <w:pStyle w:val="CAParagraph"/>
        <w:outlineLvl w:val="9"/>
      </w:pPr>
      <w:r w:rsidRPr="00957303">
        <w:t>24.</w:t>
      </w:r>
      <w:r w:rsidRPr="00957303">
        <w:tab/>
        <w:t>felhívja továbbá a Bizottságot, hogy az új jogszabályi kereten belül hozzon létre harmonizált rendelkezéseket a termékek újrafeldolgozására és életciklusuk végén történő megfelelő ártalmatlanítására vonatkozóan, figyelembe véve a fenntartható termékek környezettudatos tervezéséről szóló rendeletben és a hulladékokról szóló keretirányelvben meghatározott követelményeket; javasolja, hogy ez tartalmazzon a visszavételi rendszerekkel kapcsolatos rendelkezéseket és célzott támogatási intézkedéseket a digitális eszközök és egyéb termékek felújításának, újrafelhasználásának és fenntartható kezelésének előmozdítása érdekében;</w:t>
      </w:r>
    </w:p>
    <w:p w14:paraId="5EBD7525" w14:textId="23FB1A4C" w:rsidR="00456A70" w:rsidRPr="00957303" w:rsidRDefault="00456A70" w:rsidP="00755593">
      <w:pPr>
        <w:pStyle w:val="CAParagraph"/>
        <w:outlineLvl w:val="9"/>
      </w:pPr>
      <w:r w:rsidRPr="00957303">
        <w:t>25</w:t>
      </w:r>
      <w:r w:rsidR="00CF7239">
        <w:t>.</w:t>
      </w:r>
      <w:r w:rsidRPr="00957303">
        <w:tab/>
        <w:t>aggodalmát fejezi ki a gyorsdivat és az ultragyors divat környezeti, társadalmi és gazdasági hatásai, valamint azok tényleges és potenciális fogyasztóvédelmi következményei miatt; hangsúlyozza, hogy az ilyen gyakorlatok jelentős kihívást jelentenek a termékekre vonatkozó uniós jogszabályoknak való megfelelés szempontjából, és a tisztességes versennyel kapcsolatos kérdéseket is felvethetnek; aggodalommal állapítja meg, hogy számos forgalomba hozott termék nem felel meg az uniós kémiai és biztonsági követelményeknek, míg a gazdasági szereplők gyakran csak korlátozott elszámoltathatósággal tartoznak; felhívja a Bizottságot, hogy értékelje a gyorsdivat és az ultragyors divat egyértelmű és harmonizált fogalommeghatározásának megvalósíthatóságát az ezen üzleti modellekhez kapcsolódó sajátos kockázatok kezelése érdekében, egyenlő versenyfeltételeket biztosítva valamennyi piaci szereplő számára, és megelőzve a belső piacon a szabályozás széttöredezettségét; felhívja továbbá a Bizottságot, hogy értékelje azokat a rendelkezéseket, amelyek biztosítanák, hogy teljes mértékben hatékony eszközök álljanak rendelkezésre az ultragyors és alacsony minőségű termékek elterjedése jelentette kihívások kezelésére, beleértve a megbízhatóbb megfelelőségértékelési eljárásokat és a megerősített végrehajtási eszközöket a legmagasabb szintű fogyasztóvédelmet garantáló belső piac biztosítása érdekében, lehetővé téve ugyanakkor az innovatív termékek és ötletek fejlesztését, és csökkentve a felelős vállalkozásokra és a megfelelő termékekre nehezedő szükségtelen adminisztratív terheket;</w:t>
      </w:r>
    </w:p>
    <w:p w14:paraId="2543EB87" w14:textId="77777777" w:rsidR="00456A70" w:rsidRPr="00957303" w:rsidRDefault="00456A70" w:rsidP="00385C79">
      <w:pPr>
        <w:pStyle w:val="CAParagraph"/>
        <w:ind w:left="0" w:firstLine="0"/>
        <w:outlineLvl w:val="9"/>
        <w:rPr>
          <w:rStyle w:val="BoldItalic"/>
          <w:b w:val="0"/>
          <w:i w:val="0"/>
        </w:rPr>
      </w:pPr>
      <w:r w:rsidRPr="00957303">
        <w:rPr>
          <w:rStyle w:val="BoldItalic"/>
        </w:rPr>
        <w:t>Használtcikk-értékesítők, felújítók, javítók, valamint kapcsolódó gazdasági szereplők a körforgásos gazdaság üzleti modelljében</w:t>
      </w:r>
    </w:p>
    <w:p w14:paraId="39AF60C7" w14:textId="77777777" w:rsidR="00456A70" w:rsidRPr="00957303" w:rsidRDefault="00456A70" w:rsidP="00755593">
      <w:pPr>
        <w:pStyle w:val="CAParagraph"/>
        <w:outlineLvl w:val="9"/>
      </w:pPr>
      <w:bookmarkStart w:id="18" w:name="_Hlk210316386"/>
      <w:r w:rsidRPr="00957303">
        <w:t>26.</w:t>
      </w:r>
      <w:r w:rsidRPr="00957303">
        <w:tab/>
        <w:t xml:space="preserve">hangsúlyozza különösen az „újragyártók”, a „felújítók”, a „javítók” és adott esetben a társadalmi, gazdasági és a körforgásos gazdaság egyéb feltörekvő szereplői harmonizált fogalommeghatározásának szükségességét; megjegyzi, hogy e közös fogalommeghatározások hiányában az ilyen szereplőket tévesen gyártóként vagy importőrként sorolhatják be, akik e minősítés szerint nem felelnek meg az e kategóriákra vonatkozó kötelezettségeknek, ami szankcióknak teheti ki őket; úgy véli, </w:t>
      </w:r>
      <w:r w:rsidRPr="00957303">
        <w:lastRenderedPageBreak/>
        <w:t xml:space="preserve">hogy ezeknek a fogalommeghatározásoknak arányosaknak kell lenniük, és nagyobb jogbiztonságot és átláthatóságot fognak teremteni e gazdasági szereplők jogai és kötelezettségei tekintetében; úgy véli, hogy a fenntarthatósági követelmények egységes alkalmazásának biztosítása érdekében ezeket a fogalommeghatározásokat össze kell hangolni a fenntartható termékek környezettudatos tervezéséről szóló rendeletben szereplő megfelelő tevékenységek fogalommeghatározásaival, amennyiben vannak ilyenek; </w:t>
      </w:r>
    </w:p>
    <w:p w14:paraId="182077C1" w14:textId="77777777" w:rsidR="00456A70" w:rsidRPr="00957303" w:rsidRDefault="00456A70" w:rsidP="00755593">
      <w:pPr>
        <w:pStyle w:val="CAParagraph"/>
        <w:outlineLvl w:val="9"/>
      </w:pPr>
      <w:r w:rsidRPr="00957303">
        <w:t>27.</w:t>
      </w:r>
      <w:r w:rsidRPr="00957303">
        <w:tab/>
        <w:t>hangsúlyozza, hogy a közös fogalommeghatározások kidolgozásakor figyelembe kell venni azokat a konkrét kötelezettségeket, amelyeknek a gazdasági szereplők, köztük a felújítók és javítók, valamint más feltörekvő gazdasági szereplők észszerűen képesek megfelelni, figyelembe véve saját üzleti modelljeik jellegét és korlátait; úgy véli, hogy a fokozott jogi egyértelműség elősegítheti a használt cikkek piacának fejlődését, és hozzájárulhat egy fenntarthatóbb és reziliensebb fogyasztási modellhez, amely különösen előnyös a kkv-k és a helyi gazdasági tevékenységek számára; e tekintetben kiemeli a javításhoz való jog alapján megállapított szabályok fontosságát annak érdekében, hogy a termékek javítása könnyebbé és vonzóbbá váljon a fogyasztók számára;</w:t>
      </w:r>
    </w:p>
    <w:p w14:paraId="309EE934" w14:textId="77777777" w:rsidR="00456A70" w:rsidRPr="00957303" w:rsidRDefault="00456A70" w:rsidP="00755593">
      <w:pPr>
        <w:pStyle w:val="CAParagraph"/>
        <w:outlineLvl w:val="9"/>
      </w:pPr>
      <w:r w:rsidRPr="00957303">
        <w:t>28.</w:t>
      </w:r>
      <w:r w:rsidRPr="00957303">
        <w:tab/>
        <w:t>elismeri a használt termékekbe vetett fogyasztói bizalom növelésének fontosságát, és felszólít egy uniós szintű tanúsítási mechanizmus létrehozására a felújítók és javítók számára; úgy véli, hogy egy ilyen mechanizmusnak közös módszertanokon kell alapulnia, amelyeket a helyi sajátosságok figyelembevételével kell kidolgozni azzal a céllal, hogy elősegítsék olyan fenntartható és versenyképes üzleti modellek kialakítását, amelyek egyúttal a jó minőségű munkahelyek létrehozását is ösztönzik az EU-ban;</w:t>
      </w:r>
    </w:p>
    <w:p w14:paraId="5B652B4F" w14:textId="77777777" w:rsidR="00456A70" w:rsidRPr="00957303" w:rsidRDefault="00456A70" w:rsidP="00755593">
      <w:pPr>
        <w:pStyle w:val="CAParagraph"/>
        <w:outlineLvl w:val="9"/>
      </w:pPr>
      <w:r w:rsidRPr="00957303">
        <w:t>29.</w:t>
      </w:r>
      <w:r w:rsidRPr="00957303">
        <w:tab/>
        <w:t>elismeri, hogy az új jogszabályi keret nem biztosít hozzáférést a független felújítók számára műszaki dokumentációhoz vagy megfelelőségi nyilatkozatokhoz; hangsúlyozza, hogy a hozzáférés hiánya akadályozza a termékek jogszerű és biztonságos felújítását, különösen az összetett termékek, például az elektronika és a gépek esetében, ahol az ilyen hozzáférés szükséges a megfelelőség biztosításához; úgy véli, hogy a digitális termékútlevél megszüntethetné ezt a hiányosságot azáltal, hogy lehetővé teszi a jogszerű javítási és felújítási tevékenységekben részt vevő szereplők számára a termékek megfelelő állapotba való jogszerű helyreállításához szükséges releváns megfelelési és biztonsági információkhoz való hozzáférést; úgy véli, hogy ezt a hozzáférést a biztonság garantálásához és feladataik megfelelő ellátásához szükséges mértékre kell korlátozni, figyelembe véve az üzleti szempontból érzékeny információk védelmét;</w:t>
      </w:r>
    </w:p>
    <w:p w14:paraId="533B511C" w14:textId="77777777" w:rsidR="00456A70" w:rsidRPr="00957303" w:rsidRDefault="00456A70" w:rsidP="00755593">
      <w:pPr>
        <w:pStyle w:val="CAParagraph"/>
        <w:outlineLvl w:val="9"/>
      </w:pPr>
      <w:r w:rsidRPr="00957303">
        <w:t>30.</w:t>
      </w:r>
      <w:r w:rsidRPr="00957303">
        <w:tab/>
        <w:t xml:space="preserve">hangsúlyozza, hogy ki kell dolgozni a „jelentős módosítás” egyértelmű és harmonizált fogalommeghatározását, amely a termékspecifikus jogszabályok alapjául szolgálhat, megkülönböztetve azt a rutinszerű javítási vagy karbantartási műveletektőlhangsúlyozza, hogy a „lényeges módosítás” fogalmának egyértelmű és harmonizált meghatározására – amely a termékspecifikus jogszabályok alapjául szolgálhat – van szükség annak érdekében, hogy az megkülönböztethető legyen a rutinszerű javítási vagy karbantartási műveletektől; úgy véli, hogy egy a módosítás lényeges jellegének meghatározására szolgáló szabványosított értékelési eljárás növelné a jogbiztonságot, és támogatná a használt cikkekkel foglalkozó gazdasági szereplőket; úgy véli, hogy sürgősen iránymutatásokat kell kidolgozni, amelyeket rendszeresen felülvizsgálnak a közös felújítási és javítási folyamatok tekintetében, különösen az elektronikus eszközök, például a képernyők, akkumulátorok vagy kamerák cseréje </w:t>
      </w:r>
      <w:r w:rsidRPr="00957303">
        <w:lastRenderedPageBreak/>
        <w:t>vonatkozásában, beleértve a kompatibilis alkatrészek feltüntetését is, az alkalmazandó jogszabályoknak való megfelelés vélelmének létrehozása céljából, ezáltal előmozdítva a körforgásos üzleti modellek kidolgozását, és támogatva az érintett hatóságok és gazdasági szereplők munkáját;</w:t>
      </w:r>
    </w:p>
    <w:p w14:paraId="25A39017" w14:textId="77777777" w:rsidR="00456A70" w:rsidRPr="00957303" w:rsidRDefault="00456A70" w:rsidP="00385C79">
      <w:pPr>
        <w:pStyle w:val="PointTriple0"/>
        <w:tabs>
          <w:tab w:val="clear" w:pos="850"/>
          <w:tab w:val="clear" w:pos="1417"/>
        </w:tabs>
        <w:spacing w:before="0" w:after="240"/>
        <w:ind w:left="567" w:hanging="567"/>
        <w:jc w:val="left"/>
      </w:pPr>
      <w:r w:rsidRPr="00957303">
        <w:t>31.</w:t>
      </w:r>
      <w:r w:rsidRPr="00957303">
        <w:tab/>
        <w:t>hangsúlyozza a felújítókat, javítókat és más feltörekvő szereplőket bevonó újrakereskedelemben mint a fenntarthatatlan fogyasztási modellek életképes alternatívájában rejlő jelentős gazdasági potenciált; felkéri a Bizottságot és a fogyasztóvédelmi hatóságokat, hogy folytassanak figyelemfelkeltő kampányokat az újrafelhasználási és újrakereskedelmi alternatívák előnyeiről;</w:t>
      </w:r>
      <w:bookmarkEnd w:id="18"/>
    </w:p>
    <w:p w14:paraId="0EDB91EF" w14:textId="77777777" w:rsidR="00456A70" w:rsidRPr="00957303" w:rsidRDefault="00456A70" w:rsidP="00755593">
      <w:pPr>
        <w:pStyle w:val="Normal12a24b"/>
        <w:widowControl/>
        <w:spacing w:before="0"/>
        <w:ind w:left="567" w:hanging="567"/>
      </w:pPr>
      <w:r w:rsidRPr="00957303">
        <w:rPr>
          <w:rStyle w:val="BoldItalic"/>
        </w:rPr>
        <w:t>Szabványosítás és megfelelőségértékelés</w:t>
      </w:r>
    </w:p>
    <w:p w14:paraId="187A2D8E" w14:textId="77777777" w:rsidR="00456A70" w:rsidRPr="00957303" w:rsidRDefault="00456A70" w:rsidP="00755593">
      <w:pPr>
        <w:pStyle w:val="NormalHanging12a"/>
        <w:widowControl/>
      </w:pPr>
      <w:r w:rsidRPr="00957303">
        <w:t>32.</w:t>
      </w:r>
      <w:r w:rsidRPr="00957303">
        <w:tab/>
        <w:t>úgy véli, hogy a harmonizált szabványok az egységes piac kulcsfontosságú elemét képezik az uniós jogban meghatározott közérdekű célkitűzések támogatásában; hangsúlyozza, hogy a Bizottság feladata szabványosítási kérelmek kibocsátása a fogyasztói érdekek, az egészség, a biztonság, a környezetvédelem és az adatbiztonság védelme, valamint a társadalmi befogadás előmozdítása, a versenyképesség támogatása, az innováció előmozdítása, a szükségtelen adminisztratív terhek csökkentése és a megfelelési eljárások egyszerűsítése érdekében; e tekintetben megjegyzi, hogy az európai szabványügyi szervezetek feladata, hogy válaszoljanak az ilyen kérésekre azzal a céllal, hogy figyelembe vegyék az uniós jogi aktusokban rögzített általános közérdeket, és segítsék az Unió stratégiai prioritásainak előmozdítását, beleértve a klímasemleges gazdaságra való átállást, a fokozott erőforrás-hatékonyságot és a körforgásos gazdasági modellek kidolgozását;</w:t>
      </w:r>
    </w:p>
    <w:p w14:paraId="22326F1D" w14:textId="77777777" w:rsidR="00456A70" w:rsidRPr="00957303" w:rsidRDefault="00456A70" w:rsidP="00755593">
      <w:pPr>
        <w:pStyle w:val="NormalHanging12a"/>
        <w:widowControl/>
      </w:pPr>
      <w:r w:rsidRPr="00957303">
        <w:t xml:space="preserve">33. </w:t>
      </w:r>
      <w:r w:rsidRPr="00957303">
        <w:tab/>
        <w:t>üdvözli, hogy az egységes piaci stratégia elismeri, hogy a vállalkozások továbbra is kihívásokkal szembesülnek az időszerű és hatékony harmonizált szabványok hiánya vagy késedelmes rendelkezésre állása miatt, ami megnövekedett költségekhez, jogbizonytalansághoz, csökkent versenyképességhez, meggyengült piacfelügyelethez és az új technológiák lassabb bevezetéséhez vezet; megjegyzi, hogy ez a gyorsan fejlődő ágazatokban, például a mesterséges intelligencia tekintetében is így van; aggodalmát fejezi ki amiatt, hogy megfelelő és alkalmazandó szabványok hiányában az új jogszabályok alkalmazásakor a gyártók és az innovátorok – a fogyasztókhoz hasonlóan – hátrányos következményekkel szembesülhetnek, mivel a gyártók saját maguk tanúsíthatják termékeiket helytelen kockázati besorolások alapján, ami aláássa az uniós jog célkitűzéseit és veszélyezteti a felhasználók védelmét;</w:t>
      </w:r>
    </w:p>
    <w:p w14:paraId="03DD6CCD" w14:textId="77777777" w:rsidR="00456A70" w:rsidRPr="00957303" w:rsidRDefault="00456A70" w:rsidP="00755593">
      <w:pPr>
        <w:pStyle w:val="NormalHanging12a"/>
        <w:widowControl/>
      </w:pPr>
      <w:r w:rsidRPr="00957303">
        <w:t xml:space="preserve">34. </w:t>
      </w:r>
      <w:r w:rsidRPr="00957303">
        <w:tab/>
        <w:t>hangsúlyozza, hogy a harmonizált szabványok Hivatalos Lapban való késedelmes közzététele továbbra is jelentős probléma a különböző piaci szereplők és fogyasztók számára, és korlátozza a piacfelügyeleti hatóságok azon képességét, hogy érvényesítsék a megfelelést; felszólítja a Bizottságot, hogy határozzon meg maximális határidőket a szabványosítási kérelmekre, és egyszerűsítse a szabványosítási folyamatot;</w:t>
      </w:r>
    </w:p>
    <w:p w14:paraId="60A3AFF7" w14:textId="77777777" w:rsidR="00456A70" w:rsidRPr="00957303" w:rsidRDefault="00456A70" w:rsidP="00755593">
      <w:pPr>
        <w:pStyle w:val="NormalHanging12a"/>
        <w:widowControl/>
      </w:pPr>
      <w:r w:rsidRPr="00957303">
        <w:t>35.</w:t>
      </w:r>
      <w:r w:rsidRPr="00957303">
        <w:tab/>
        <w:t xml:space="preserve">hangsúlyozza a szabványosítás fontosságát az áruk szabad mozgásának előmozdítása és a belső piacon belüli akadályok csökkentése, valamint az európai vállalkozások versenyképességének az uniós jognak való megfelelés elősegítése révén történő fokozása szempontjából; ezzel összefüggésben hangsúlyozza az európai intézmények és az európai szabványügyi szervezetek között régóta fennálló, a köz- és magánszféra közötti társulás előnyeit, amely fontos szerepet játszott a biztonságosabb és a digitális és zöld átállás célkitűzéseihez jobban igazodó termékek kifejlesztésében, biztosítva </w:t>
      </w:r>
      <w:r w:rsidRPr="00957303">
        <w:lastRenderedPageBreak/>
        <w:t>ugyanakkor, hogy a szabványok piacvezéreltek legyenek, és így azokat a piaci igényekre és az innovációra reagálva dolgozzák ki, a fogyasztók biztonságának veszélyeztetése nélkül;</w:t>
      </w:r>
    </w:p>
    <w:p w14:paraId="02A2791E" w14:textId="77777777" w:rsidR="00456A70" w:rsidRPr="00957303" w:rsidRDefault="00456A70" w:rsidP="00755593">
      <w:pPr>
        <w:pStyle w:val="NormalHanging12a"/>
        <w:widowControl/>
      </w:pPr>
      <w:r w:rsidRPr="00957303">
        <w:t>36.</w:t>
      </w:r>
      <w:r w:rsidRPr="00957303">
        <w:tab/>
        <w:t>hangsúlyozza a szabványosítás fontosságát az európai vállalkozások nemzetközi versenyképessége szempontjából; felhívja a Bizottságot, hogy fokozza erőfeszítéseit a nemzetközi szabványosítási fórumokon a nemzetközi szabványok hatálya alá tartozó valamennyi termékkel kapcsolatos álláspontokra vonatkozó közös európai megközelítés összehangolása érdekében; úgy véli, hogy a közös európai megközelítés kulcsfontosságú lehet a hasonlóan gondolkodó globális partnerekkel való szabványosítással kapcsolatos európai koordináció és nemzetközi szintű szerepvállalás javításához; hangsúlyozza, hogy meg kell könnyíteni a nemzetközi szabványok elfogadását, ha ezek a szabványok összhangban vannak az EU politikai célkitűzéseivel és stratégiai érdekeivel annak érdekében, hogy további piacokat nyissanak meg az európai termékek előtt, elkerüljék a szükségtelen párhuzamosságokat, előmozdítsák a globális szabályozási környezet következetességét és megkönnyítsék a nemzetközi kereskedelmet;</w:t>
      </w:r>
    </w:p>
    <w:p w14:paraId="2E0D13F8" w14:textId="77777777" w:rsidR="00456A70" w:rsidRPr="00957303" w:rsidRDefault="00456A70" w:rsidP="00755593">
      <w:pPr>
        <w:pStyle w:val="NormalHanging12a"/>
        <w:widowControl/>
      </w:pPr>
      <w:r w:rsidRPr="00957303">
        <w:t>37.</w:t>
      </w:r>
      <w:r w:rsidRPr="00957303">
        <w:tab/>
        <w:t>hangsúlyozza, hogy az új jogszabályi keret felülvizsgálatának hozzá kell járulnia a szabványosítási folyamat nagyobb inkluzivitásához, átláthatóságához és hatékonyságához mind a fejlesztési, mind a végrehajtási szakaszban, beleértve az uniós források európai szabványügyi szervezetek számára történő elosztását is; emlékeztet arra, hogy a civil társadalmi szervezetek és a kkv-k számára biztosított jelentős, hosszú távú és stabil pénzügyi támogatás kulcsfontosságú a szabványosítási folyamatban való eredményes részvételükhöz; úgy véli, hogy az új jogszabályi keret felülvizsgálatát a szabványosításról szóló rendelet felülvizsgálatával párhuzamosan kell elvégezni;</w:t>
      </w:r>
    </w:p>
    <w:p w14:paraId="46C3E10B" w14:textId="77777777" w:rsidR="00456A70" w:rsidRPr="00957303" w:rsidRDefault="00456A70" w:rsidP="00755593">
      <w:pPr>
        <w:pStyle w:val="NormalHanging12a"/>
        <w:widowControl/>
      </w:pPr>
      <w:r w:rsidRPr="00957303">
        <w:t>38.</w:t>
      </w:r>
      <w:r w:rsidRPr="00957303">
        <w:tab/>
        <w:t>hangsúlyozza annak fontosságát, hogy fenntartsák azt az elvet, amely szerint a megfelelőségértékelési eljárások annak ellenőrzésére szolgálnak, hogy a termékek megfelelnek-e az új jogszabályi keret szerinti uniós harmonizációs jogszabályokban meghatározott alkalmazandó követelményeknek; úgy véli, hogy ezek az eljárások sikeresen biztosították a termékbiztonságot, a teljesítményt és a megbízhatóságot, ugyanakkor hozzájárultak a belső piaci szabályok harmonizációjához is; hangsúlyozza azonban, hogy értékelni kell a meglévő megfelelőségértékelési modulok működésének és egyértelműségének felülvizsgálatát a tartós jogbizonytalanság, az ágazatok közötti következetlen alkalmazás és a technológiai fejlődésből, például az összekapcsolt termékekből eredő, újonnan felmerülő kockázatok fényében; úgy véli, hogy egy ilyen felülvizsgálatnak tiszteletben kell tartania azt az elvet, hogy a termékhez kapcsolódó kockázat szintjének kell meghatároznia a szükséges megfelelőségértékelési eljárást; felhívja a Bizottságot, hogy folytassa az e kérdések kezelésére irányuló erőfeszítéseket, többek között jobb piacfelügyelet, aktualizált szabványok és egyszerűsített folyamatok révén a gazdasági szereplők, különösen a kkv-k számára, ezáltal időtálló rendszert biztosítva;</w:t>
      </w:r>
    </w:p>
    <w:p w14:paraId="639D4C91" w14:textId="77777777" w:rsidR="00456A70" w:rsidRPr="00957303" w:rsidRDefault="00456A70" w:rsidP="00755593">
      <w:pPr>
        <w:pStyle w:val="NormalHanging12a"/>
        <w:widowControl/>
      </w:pPr>
      <w:r w:rsidRPr="00957303">
        <w:t>39.</w:t>
      </w:r>
      <w:r w:rsidRPr="00957303">
        <w:tab/>
        <w:t xml:space="preserve">hangsúlyozza, hogy a bejelentett szervezeteknek hozzáértő, pártatlan és független módon kell működniük; aggodalmát fejezi ki amiatt, hogy a tagállamok között jelentős eltérések vannak a hatáskörük értékelésének módját illetően, ami tartós jogbizonytalansághoz és eltérő gyakorlatokhoz vezet; sajnálja, hogy egyes esetekben a bejelentett szervezetek anélkül állítanak ki megfelelőségi tanúsítványokat, hogy megfelelően ellenőriznék az alkalmazandó harmonizált szabványok valamennyi vonatkozó rendelkezésének való teljes körű megfelelést, ami súlyosan alááshatja a </w:t>
      </w:r>
      <w:r w:rsidRPr="00957303">
        <w:lastRenderedPageBreak/>
        <w:t>szabványosítási rendszer hitelességét, és jelentősen akadályozhatja a piacfelügyeleti hatóságok hatékony munkáját; javasolja, hogy a Bizottság vizsgálja meg a bejelentett szervezetek kötelező akkreditációjának lehetőségét annak érdekében, hogy valamennyi tagállamban biztosítsa kompetenciájukat, pártatlanságukat és függetlenségüket; úgy véli, hogy ez elengedhetetlen az eltérő gyakorlatok kezeléséhez, a jogbiztonság növeléséhez és a megfelelőségértékelési rendszerbe vetett bizalom megerősítéséhez;</w:t>
      </w:r>
    </w:p>
    <w:p w14:paraId="248F5442" w14:textId="77777777" w:rsidR="00456A70" w:rsidRPr="00957303" w:rsidRDefault="00456A70" w:rsidP="00755593">
      <w:pPr>
        <w:pStyle w:val="NormalHanging12a"/>
        <w:widowControl/>
        <w:jc w:val="center"/>
      </w:pPr>
      <w:r w:rsidRPr="00957303">
        <w:t>°</w:t>
      </w:r>
    </w:p>
    <w:p w14:paraId="29A02BF0" w14:textId="77777777" w:rsidR="00456A70" w:rsidRPr="00957303" w:rsidRDefault="00456A70" w:rsidP="00755593">
      <w:pPr>
        <w:pStyle w:val="NormalHanging12a"/>
        <w:widowControl/>
        <w:jc w:val="center"/>
      </w:pPr>
      <w:r w:rsidRPr="00957303">
        <w:t>°</w:t>
      </w:r>
      <w:r w:rsidRPr="00957303">
        <w:tab/>
        <w:t>°</w:t>
      </w:r>
    </w:p>
    <w:p w14:paraId="00C2665D" w14:textId="346171E9" w:rsidR="00470A7E" w:rsidRPr="00957303" w:rsidRDefault="00456A70" w:rsidP="00755593">
      <w:pPr>
        <w:pStyle w:val="NormalHanging12a"/>
        <w:widowControl/>
      </w:pPr>
      <w:r w:rsidRPr="00957303">
        <w:t>40.</w:t>
      </w:r>
      <w:r w:rsidRPr="00957303">
        <w:tab/>
        <w:t>utasítja elnökét, hogy továbbítsa ezt az állásfoglalást a Tanácsnak és a Bizottságnak.</w:t>
      </w:r>
    </w:p>
    <w:p w14:paraId="58BBE183" w14:textId="25CBD245" w:rsidR="00E365E1" w:rsidRPr="00957303" w:rsidRDefault="00E365E1" w:rsidP="00755593">
      <w:pPr>
        <w:widowControl/>
        <w:spacing w:after="240"/>
        <w:ind w:left="567" w:hanging="567"/>
      </w:pPr>
    </w:p>
    <w:sectPr w:rsidR="00E365E1" w:rsidRPr="00957303" w:rsidSect="00470A7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6B2CF8" w14:textId="77777777" w:rsidR="00D11A61" w:rsidRPr="00470A7E" w:rsidRDefault="00D11A61">
      <w:r w:rsidRPr="00470A7E">
        <w:separator/>
      </w:r>
    </w:p>
  </w:endnote>
  <w:endnote w:type="continuationSeparator" w:id="0">
    <w:p w14:paraId="23BF3F7F" w14:textId="77777777" w:rsidR="00D11A61" w:rsidRPr="00470A7E" w:rsidRDefault="00D11A61">
      <w:r w:rsidRPr="00470A7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46BBB" w14:textId="77777777" w:rsidR="00064002" w:rsidRPr="00470A7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7BA7E" w14:textId="77777777" w:rsidR="00064002" w:rsidRPr="00470A7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997BE" w14:textId="77777777" w:rsidR="00064002" w:rsidRPr="00470A7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767C52" w14:textId="77777777" w:rsidR="00D11A61" w:rsidRPr="00470A7E" w:rsidRDefault="00D11A61">
      <w:r w:rsidRPr="00470A7E">
        <w:separator/>
      </w:r>
    </w:p>
  </w:footnote>
  <w:footnote w:type="continuationSeparator" w:id="0">
    <w:p w14:paraId="3636752E" w14:textId="77777777" w:rsidR="00D11A61" w:rsidRPr="00470A7E" w:rsidRDefault="00D11A61">
      <w:r w:rsidRPr="00470A7E">
        <w:continuationSeparator/>
      </w:r>
    </w:p>
  </w:footnote>
  <w:footnote w:id="1">
    <w:p w14:paraId="21F1517A" w14:textId="7DC252A3" w:rsidR="00456A70" w:rsidRPr="00755593" w:rsidRDefault="00456A70" w:rsidP="00470A7E">
      <w:pPr>
        <w:pStyle w:val="FootnoteText"/>
        <w:ind w:left="567" w:hanging="567"/>
        <w:rPr>
          <w:sz w:val="24"/>
          <w:szCs w:val="24"/>
          <w:lang w:val="hu-HU"/>
        </w:rPr>
      </w:pPr>
      <w:r w:rsidRPr="00470A7E">
        <w:rPr>
          <w:rStyle w:val="FootnoteReference"/>
          <w:sz w:val="24"/>
          <w:lang w:val="hu-HU"/>
        </w:rPr>
        <w:footnoteRef/>
      </w:r>
      <w:r w:rsidR="00470A7E" w:rsidRPr="00470A7E">
        <w:rPr>
          <w:sz w:val="24"/>
          <w:lang w:val="hu-HU"/>
        </w:rPr>
        <w:t xml:space="preserve"> </w:t>
      </w:r>
      <w:r w:rsidR="00470A7E" w:rsidRPr="00470A7E">
        <w:rPr>
          <w:sz w:val="24"/>
          <w:lang w:val="hu-HU"/>
        </w:rPr>
        <w:tab/>
      </w:r>
      <w:hyperlink r:id="rId1" w:history="1">
        <w:r w:rsidRPr="00385C79">
          <w:rPr>
            <w:szCs w:val="24"/>
          </w:rPr>
          <w:t>HL C 214., 2023.6.16., 8. o.</w:t>
        </w:r>
      </w:hyperlink>
    </w:p>
  </w:footnote>
  <w:footnote w:id="2">
    <w:p w14:paraId="41CF850B" w14:textId="6761BCA7" w:rsidR="00456A70" w:rsidRPr="00470A7E" w:rsidRDefault="00456A70" w:rsidP="00470A7E">
      <w:pPr>
        <w:pStyle w:val="FootnoteText"/>
        <w:ind w:left="567" w:hanging="567"/>
        <w:rPr>
          <w:sz w:val="24"/>
          <w:lang w:val="hu-HU"/>
        </w:rPr>
      </w:pPr>
      <w:r w:rsidRPr="00470A7E">
        <w:rPr>
          <w:rStyle w:val="FootnoteReference"/>
          <w:sz w:val="24"/>
          <w:lang w:val="hu-HU"/>
        </w:rPr>
        <w:footnoteRef/>
      </w:r>
      <w:r w:rsidR="00470A7E" w:rsidRPr="00470A7E">
        <w:rPr>
          <w:sz w:val="24"/>
          <w:lang w:val="hu-HU"/>
        </w:rPr>
        <w:t xml:space="preserve"> </w:t>
      </w:r>
      <w:r w:rsidR="00470A7E" w:rsidRPr="00470A7E">
        <w:rPr>
          <w:sz w:val="24"/>
          <w:lang w:val="hu-HU"/>
        </w:rPr>
        <w:tab/>
      </w:r>
      <w:r w:rsidRPr="00470A7E">
        <w:rPr>
          <w:sz w:val="24"/>
          <w:lang w:val="hu-HU"/>
        </w:rPr>
        <w:t>Elfogadott szövegek, P10_</w:t>
      </w:r>
      <w:proofErr w:type="gramStart"/>
      <w:r w:rsidRPr="00470A7E">
        <w:rPr>
          <w:sz w:val="24"/>
          <w:lang w:val="hu-HU"/>
        </w:rPr>
        <w:t>TA(</w:t>
      </w:r>
      <w:proofErr w:type="gramEnd"/>
      <w:r w:rsidRPr="00470A7E">
        <w:rPr>
          <w:sz w:val="24"/>
          <w:lang w:val="hu-HU"/>
        </w:rPr>
        <w:t>2025)0107.</w:t>
      </w:r>
    </w:p>
  </w:footnote>
  <w:footnote w:id="3">
    <w:p w14:paraId="512FDB06" w14:textId="33D2AD8A" w:rsidR="00456A70" w:rsidRPr="00470A7E" w:rsidRDefault="00456A70" w:rsidP="00470A7E">
      <w:pPr>
        <w:pStyle w:val="FootnoteText"/>
        <w:ind w:left="567" w:hanging="567"/>
        <w:rPr>
          <w:sz w:val="24"/>
          <w:lang w:val="hu-HU"/>
        </w:rPr>
      </w:pPr>
      <w:r w:rsidRPr="00470A7E">
        <w:rPr>
          <w:rStyle w:val="FootnoteReference"/>
          <w:sz w:val="24"/>
          <w:lang w:val="hu-HU"/>
        </w:rPr>
        <w:footnoteRef/>
      </w:r>
      <w:r w:rsidR="00470A7E" w:rsidRPr="00470A7E">
        <w:rPr>
          <w:sz w:val="24"/>
          <w:lang w:val="hu-HU"/>
        </w:rPr>
        <w:t xml:space="preserve"> </w:t>
      </w:r>
      <w:r w:rsidR="00470A7E" w:rsidRPr="00470A7E">
        <w:rPr>
          <w:sz w:val="24"/>
          <w:lang w:val="hu-HU"/>
        </w:rPr>
        <w:tab/>
      </w:r>
      <w:r w:rsidRPr="00470A7E">
        <w:rPr>
          <w:sz w:val="24"/>
          <w:lang w:val="hu-HU"/>
        </w:rPr>
        <w:t>HL L 218., 2008.8.13., 30. o., ELI: </w:t>
      </w:r>
      <w:hyperlink r:id="rId2" w:tooltip="Gives access to this document through its ELI URI." w:history="1">
        <w:r w:rsidRPr="00470A7E">
          <w:rPr>
            <w:rStyle w:val="Hyperlink"/>
            <w:sz w:val="24"/>
            <w:lang w:val="hu-HU"/>
          </w:rPr>
          <w:t>http://data.europa.eu/eli/reg/2008/765/oj</w:t>
        </w:r>
      </w:hyperlink>
      <w:r w:rsidRPr="00470A7E">
        <w:rPr>
          <w:sz w:val="24"/>
          <w:lang w:val="hu-HU"/>
        </w:rPr>
        <w:t>.</w:t>
      </w:r>
    </w:p>
  </w:footnote>
  <w:footnote w:id="4">
    <w:p w14:paraId="33F261D4" w14:textId="3BB87736" w:rsidR="00456A70" w:rsidRPr="00470A7E" w:rsidRDefault="00456A70" w:rsidP="00470A7E">
      <w:pPr>
        <w:pStyle w:val="FootnoteText"/>
        <w:ind w:left="567" w:hanging="567"/>
        <w:rPr>
          <w:sz w:val="24"/>
          <w:lang w:val="hu-HU"/>
        </w:rPr>
      </w:pPr>
      <w:r w:rsidRPr="00470A7E">
        <w:rPr>
          <w:rStyle w:val="FootnoteReference"/>
          <w:sz w:val="24"/>
          <w:lang w:val="hu-HU"/>
        </w:rPr>
        <w:footnoteRef/>
      </w:r>
      <w:r w:rsidR="00470A7E" w:rsidRPr="00470A7E">
        <w:rPr>
          <w:sz w:val="24"/>
          <w:lang w:val="hu-HU"/>
        </w:rPr>
        <w:t xml:space="preserve"> </w:t>
      </w:r>
      <w:r w:rsidR="00470A7E" w:rsidRPr="00470A7E">
        <w:rPr>
          <w:sz w:val="24"/>
          <w:lang w:val="hu-HU"/>
        </w:rPr>
        <w:tab/>
      </w:r>
      <w:r w:rsidRPr="00470A7E">
        <w:rPr>
          <w:sz w:val="24"/>
          <w:lang w:val="hu-HU"/>
        </w:rPr>
        <w:t>HL L 218., 2008.8.13., 82. o., ELI: </w:t>
      </w:r>
      <w:r w:rsidR="00CF7239">
        <w:fldChar w:fldCharType="begin"/>
      </w:r>
      <w:r w:rsidR="00CF7239" w:rsidRPr="00CF7239">
        <w:rPr>
          <w:lang w:val="de-DE"/>
        </w:rPr>
        <w:instrText>HYPERLINK "http://data.europa.eu/eli/dec/2008/768(1)/oj" \o "Gives access to this document through its ELI URI."</w:instrText>
      </w:r>
      <w:r w:rsidR="00CF7239">
        <w:fldChar w:fldCharType="separate"/>
      </w:r>
      <w:r w:rsidRPr="00470A7E">
        <w:rPr>
          <w:rStyle w:val="Hyperlink"/>
          <w:sz w:val="24"/>
          <w:lang w:val="hu-HU"/>
        </w:rPr>
        <w:t>http://data.europa.eu/eli/dec/2008/768(1)/oj</w:t>
      </w:r>
      <w:r w:rsidR="00CF7239">
        <w:rPr>
          <w:rStyle w:val="Hyperlink"/>
          <w:sz w:val="24"/>
          <w:lang w:val="hu-HU"/>
        </w:rPr>
        <w:fldChar w:fldCharType="end"/>
      </w:r>
      <w:r w:rsidRPr="00470A7E">
        <w:rPr>
          <w:sz w:val="24"/>
          <w:lang w:val="hu-HU"/>
        </w:rPr>
        <w:t>.</w:t>
      </w:r>
    </w:p>
  </w:footnote>
  <w:footnote w:id="5">
    <w:p w14:paraId="749FC406" w14:textId="674D9769" w:rsidR="00456A70" w:rsidRPr="00470A7E" w:rsidRDefault="00456A70" w:rsidP="00470A7E">
      <w:pPr>
        <w:pStyle w:val="FootnoteText"/>
        <w:ind w:left="567" w:hanging="567"/>
        <w:rPr>
          <w:sz w:val="24"/>
          <w:lang w:val="hu-HU"/>
        </w:rPr>
      </w:pPr>
      <w:r w:rsidRPr="00470A7E">
        <w:rPr>
          <w:rStyle w:val="FootnoteReference"/>
          <w:sz w:val="24"/>
          <w:lang w:val="hu-HU"/>
        </w:rPr>
        <w:footnoteRef/>
      </w:r>
      <w:r w:rsidR="00470A7E" w:rsidRPr="00470A7E">
        <w:rPr>
          <w:sz w:val="24"/>
          <w:lang w:val="hu-HU"/>
        </w:rPr>
        <w:t xml:space="preserve"> </w:t>
      </w:r>
      <w:r w:rsidR="00470A7E" w:rsidRPr="00470A7E">
        <w:rPr>
          <w:sz w:val="24"/>
          <w:lang w:val="hu-HU"/>
        </w:rPr>
        <w:tab/>
      </w:r>
      <w:r w:rsidRPr="00470A7E">
        <w:rPr>
          <w:sz w:val="24"/>
          <w:lang w:val="hu-HU"/>
        </w:rPr>
        <w:t>HL L 169., 2019.6.25., 1. o., ELI: </w:t>
      </w:r>
      <w:r w:rsidR="00CF7239">
        <w:fldChar w:fldCharType="begin"/>
      </w:r>
      <w:r w:rsidR="00CF7239" w:rsidRPr="00CF7239">
        <w:rPr>
          <w:lang w:val="de-DE"/>
        </w:rPr>
        <w:instrText>HYPERLINK "http://data.europa.eu/eli/reg/2019/1020/oj" \o "Gives access to this document through its ELI URI."</w:instrText>
      </w:r>
      <w:r w:rsidR="00CF7239">
        <w:fldChar w:fldCharType="separate"/>
      </w:r>
      <w:r w:rsidRPr="00470A7E">
        <w:rPr>
          <w:rStyle w:val="Hyperlink"/>
          <w:sz w:val="24"/>
          <w:lang w:val="hu-HU"/>
        </w:rPr>
        <w:t>http://data.europa.eu/eli/reg/2019/1020/oj</w:t>
      </w:r>
      <w:r w:rsidR="00CF7239">
        <w:rPr>
          <w:rStyle w:val="Hyperlink"/>
          <w:sz w:val="24"/>
          <w:lang w:val="hu-HU"/>
        </w:rPr>
        <w:fldChar w:fldCharType="end"/>
      </w:r>
      <w:r w:rsidRPr="00470A7E">
        <w:rPr>
          <w:sz w:val="24"/>
          <w:lang w:val="hu-HU"/>
        </w:rPr>
        <w:t>.</w:t>
      </w:r>
    </w:p>
  </w:footnote>
  <w:footnote w:id="6">
    <w:p w14:paraId="30301B5B" w14:textId="4385FDC6" w:rsidR="00456A70" w:rsidRPr="00470A7E" w:rsidRDefault="00456A70" w:rsidP="00470A7E">
      <w:pPr>
        <w:pStyle w:val="FootnoteText"/>
        <w:ind w:left="567" w:hanging="567"/>
        <w:rPr>
          <w:sz w:val="24"/>
          <w:lang w:val="hu-HU"/>
        </w:rPr>
      </w:pPr>
      <w:r w:rsidRPr="00470A7E">
        <w:rPr>
          <w:rStyle w:val="FootnoteReference"/>
          <w:sz w:val="24"/>
          <w:lang w:val="hu-HU"/>
        </w:rPr>
        <w:footnoteRef/>
      </w:r>
      <w:r w:rsidR="00470A7E" w:rsidRPr="00470A7E">
        <w:rPr>
          <w:sz w:val="24"/>
          <w:lang w:val="hu-HU"/>
        </w:rPr>
        <w:t xml:space="preserve"> </w:t>
      </w:r>
      <w:r w:rsidR="00470A7E" w:rsidRPr="00470A7E">
        <w:rPr>
          <w:sz w:val="24"/>
          <w:lang w:val="hu-HU"/>
        </w:rPr>
        <w:tab/>
      </w:r>
      <w:r w:rsidRPr="00470A7E">
        <w:rPr>
          <w:sz w:val="24"/>
          <w:lang w:val="hu-HU"/>
        </w:rPr>
        <w:t xml:space="preserve">HL L 316., 2012.11.14., 12. o., ELI: </w:t>
      </w:r>
      <w:r w:rsidR="00CF7239">
        <w:fldChar w:fldCharType="begin"/>
      </w:r>
      <w:r w:rsidR="00CF7239" w:rsidRPr="00CF7239">
        <w:rPr>
          <w:lang w:val="fi-FI"/>
        </w:rPr>
        <w:instrText>HYPERLINK "http://data.europa.eu/eli/reg/2012/1025/oj"</w:instrText>
      </w:r>
      <w:r w:rsidR="00CF7239">
        <w:fldChar w:fldCharType="separate"/>
      </w:r>
      <w:r w:rsidRPr="00470A7E">
        <w:rPr>
          <w:rStyle w:val="Hyperlink"/>
          <w:sz w:val="24"/>
          <w:lang w:val="hu-HU"/>
        </w:rPr>
        <w:t>http://data.europa.eu/eli/reg/2012/1025/oj</w:t>
      </w:r>
      <w:r w:rsidR="00CF7239">
        <w:rPr>
          <w:rStyle w:val="Hyperlink"/>
          <w:sz w:val="24"/>
          <w:lang w:val="hu-HU"/>
        </w:rPr>
        <w:fldChar w:fldCharType="end"/>
      </w:r>
      <w:r w:rsidRPr="00470A7E">
        <w:rPr>
          <w:sz w:val="24"/>
          <w:lang w:val="hu-HU"/>
        </w:rPr>
        <w:t>.</w:t>
      </w:r>
    </w:p>
  </w:footnote>
  <w:footnote w:id="7">
    <w:p w14:paraId="40965198" w14:textId="7DA1DE5D" w:rsidR="00456A70" w:rsidRPr="00470A7E" w:rsidRDefault="00456A70" w:rsidP="00470A7E">
      <w:pPr>
        <w:pStyle w:val="FootnoteText"/>
        <w:ind w:left="567" w:hanging="567"/>
        <w:rPr>
          <w:sz w:val="24"/>
          <w:lang w:val="hu-HU"/>
        </w:rPr>
      </w:pPr>
      <w:r w:rsidRPr="00470A7E">
        <w:rPr>
          <w:rStyle w:val="FootnoteReference"/>
          <w:sz w:val="24"/>
          <w:lang w:val="hu-HU"/>
        </w:rPr>
        <w:footnoteRef/>
      </w:r>
      <w:r w:rsidR="00470A7E" w:rsidRPr="00470A7E">
        <w:rPr>
          <w:sz w:val="24"/>
          <w:lang w:val="hu-HU"/>
        </w:rPr>
        <w:t xml:space="preserve"> </w:t>
      </w:r>
      <w:r w:rsidR="00470A7E" w:rsidRPr="00470A7E">
        <w:rPr>
          <w:sz w:val="24"/>
          <w:lang w:val="hu-HU"/>
        </w:rPr>
        <w:tab/>
      </w:r>
      <w:r w:rsidRPr="00470A7E">
        <w:rPr>
          <w:sz w:val="24"/>
          <w:lang w:val="hu-HU"/>
        </w:rPr>
        <w:t xml:space="preserve">HL L, 2024/2853, 2024.11.18., ELI: </w:t>
      </w:r>
      <w:r w:rsidR="00CF7239">
        <w:fldChar w:fldCharType="begin"/>
      </w:r>
      <w:r w:rsidR="00CF7239" w:rsidRPr="00CF7239">
        <w:rPr>
          <w:lang w:val="fi-FI"/>
        </w:rPr>
        <w:instrText>HYPERLINK "http://data.europa.eu/eli/dir/2024/2853/oj"</w:instrText>
      </w:r>
      <w:r w:rsidR="00CF7239">
        <w:fldChar w:fldCharType="separate"/>
      </w:r>
      <w:r w:rsidRPr="00470A7E">
        <w:rPr>
          <w:rStyle w:val="Hyperlink"/>
          <w:sz w:val="24"/>
          <w:lang w:val="hu-HU"/>
        </w:rPr>
        <w:t>http://data.europa.eu/eli/dir/2024/2853/oj</w:t>
      </w:r>
      <w:r w:rsidR="00CF7239">
        <w:rPr>
          <w:rStyle w:val="Hyperlink"/>
          <w:sz w:val="24"/>
          <w:lang w:val="hu-HU"/>
        </w:rPr>
        <w:fldChar w:fldCharType="end"/>
      </w:r>
      <w:r w:rsidRPr="00470A7E">
        <w:rPr>
          <w:sz w:val="24"/>
          <w:lang w:val="hu-HU"/>
        </w:rPr>
        <w:t>.</w:t>
      </w:r>
    </w:p>
  </w:footnote>
  <w:footnote w:id="8">
    <w:p w14:paraId="61C4FE65" w14:textId="385954C4" w:rsidR="00456A70" w:rsidRPr="00470A7E" w:rsidRDefault="00456A70" w:rsidP="00470A7E">
      <w:pPr>
        <w:pStyle w:val="FootnoteText"/>
        <w:ind w:left="567" w:hanging="567"/>
        <w:rPr>
          <w:sz w:val="24"/>
          <w:lang w:val="hu-HU"/>
        </w:rPr>
      </w:pPr>
      <w:r w:rsidRPr="00470A7E">
        <w:rPr>
          <w:rStyle w:val="FootnoteReference"/>
          <w:sz w:val="24"/>
          <w:lang w:val="hu-HU"/>
        </w:rPr>
        <w:footnoteRef/>
      </w:r>
      <w:r w:rsidR="00470A7E" w:rsidRPr="00470A7E">
        <w:rPr>
          <w:sz w:val="24"/>
          <w:lang w:val="hu-HU"/>
        </w:rPr>
        <w:t xml:space="preserve"> </w:t>
      </w:r>
      <w:r w:rsidR="00470A7E" w:rsidRPr="00470A7E">
        <w:rPr>
          <w:sz w:val="24"/>
          <w:lang w:val="hu-HU"/>
        </w:rPr>
        <w:tab/>
      </w:r>
      <w:r w:rsidRPr="00470A7E">
        <w:rPr>
          <w:sz w:val="24"/>
          <w:lang w:val="hu-HU"/>
        </w:rPr>
        <w:t>HL L 136., 2019.5.22., 28. o., ELI: </w:t>
      </w:r>
      <w:r w:rsidR="00CF7239">
        <w:fldChar w:fldCharType="begin"/>
      </w:r>
      <w:r w:rsidR="00CF7239" w:rsidRPr="00CF7239">
        <w:rPr>
          <w:lang w:val="de-DE"/>
        </w:rPr>
        <w:instrText>HYPERLINK "http://data.europa.eu/eli/dir/2019/771/oj" \o "Gives access to this document through its ELI URI."</w:instrText>
      </w:r>
      <w:r w:rsidR="00CF7239">
        <w:fldChar w:fldCharType="separate"/>
      </w:r>
      <w:r w:rsidRPr="00470A7E">
        <w:rPr>
          <w:rStyle w:val="Hyperlink"/>
          <w:sz w:val="24"/>
          <w:lang w:val="hu-HU"/>
        </w:rPr>
        <w:t>http://data.europa.eu/eli/dir/2019/771/oj</w:t>
      </w:r>
      <w:r w:rsidR="00CF7239">
        <w:rPr>
          <w:rStyle w:val="Hyperlink"/>
          <w:sz w:val="24"/>
          <w:lang w:val="hu-HU"/>
        </w:rPr>
        <w:fldChar w:fldCharType="end"/>
      </w:r>
      <w:r w:rsidRPr="00470A7E">
        <w:rPr>
          <w:sz w:val="24"/>
          <w:lang w:val="hu-HU"/>
        </w:rPr>
        <w:t>.</w:t>
      </w:r>
    </w:p>
  </w:footnote>
  <w:footnote w:id="9">
    <w:p w14:paraId="5D606226" w14:textId="1B723BA0" w:rsidR="00456A70" w:rsidRPr="00470A7E" w:rsidRDefault="00456A70" w:rsidP="00470A7E">
      <w:pPr>
        <w:pStyle w:val="FootnoteText"/>
        <w:ind w:left="567" w:hanging="567"/>
        <w:rPr>
          <w:sz w:val="24"/>
          <w:lang w:val="hu-HU"/>
        </w:rPr>
      </w:pPr>
      <w:r w:rsidRPr="00470A7E">
        <w:rPr>
          <w:rStyle w:val="FootnoteReference"/>
          <w:sz w:val="24"/>
          <w:lang w:val="hu-HU"/>
        </w:rPr>
        <w:footnoteRef/>
      </w:r>
      <w:r w:rsidR="00470A7E" w:rsidRPr="00470A7E">
        <w:rPr>
          <w:sz w:val="24"/>
          <w:lang w:val="hu-HU"/>
        </w:rPr>
        <w:t xml:space="preserve"> </w:t>
      </w:r>
      <w:r w:rsidR="00470A7E" w:rsidRPr="00470A7E">
        <w:rPr>
          <w:sz w:val="24"/>
          <w:lang w:val="hu-HU"/>
        </w:rPr>
        <w:tab/>
      </w:r>
      <w:r w:rsidRPr="00470A7E">
        <w:rPr>
          <w:sz w:val="24"/>
          <w:lang w:val="hu-HU"/>
        </w:rPr>
        <w:t xml:space="preserve">HL L, 2024/1799, 2024.7.10., ELI: </w:t>
      </w:r>
      <w:r w:rsidR="00CF7239">
        <w:fldChar w:fldCharType="begin"/>
      </w:r>
      <w:r w:rsidR="00CF7239" w:rsidRPr="00CF7239">
        <w:rPr>
          <w:lang w:val="fi-FI"/>
        </w:rPr>
        <w:instrText>HYPERLINK "http://data.europa.eu/eli/dir/2024/1799/oj"</w:instrText>
      </w:r>
      <w:r w:rsidR="00CF7239">
        <w:fldChar w:fldCharType="separate"/>
      </w:r>
      <w:r w:rsidRPr="00470A7E">
        <w:rPr>
          <w:rStyle w:val="Hyperlink"/>
          <w:sz w:val="24"/>
          <w:lang w:val="hu-HU"/>
        </w:rPr>
        <w:t>http://data.europa.eu/eli/dir/2024/1799/oj</w:t>
      </w:r>
      <w:r w:rsidR="00CF7239">
        <w:rPr>
          <w:rStyle w:val="Hyperlink"/>
          <w:sz w:val="24"/>
          <w:lang w:val="hu-HU"/>
        </w:rPr>
        <w:fldChar w:fldCharType="end"/>
      </w:r>
      <w:r w:rsidRPr="00470A7E">
        <w:rPr>
          <w:sz w:val="24"/>
          <w:lang w:val="hu-HU"/>
        </w:rPr>
        <w:t>.</w:t>
      </w:r>
    </w:p>
  </w:footnote>
  <w:footnote w:id="10">
    <w:p w14:paraId="55A23680" w14:textId="753B15C4" w:rsidR="00456A70" w:rsidRPr="00470A7E" w:rsidRDefault="00456A70" w:rsidP="00470A7E">
      <w:pPr>
        <w:pStyle w:val="FootnoteText"/>
        <w:ind w:left="567" w:hanging="567"/>
        <w:rPr>
          <w:sz w:val="24"/>
          <w:lang w:val="hu-HU"/>
        </w:rPr>
      </w:pPr>
      <w:r w:rsidRPr="00470A7E">
        <w:rPr>
          <w:rStyle w:val="FootnoteReference"/>
          <w:sz w:val="24"/>
          <w:lang w:val="hu-HU"/>
        </w:rPr>
        <w:footnoteRef/>
      </w:r>
      <w:r w:rsidR="00470A7E" w:rsidRPr="00470A7E">
        <w:rPr>
          <w:sz w:val="24"/>
          <w:lang w:val="hu-HU"/>
        </w:rPr>
        <w:t xml:space="preserve"> </w:t>
      </w:r>
      <w:r w:rsidR="00470A7E" w:rsidRPr="00470A7E">
        <w:rPr>
          <w:sz w:val="24"/>
          <w:lang w:val="hu-HU"/>
        </w:rPr>
        <w:tab/>
      </w:r>
      <w:r w:rsidRPr="00470A7E">
        <w:rPr>
          <w:sz w:val="24"/>
          <w:lang w:val="hu-HU"/>
        </w:rPr>
        <w:t>HL L 345., 2017.12.27., 1. o.</w:t>
      </w:r>
      <w:r w:rsidR="00755593">
        <w:rPr>
          <w:sz w:val="24"/>
          <w:lang w:val="hu-HU"/>
        </w:rPr>
        <w:t>,</w:t>
      </w:r>
      <w:r w:rsidRPr="00470A7E">
        <w:rPr>
          <w:sz w:val="24"/>
          <w:lang w:val="hu-HU"/>
        </w:rPr>
        <w:t xml:space="preserve"> ELI: </w:t>
      </w:r>
      <w:r w:rsidR="00CF7239">
        <w:fldChar w:fldCharType="begin"/>
      </w:r>
      <w:r w:rsidR="00CF7239" w:rsidRPr="00CF7239">
        <w:rPr>
          <w:lang w:val="fi-FI"/>
        </w:rPr>
        <w:instrText>HYPERLINK "http://data.europa.eu/eli/reg/2017/2394/oj"</w:instrText>
      </w:r>
      <w:r w:rsidR="00CF7239">
        <w:fldChar w:fldCharType="separate"/>
      </w:r>
      <w:r w:rsidRPr="00470A7E">
        <w:rPr>
          <w:rStyle w:val="Hyperlink"/>
          <w:sz w:val="24"/>
          <w:lang w:val="hu-HU"/>
        </w:rPr>
        <w:t>http://data.europa.eu/eli/reg/2017/2394/oj</w:t>
      </w:r>
      <w:r w:rsidR="00CF7239">
        <w:rPr>
          <w:rStyle w:val="Hyperlink"/>
          <w:sz w:val="24"/>
          <w:lang w:val="hu-HU"/>
        </w:rPr>
        <w:fldChar w:fldCharType="end"/>
      </w:r>
      <w:r w:rsidRPr="00470A7E">
        <w:rPr>
          <w:sz w:val="24"/>
          <w:lang w:val="hu-HU"/>
        </w:rPr>
        <w:t>.</w:t>
      </w:r>
    </w:p>
  </w:footnote>
  <w:footnote w:id="11">
    <w:p w14:paraId="4B11BF84" w14:textId="76BEF9BC" w:rsidR="00456A70" w:rsidRPr="00470A7E" w:rsidRDefault="00456A70" w:rsidP="00470A7E">
      <w:pPr>
        <w:pStyle w:val="FootnoteText"/>
        <w:ind w:left="567" w:hanging="567"/>
        <w:rPr>
          <w:sz w:val="24"/>
          <w:lang w:val="hu-HU"/>
        </w:rPr>
      </w:pPr>
      <w:r w:rsidRPr="00470A7E">
        <w:rPr>
          <w:rStyle w:val="FootnoteReference"/>
          <w:sz w:val="24"/>
          <w:lang w:val="hu-HU"/>
        </w:rPr>
        <w:footnoteRef/>
      </w:r>
      <w:r w:rsidR="00470A7E" w:rsidRPr="00470A7E">
        <w:rPr>
          <w:sz w:val="24"/>
          <w:lang w:val="hu-HU"/>
        </w:rPr>
        <w:t xml:space="preserve"> </w:t>
      </w:r>
      <w:r w:rsidR="00470A7E" w:rsidRPr="00470A7E">
        <w:rPr>
          <w:sz w:val="24"/>
          <w:lang w:val="hu-HU"/>
        </w:rPr>
        <w:tab/>
      </w:r>
      <w:r w:rsidRPr="00470A7E">
        <w:rPr>
          <w:sz w:val="24"/>
          <w:lang w:val="hu-HU"/>
        </w:rPr>
        <w:t>HL L 409., 2020.12.4., 1. o.</w:t>
      </w:r>
      <w:r w:rsidR="00755593">
        <w:rPr>
          <w:sz w:val="24"/>
          <w:lang w:val="hu-HU"/>
        </w:rPr>
        <w:t>,</w:t>
      </w:r>
      <w:r w:rsidRPr="00470A7E">
        <w:rPr>
          <w:sz w:val="24"/>
          <w:lang w:val="hu-HU"/>
        </w:rPr>
        <w:t xml:space="preserve"> ELI: </w:t>
      </w:r>
      <w:r w:rsidR="00CF7239">
        <w:fldChar w:fldCharType="begin"/>
      </w:r>
      <w:r w:rsidR="00CF7239" w:rsidRPr="00CF7239">
        <w:rPr>
          <w:lang w:val="fi-FI"/>
        </w:rPr>
        <w:instrText>HYPERLINK "http://data.europa.eu/eli/dir/2020/1828/oj"</w:instrText>
      </w:r>
      <w:r w:rsidR="00CF7239">
        <w:fldChar w:fldCharType="separate"/>
      </w:r>
      <w:r w:rsidRPr="00470A7E">
        <w:rPr>
          <w:rStyle w:val="Hyperlink"/>
          <w:sz w:val="24"/>
          <w:lang w:val="hu-HU"/>
        </w:rPr>
        <w:t>http://data.europa.eu/eli/dir/2020/1828/oj</w:t>
      </w:r>
      <w:r w:rsidR="00CF7239">
        <w:rPr>
          <w:rStyle w:val="Hyperlink"/>
          <w:sz w:val="24"/>
          <w:lang w:val="hu-HU"/>
        </w:rPr>
        <w:fldChar w:fldCharType="end"/>
      </w:r>
      <w:r w:rsidRPr="00470A7E">
        <w:rPr>
          <w:sz w:val="24"/>
          <w:lang w:val="hu-HU"/>
        </w:rPr>
        <w:t>.</w:t>
      </w:r>
    </w:p>
  </w:footnote>
  <w:footnote w:id="12">
    <w:p w14:paraId="02ECFDD4" w14:textId="56F26C4F" w:rsidR="00456A70" w:rsidRPr="00470A7E" w:rsidRDefault="00456A70" w:rsidP="00470A7E">
      <w:pPr>
        <w:pStyle w:val="FootnoteText"/>
        <w:ind w:left="567" w:hanging="567"/>
        <w:rPr>
          <w:sz w:val="24"/>
          <w:lang w:val="hu-HU"/>
        </w:rPr>
      </w:pPr>
      <w:r w:rsidRPr="00470A7E">
        <w:rPr>
          <w:rStyle w:val="FootnoteReference"/>
          <w:sz w:val="24"/>
          <w:lang w:val="hu-HU"/>
        </w:rPr>
        <w:footnoteRef/>
      </w:r>
      <w:r w:rsidR="00470A7E" w:rsidRPr="00470A7E">
        <w:rPr>
          <w:sz w:val="24"/>
          <w:lang w:val="hu-HU"/>
        </w:rPr>
        <w:t xml:space="preserve"> </w:t>
      </w:r>
      <w:r w:rsidR="00470A7E" w:rsidRPr="00470A7E">
        <w:rPr>
          <w:sz w:val="24"/>
          <w:lang w:val="hu-HU"/>
        </w:rPr>
        <w:tab/>
      </w:r>
      <w:r w:rsidRPr="00470A7E">
        <w:rPr>
          <w:sz w:val="24"/>
          <w:lang w:val="hu-HU"/>
        </w:rPr>
        <w:t>HL C 247., 2022.6.29., 1. o.</w:t>
      </w:r>
    </w:p>
  </w:footnote>
  <w:footnote w:id="13">
    <w:p w14:paraId="58D25D72" w14:textId="70323175" w:rsidR="00456A70" w:rsidRPr="00470A7E" w:rsidRDefault="00456A70" w:rsidP="00470A7E">
      <w:pPr>
        <w:pStyle w:val="FootnoteText"/>
        <w:ind w:left="567" w:hanging="567"/>
        <w:rPr>
          <w:sz w:val="24"/>
          <w:lang w:val="hu-HU"/>
        </w:rPr>
      </w:pPr>
      <w:r w:rsidRPr="00470A7E">
        <w:rPr>
          <w:rStyle w:val="FootnoteReference"/>
          <w:sz w:val="24"/>
          <w:lang w:val="hu-HU"/>
        </w:rPr>
        <w:footnoteRef/>
      </w:r>
      <w:r w:rsidR="00470A7E" w:rsidRPr="00470A7E">
        <w:rPr>
          <w:sz w:val="24"/>
          <w:lang w:val="hu-HU"/>
        </w:rPr>
        <w:t xml:space="preserve"> </w:t>
      </w:r>
      <w:r w:rsidR="00470A7E" w:rsidRPr="00470A7E">
        <w:rPr>
          <w:sz w:val="24"/>
          <w:lang w:val="hu-HU"/>
        </w:rPr>
        <w:tab/>
      </w:r>
      <w:r w:rsidRPr="00470A7E">
        <w:rPr>
          <w:sz w:val="24"/>
          <w:lang w:val="hu-HU"/>
        </w:rPr>
        <w:t xml:space="preserve">HL L 277., 2022.10.27., 1. o., ELI: </w:t>
      </w:r>
      <w:r w:rsidR="00CF7239">
        <w:fldChar w:fldCharType="begin"/>
      </w:r>
      <w:r w:rsidR="00CF7239" w:rsidRPr="00CF7239">
        <w:rPr>
          <w:lang w:val="fi-FI"/>
        </w:rPr>
        <w:instrText>HYPERLINK "http://data.europa.eu/eli/reg/2022/2065/oj"</w:instrText>
      </w:r>
      <w:r w:rsidR="00CF7239">
        <w:fldChar w:fldCharType="separate"/>
      </w:r>
      <w:r w:rsidRPr="00470A7E">
        <w:rPr>
          <w:rStyle w:val="Hyperlink"/>
          <w:sz w:val="24"/>
          <w:lang w:val="hu-HU"/>
        </w:rPr>
        <w:t>http://data.europa.eu/eli/reg/2022/2065/oj</w:t>
      </w:r>
      <w:r w:rsidR="00CF7239">
        <w:rPr>
          <w:rStyle w:val="Hyperlink"/>
          <w:sz w:val="24"/>
          <w:lang w:val="hu-HU"/>
        </w:rPr>
        <w:fldChar w:fldCharType="end"/>
      </w:r>
      <w:r w:rsidRPr="00470A7E">
        <w:rPr>
          <w:sz w:val="24"/>
          <w:lang w:val="hu-HU"/>
        </w:rPr>
        <w:t>.</w:t>
      </w:r>
    </w:p>
  </w:footnote>
  <w:footnote w:id="14">
    <w:p w14:paraId="1957B76F" w14:textId="2E89BA98" w:rsidR="00456A70" w:rsidRPr="00470A7E" w:rsidRDefault="00456A70" w:rsidP="00470A7E">
      <w:pPr>
        <w:pStyle w:val="FootnoteText"/>
        <w:ind w:left="567" w:hanging="567"/>
        <w:rPr>
          <w:sz w:val="24"/>
          <w:lang w:val="hu-HU"/>
        </w:rPr>
      </w:pPr>
      <w:r w:rsidRPr="00470A7E">
        <w:rPr>
          <w:rStyle w:val="FootnoteReference"/>
          <w:sz w:val="24"/>
          <w:lang w:val="hu-HU"/>
        </w:rPr>
        <w:footnoteRef/>
      </w:r>
      <w:r w:rsidR="00470A7E" w:rsidRPr="00470A7E">
        <w:rPr>
          <w:sz w:val="24"/>
          <w:lang w:val="hu-HU"/>
        </w:rPr>
        <w:t xml:space="preserve"> </w:t>
      </w:r>
      <w:r w:rsidR="00470A7E" w:rsidRPr="00470A7E">
        <w:rPr>
          <w:sz w:val="24"/>
          <w:lang w:val="hu-HU"/>
        </w:rPr>
        <w:tab/>
      </w:r>
      <w:r w:rsidRPr="00470A7E">
        <w:rPr>
          <w:sz w:val="24"/>
          <w:lang w:val="hu-HU"/>
        </w:rPr>
        <w:t>HL L 265., 2022.10.12., 1. o., ELI: </w:t>
      </w:r>
      <w:r w:rsidR="00CF7239">
        <w:fldChar w:fldCharType="begin"/>
      </w:r>
      <w:r w:rsidR="00CF7239" w:rsidRPr="00CF7239">
        <w:rPr>
          <w:lang w:val="de-DE"/>
        </w:rPr>
        <w:instrText>HYPERLINK "http://data.europa.eu/eli/reg/2022/1925/oj" \o "Gives access to this document through its ELI URI."</w:instrText>
      </w:r>
      <w:r w:rsidR="00CF7239">
        <w:fldChar w:fldCharType="separate"/>
      </w:r>
      <w:r w:rsidRPr="00470A7E">
        <w:rPr>
          <w:rStyle w:val="Hyperlink"/>
          <w:sz w:val="24"/>
          <w:lang w:val="hu-HU"/>
        </w:rPr>
        <w:t>http://data.europa.eu/eli/reg/2022/1925/oj</w:t>
      </w:r>
      <w:r w:rsidR="00CF7239">
        <w:rPr>
          <w:rStyle w:val="Hyperlink"/>
          <w:sz w:val="24"/>
          <w:lang w:val="hu-HU"/>
        </w:rPr>
        <w:fldChar w:fldCharType="end"/>
      </w:r>
      <w:r w:rsidRPr="00470A7E">
        <w:rPr>
          <w:sz w:val="24"/>
          <w:lang w:val="hu-HU"/>
        </w:rPr>
        <w:t>.</w:t>
      </w:r>
    </w:p>
  </w:footnote>
  <w:footnote w:id="15">
    <w:p w14:paraId="5524DFB6" w14:textId="3C509B2B" w:rsidR="00456A70" w:rsidRPr="00470A7E" w:rsidRDefault="00456A70" w:rsidP="00470A7E">
      <w:pPr>
        <w:pStyle w:val="FootnoteText"/>
        <w:ind w:left="567" w:hanging="567"/>
        <w:rPr>
          <w:sz w:val="24"/>
          <w:lang w:val="hu-HU"/>
        </w:rPr>
      </w:pPr>
      <w:r w:rsidRPr="00470A7E">
        <w:rPr>
          <w:rStyle w:val="FootnoteReference"/>
          <w:sz w:val="24"/>
          <w:lang w:val="hu-HU"/>
        </w:rPr>
        <w:footnoteRef/>
      </w:r>
      <w:r w:rsidR="00470A7E" w:rsidRPr="00470A7E">
        <w:rPr>
          <w:sz w:val="24"/>
          <w:lang w:val="hu-HU"/>
        </w:rPr>
        <w:t xml:space="preserve"> </w:t>
      </w:r>
      <w:r w:rsidR="00470A7E" w:rsidRPr="00470A7E">
        <w:rPr>
          <w:sz w:val="24"/>
          <w:lang w:val="hu-HU"/>
        </w:rPr>
        <w:tab/>
      </w:r>
      <w:r w:rsidRPr="00470A7E">
        <w:rPr>
          <w:sz w:val="24"/>
          <w:lang w:val="hu-HU"/>
        </w:rPr>
        <w:t xml:space="preserve">HL L, 2024/1781, 2024.6.28., ELI: </w:t>
      </w:r>
      <w:r w:rsidR="00CF7239">
        <w:fldChar w:fldCharType="begin"/>
      </w:r>
      <w:r w:rsidR="00CF7239" w:rsidRPr="00CF7239">
        <w:rPr>
          <w:lang w:val="fi-FI"/>
        </w:rPr>
        <w:instrText>HYPERLINK "http://data.europa.eu/eli/reg/2024/1781/oj"</w:instrText>
      </w:r>
      <w:r w:rsidR="00CF7239">
        <w:fldChar w:fldCharType="separate"/>
      </w:r>
      <w:r w:rsidRPr="00470A7E">
        <w:rPr>
          <w:rStyle w:val="Hyperlink"/>
          <w:sz w:val="24"/>
          <w:lang w:val="hu-HU"/>
        </w:rPr>
        <w:t>http://data.europa.eu/eli/reg/2024/1781/oj</w:t>
      </w:r>
      <w:r w:rsidR="00CF7239">
        <w:rPr>
          <w:rStyle w:val="Hyperlink"/>
          <w:sz w:val="24"/>
          <w:lang w:val="hu-HU"/>
        </w:rPr>
        <w:fldChar w:fldCharType="end"/>
      </w:r>
      <w:r w:rsidRPr="00470A7E">
        <w:rPr>
          <w:sz w:val="24"/>
          <w:lang w:val="hu-HU"/>
        </w:rPr>
        <w:t>.</w:t>
      </w:r>
    </w:p>
  </w:footnote>
  <w:footnote w:id="16">
    <w:p w14:paraId="02A7206A" w14:textId="5134C59A" w:rsidR="00456A70" w:rsidRPr="00470A7E" w:rsidRDefault="00456A70" w:rsidP="00470A7E">
      <w:pPr>
        <w:pStyle w:val="FootnoteText"/>
        <w:ind w:left="567" w:hanging="567"/>
        <w:rPr>
          <w:sz w:val="24"/>
          <w:lang w:val="hu-HU"/>
        </w:rPr>
      </w:pPr>
      <w:r w:rsidRPr="00470A7E">
        <w:rPr>
          <w:rStyle w:val="FootnoteReference"/>
          <w:sz w:val="24"/>
          <w:lang w:val="hu-HU"/>
        </w:rPr>
        <w:footnoteRef/>
      </w:r>
      <w:r w:rsidR="00470A7E" w:rsidRPr="00470A7E">
        <w:rPr>
          <w:sz w:val="24"/>
          <w:lang w:val="hu-HU"/>
        </w:rPr>
        <w:t xml:space="preserve"> </w:t>
      </w:r>
      <w:r w:rsidR="00470A7E" w:rsidRPr="00470A7E">
        <w:rPr>
          <w:sz w:val="24"/>
          <w:lang w:val="hu-HU"/>
        </w:rPr>
        <w:tab/>
      </w:r>
      <w:r w:rsidRPr="00470A7E">
        <w:rPr>
          <w:sz w:val="24"/>
          <w:lang w:val="hu-HU"/>
        </w:rPr>
        <w:t>HL L 197., 2012.7.24., 38. o.</w:t>
      </w:r>
      <w:r w:rsidR="00755593">
        <w:rPr>
          <w:sz w:val="24"/>
          <w:lang w:val="hu-HU"/>
        </w:rPr>
        <w:t xml:space="preserve">, </w:t>
      </w:r>
      <w:r w:rsidR="00755593" w:rsidRPr="00755593">
        <w:rPr>
          <w:sz w:val="24"/>
          <w:lang w:val="hu-HU"/>
        </w:rPr>
        <w:t xml:space="preserve">ELI: </w:t>
      </w:r>
      <w:r w:rsidR="00CF7239">
        <w:fldChar w:fldCharType="begin"/>
      </w:r>
      <w:r w:rsidR="00CF7239" w:rsidRPr="00CF7239">
        <w:rPr>
          <w:lang w:val="fi-FI"/>
        </w:rPr>
        <w:instrText>HYPERLINK "http://data.europa.eu/eli/dir/2012/19/oj"</w:instrText>
      </w:r>
      <w:r w:rsidR="00CF7239">
        <w:fldChar w:fldCharType="separate"/>
      </w:r>
      <w:r w:rsidR="00755593" w:rsidRPr="00755593">
        <w:rPr>
          <w:rStyle w:val="Hyperlink"/>
          <w:sz w:val="24"/>
          <w:lang w:val="hu-HU"/>
        </w:rPr>
        <w:t>http://data.europa.eu/eli/dir/2012/19/oj</w:t>
      </w:r>
      <w:r w:rsidR="00CF7239">
        <w:rPr>
          <w:rStyle w:val="Hyperlink"/>
          <w:sz w:val="24"/>
          <w:lang w:val="hu-HU"/>
        </w:rPr>
        <w:fldChar w:fldCharType="end"/>
      </w:r>
      <w:r w:rsidR="00755593">
        <w:rPr>
          <w:sz w:val="24"/>
          <w:lang w:val="hu-HU"/>
        </w:rPr>
        <w:t>.</w:t>
      </w:r>
    </w:p>
  </w:footnote>
  <w:footnote w:id="17">
    <w:p w14:paraId="60932712" w14:textId="62757A30" w:rsidR="00456A70" w:rsidRPr="00470A7E" w:rsidRDefault="00456A70" w:rsidP="00470A7E">
      <w:pPr>
        <w:pStyle w:val="FootnoteText"/>
        <w:ind w:left="567" w:hanging="567"/>
        <w:rPr>
          <w:sz w:val="24"/>
          <w:lang w:val="hu-HU"/>
        </w:rPr>
      </w:pPr>
      <w:r w:rsidRPr="00470A7E">
        <w:rPr>
          <w:rStyle w:val="FootnoteReference"/>
          <w:sz w:val="24"/>
          <w:lang w:val="hu-HU"/>
        </w:rPr>
        <w:footnoteRef/>
      </w:r>
      <w:r w:rsidR="00470A7E" w:rsidRPr="00470A7E">
        <w:rPr>
          <w:sz w:val="24"/>
          <w:lang w:val="hu-HU"/>
        </w:rPr>
        <w:t xml:space="preserve"> </w:t>
      </w:r>
      <w:r w:rsidR="00470A7E" w:rsidRPr="00470A7E">
        <w:rPr>
          <w:sz w:val="24"/>
          <w:lang w:val="hu-HU"/>
        </w:rPr>
        <w:tab/>
      </w:r>
      <w:r w:rsidRPr="00470A7E">
        <w:rPr>
          <w:sz w:val="24"/>
          <w:lang w:val="hu-HU"/>
        </w:rPr>
        <w:t xml:space="preserve">Az Európai Parlament és a Tanács (EU) 2023/988 rendelete (2023. május 10.) az általános termékbiztonságról, az 1025/2012/EU európai parlamenti és tanácsi rendelet és az (EU) 2020/1828 európai parlamenti és tanácsi irányelv módosításáról, valamint a 2001/95/EK európai parlamenti és tanácsi irányelv és a 87/357/EGK tanácsi irányelv hatályon kívül helyezéséről (HL L 135., 2023.5.23., 1. o., ELI: </w:t>
      </w:r>
      <w:r w:rsidR="00CF7239">
        <w:fldChar w:fldCharType="begin"/>
      </w:r>
      <w:r w:rsidR="00CF7239" w:rsidRPr="00CF7239">
        <w:rPr>
          <w:lang w:val="hu-HU"/>
        </w:rPr>
        <w:instrText>HYPERLINK "http://data.europa.eu/eli/reg/2023/988/oj"</w:instrText>
      </w:r>
      <w:r w:rsidR="00CF7239">
        <w:fldChar w:fldCharType="separate"/>
      </w:r>
      <w:r w:rsidRPr="00470A7E">
        <w:rPr>
          <w:rStyle w:val="Hyperlink"/>
          <w:sz w:val="24"/>
          <w:lang w:val="hu-HU"/>
        </w:rPr>
        <w:t>http://data.europa.eu/eli/reg/2023/988/oj</w:t>
      </w:r>
      <w:r w:rsidR="00CF7239">
        <w:rPr>
          <w:rStyle w:val="Hyperlink"/>
          <w:sz w:val="24"/>
          <w:lang w:val="hu-HU"/>
        </w:rPr>
        <w:fldChar w:fldCharType="end"/>
      </w:r>
      <w:r w:rsidRPr="00470A7E">
        <w:rPr>
          <w:sz w:val="24"/>
          <w:lang w:val="hu-HU"/>
        </w:rPr>
        <w:t>).</w:t>
      </w:r>
    </w:p>
  </w:footnote>
  <w:footnote w:id="18">
    <w:p w14:paraId="084ECFF6" w14:textId="177F931E" w:rsidR="00456A70" w:rsidRPr="00470A7E" w:rsidRDefault="00456A70" w:rsidP="00470A7E">
      <w:pPr>
        <w:pStyle w:val="FootnoteText"/>
        <w:ind w:left="567" w:hanging="567"/>
        <w:rPr>
          <w:sz w:val="24"/>
          <w:lang w:val="hu-HU"/>
        </w:rPr>
      </w:pPr>
      <w:r w:rsidRPr="00470A7E">
        <w:rPr>
          <w:rStyle w:val="FootnoteReference"/>
          <w:sz w:val="24"/>
          <w:lang w:val="hu-HU"/>
        </w:rPr>
        <w:footnoteRef/>
      </w:r>
      <w:r w:rsidR="00470A7E" w:rsidRPr="00470A7E">
        <w:rPr>
          <w:sz w:val="24"/>
          <w:lang w:val="hu-HU"/>
        </w:rPr>
        <w:t xml:space="preserve"> </w:t>
      </w:r>
      <w:r w:rsidR="00470A7E" w:rsidRPr="00470A7E">
        <w:rPr>
          <w:sz w:val="24"/>
          <w:lang w:val="hu-HU"/>
        </w:rPr>
        <w:tab/>
      </w:r>
      <w:r w:rsidRPr="00470A7E">
        <w:rPr>
          <w:sz w:val="24"/>
          <w:lang w:val="hu-HU"/>
        </w:rPr>
        <w:t>Az Európai Parlament és a Tanács (EU) 2024/1689 rendelete (2024. június 13.) a mesterséges intelligenciára vonatkozó harmonizált szabályok megállapításáról, valamint a 300/2008/EK, a 167/2013/EU, a 168/2013/EU, az (EU) 2018/858, az (EU) 2018/1139 és az (EU) 2019/2144 rendelet, továbbá a 2014/90/EU, az (EU) 2016/797 és az (EU) 2020/1828 irányelv módosításáról (a mesterséges intelligenciáról szóló rendelet) (HL L,</w:t>
      </w:r>
      <w:r w:rsidR="00755593">
        <w:rPr>
          <w:sz w:val="24"/>
          <w:lang w:val="hu-HU"/>
        </w:rPr>
        <w:t xml:space="preserve"> </w:t>
      </w:r>
      <w:r w:rsidRPr="00470A7E">
        <w:rPr>
          <w:sz w:val="24"/>
          <w:lang w:val="hu-HU"/>
        </w:rPr>
        <w:t>2024/1689, 2024.7.12</w:t>
      </w:r>
      <w:r w:rsidR="00755593">
        <w:rPr>
          <w:sz w:val="24"/>
          <w:lang w:val="hu-HU"/>
        </w:rPr>
        <w:t>.</w:t>
      </w:r>
      <w:r w:rsidRPr="00470A7E">
        <w:rPr>
          <w:sz w:val="24"/>
          <w:lang w:val="hu-HU"/>
        </w:rPr>
        <w:t xml:space="preserve">, ELI: </w:t>
      </w:r>
      <w:r w:rsidR="00CF7239">
        <w:fldChar w:fldCharType="begin"/>
      </w:r>
      <w:r w:rsidR="00CF7239" w:rsidRPr="00CF7239">
        <w:rPr>
          <w:lang w:val="hu-HU"/>
        </w:rPr>
        <w:instrText>HYPERLINK "http://data.europa.eu/eli/reg/2024/1689/oj"</w:instrText>
      </w:r>
      <w:r w:rsidR="00CF7239">
        <w:fldChar w:fldCharType="separate"/>
      </w:r>
      <w:r w:rsidRPr="00470A7E">
        <w:rPr>
          <w:rStyle w:val="Hyperlink"/>
          <w:sz w:val="24"/>
          <w:lang w:val="hu-HU"/>
        </w:rPr>
        <w:t>http://data.europa.eu/eli/reg/2024/1689/oj</w:t>
      </w:r>
      <w:r w:rsidR="00CF7239">
        <w:rPr>
          <w:rStyle w:val="Hyperlink"/>
          <w:sz w:val="24"/>
          <w:lang w:val="hu-HU"/>
        </w:rPr>
        <w:fldChar w:fldCharType="end"/>
      </w:r>
      <w:r w:rsidRPr="00470A7E">
        <w:rPr>
          <w:sz w:val="24"/>
          <w:lang w:val="hu-HU"/>
        </w:rPr>
        <w:t>).</w:t>
      </w:r>
    </w:p>
  </w:footnote>
  <w:footnote w:id="19">
    <w:p w14:paraId="528CC27E" w14:textId="4C43E8F9" w:rsidR="00456A70" w:rsidRPr="00470A7E" w:rsidRDefault="00456A70" w:rsidP="00470A7E">
      <w:pPr>
        <w:pStyle w:val="FootnoteText"/>
        <w:ind w:left="567" w:hanging="567"/>
        <w:rPr>
          <w:sz w:val="24"/>
          <w:lang w:val="hu-HU"/>
        </w:rPr>
      </w:pPr>
      <w:r w:rsidRPr="00470A7E">
        <w:rPr>
          <w:rStyle w:val="FootnoteReference"/>
          <w:sz w:val="24"/>
          <w:lang w:val="hu-HU"/>
        </w:rPr>
        <w:footnoteRef/>
      </w:r>
      <w:r w:rsidR="00470A7E" w:rsidRPr="00470A7E">
        <w:rPr>
          <w:sz w:val="24"/>
          <w:lang w:val="hu-HU"/>
        </w:rPr>
        <w:t xml:space="preserve"> </w:t>
      </w:r>
      <w:r w:rsidR="00470A7E" w:rsidRPr="00470A7E">
        <w:rPr>
          <w:sz w:val="24"/>
          <w:lang w:val="hu-HU"/>
        </w:rPr>
        <w:tab/>
      </w:r>
      <w:r w:rsidRPr="00470A7E">
        <w:rPr>
          <w:sz w:val="24"/>
          <w:lang w:val="hu-HU"/>
        </w:rPr>
        <w:t>Az Európai Parlament és a Tanács (EU) 2016/679 rendelete (2016. április 27.) a természetes személyeknek a személyes adatok kezelése tekintetében történő védelméről és az ilyen adatok szabad áramlásáról, valamint a 95/46/EK irányelv hatályon kívül helyezéséről (általános adatvédelmi rendelet) (HL L 119., 2016.5.4., 1. o., ELI: </w:t>
      </w:r>
      <w:r w:rsidR="00CF7239">
        <w:fldChar w:fldCharType="begin"/>
      </w:r>
      <w:r w:rsidR="00CF7239" w:rsidRPr="00CF7239">
        <w:rPr>
          <w:lang w:val="hu-HU"/>
        </w:rPr>
        <w:instrText>HYPERLINK "http://data.europa.eu/eli/reg/2016/679/oj" \o "Gives access to this document through its ELI URI."</w:instrText>
      </w:r>
      <w:r w:rsidR="00CF7239">
        <w:fldChar w:fldCharType="separate"/>
      </w:r>
      <w:r w:rsidRPr="00470A7E">
        <w:rPr>
          <w:rStyle w:val="Hyperlink"/>
          <w:sz w:val="24"/>
          <w:lang w:val="hu-HU"/>
        </w:rPr>
        <w:t>http://data.europa.eu/eli/reg/2016/679/oj</w:t>
      </w:r>
      <w:r w:rsidR="00CF7239">
        <w:rPr>
          <w:rStyle w:val="Hyperlink"/>
          <w:sz w:val="24"/>
          <w:lang w:val="hu-HU"/>
        </w:rPr>
        <w:fldChar w:fldCharType="end"/>
      </w:r>
      <w:r w:rsidRPr="00470A7E">
        <w:rPr>
          <w:sz w:val="24"/>
          <w:lang w:val="hu-HU"/>
        </w:rPr>
        <w:t>).</w:t>
      </w:r>
    </w:p>
  </w:footnote>
  <w:footnote w:id="20">
    <w:p w14:paraId="7D0E4977" w14:textId="0D261CC1" w:rsidR="00456A70" w:rsidRPr="00470A7E" w:rsidRDefault="00456A70" w:rsidP="00470A7E">
      <w:pPr>
        <w:pStyle w:val="FootnoteText"/>
        <w:ind w:left="567" w:hanging="567"/>
        <w:rPr>
          <w:sz w:val="24"/>
          <w:lang w:val="hu-HU"/>
        </w:rPr>
      </w:pPr>
      <w:r w:rsidRPr="00470A7E">
        <w:rPr>
          <w:rStyle w:val="FootnoteReference"/>
          <w:sz w:val="24"/>
          <w:lang w:val="hu-HU"/>
        </w:rPr>
        <w:footnoteRef/>
      </w:r>
      <w:r w:rsidR="00470A7E" w:rsidRPr="00470A7E">
        <w:rPr>
          <w:sz w:val="24"/>
          <w:lang w:val="hu-HU"/>
        </w:rPr>
        <w:t xml:space="preserve"> </w:t>
      </w:r>
      <w:r w:rsidR="00470A7E" w:rsidRPr="00470A7E">
        <w:rPr>
          <w:sz w:val="24"/>
          <w:lang w:val="hu-HU"/>
        </w:rPr>
        <w:tab/>
      </w:r>
      <w:r w:rsidRPr="00470A7E">
        <w:rPr>
          <w:sz w:val="24"/>
          <w:lang w:val="hu-HU"/>
        </w:rPr>
        <w:t xml:space="preserve">Az Európai Parlament és a Tanács 2008/98/EK irányelve (2008. november 19.) a hulladékokról és egyes irányelvek hatályon kívül helyezéséről (HL L 312., 2008.11.22., 3. o., ELI: </w:t>
      </w:r>
      <w:r w:rsidR="00CF7239">
        <w:fldChar w:fldCharType="begin"/>
      </w:r>
      <w:r w:rsidR="00CF7239" w:rsidRPr="00CF7239">
        <w:rPr>
          <w:lang w:val="hu-HU"/>
        </w:rPr>
        <w:instrText>HYPERLINK "http://data.europa.eu/eli/dir/2008/98/oj"</w:instrText>
      </w:r>
      <w:r w:rsidR="00CF7239">
        <w:fldChar w:fldCharType="separate"/>
      </w:r>
      <w:r w:rsidRPr="00470A7E">
        <w:rPr>
          <w:rStyle w:val="Hyperlink"/>
          <w:sz w:val="24"/>
          <w:lang w:val="hu-HU"/>
        </w:rPr>
        <w:t>http://data.europa.eu/eli/dir/2008/98/oj</w:t>
      </w:r>
      <w:r w:rsidR="00CF7239">
        <w:rPr>
          <w:rStyle w:val="Hyperlink"/>
          <w:sz w:val="24"/>
          <w:lang w:val="hu-HU"/>
        </w:rPr>
        <w:fldChar w:fldCharType="end"/>
      </w:r>
      <w:r w:rsidRPr="00470A7E">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732DD" w14:textId="77777777" w:rsidR="00064002" w:rsidRPr="00470A7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2115B" w14:textId="77777777" w:rsidR="00064002" w:rsidRPr="00470A7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33194" w14:textId="77777777" w:rsidR="00064002" w:rsidRPr="00470A7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12769703">
    <w:abstractNumId w:val="9"/>
  </w:num>
  <w:num w:numId="2" w16cid:durableId="304893948">
    <w:abstractNumId w:val="9"/>
  </w:num>
  <w:num w:numId="3" w16cid:durableId="867445798">
    <w:abstractNumId w:val="7"/>
  </w:num>
  <w:num w:numId="4" w16cid:durableId="691955795">
    <w:abstractNumId w:val="7"/>
  </w:num>
  <w:num w:numId="5" w16cid:durableId="972976705">
    <w:abstractNumId w:val="6"/>
  </w:num>
  <w:num w:numId="6" w16cid:durableId="5139278">
    <w:abstractNumId w:val="6"/>
  </w:num>
  <w:num w:numId="7" w16cid:durableId="693069473">
    <w:abstractNumId w:val="5"/>
  </w:num>
  <w:num w:numId="8" w16cid:durableId="1179127000">
    <w:abstractNumId w:val="5"/>
  </w:num>
  <w:num w:numId="9" w16cid:durableId="144861519">
    <w:abstractNumId w:val="4"/>
  </w:num>
  <w:num w:numId="10" w16cid:durableId="328103156">
    <w:abstractNumId w:val="4"/>
  </w:num>
  <w:num w:numId="11" w16cid:durableId="941717276">
    <w:abstractNumId w:val="8"/>
  </w:num>
  <w:num w:numId="12" w16cid:durableId="860044638">
    <w:abstractNumId w:val="8"/>
  </w:num>
  <w:num w:numId="13" w16cid:durableId="1578396366">
    <w:abstractNumId w:val="3"/>
  </w:num>
  <w:num w:numId="14" w16cid:durableId="1862888530">
    <w:abstractNumId w:val="3"/>
  </w:num>
  <w:num w:numId="15" w16cid:durableId="1154569063">
    <w:abstractNumId w:val="2"/>
  </w:num>
  <w:num w:numId="16" w16cid:durableId="1782527407">
    <w:abstractNumId w:val="2"/>
  </w:num>
  <w:num w:numId="17" w16cid:durableId="682054821">
    <w:abstractNumId w:val="1"/>
  </w:num>
  <w:num w:numId="18" w16cid:durableId="357197396">
    <w:abstractNumId w:val="1"/>
  </w:num>
  <w:num w:numId="19" w16cid:durableId="931864763">
    <w:abstractNumId w:val="0"/>
  </w:num>
  <w:num w:numId="20" w16cid:durableId="271935971">
    <w:abstractNumId w:val="0"/>
  </w:num>
  <w:num w:numId="21" w16cid:durableId="790050145">
    <w:abstractNumId w:val="9"/>
  </w:num>
  <w:num w:numId="22" w16cid:durableId="1155729435">
    <w:abstractNumId w:val="7"/>
  </w:num>
  <w:num w:numId="23" w16cid:durableId="986667626">
    <w:abstractNumId w:val="6"/>
  </w:num>
  <w:num w:numId="24" w16cid:durableId="1852914328">
    <w:abstractNumId w:val="5"/>
  </w:num>
  <w:num w:numId="25" w16cid:durableId="1965699161">
    <w:abstractNumId w:val="4"/>
  </w:num>
  <w:num w:numId="26" w16cid:durableId="834220943">
    <w:abstractNumId w:val="8"/>
  </w:num>
  <w:num w:numId="27" w16cid:durableId="990400507">
    <w:abstractNumId w:val="3"/>
  </w:num>
  <w:num w:numId="28" w16cid:durableId="188639377">
    <w:abstractNumId w:val="2"/>
  </w:num>
  <w:num w:numId="29" w16cid:durableId="1217156776">
    <w:abstractNumId w:val="1"/>
  </w:num>
  <w:num w:numId="30" w16cid:durableId="2101440759">
    <w:abstractNumId w:val="0"/>
  </w:num>
  <w:num w:numId="31" w16cid:durableId="1671834720">
    <w:abstractNumId w:val="9"/>
  </w:num>
  <w:num w:numId="32" w16cid:durableId="1161233247">
    <w:abstractNumId w:val="7"/>
  </w:num>
  <w:num w:numId="33" w16cid:durableId="1408653019">
    <w:abstractNumId w:val="6"/>
  </w:num>
  <w:num w:numId="34" w16cid:durableId="1679693692">
    <w:abstractNumId w:val="5"/>
  </w:num>
  <w:num w:numId="35" w16cid:durableId="1746803210">
    <w:abstractNumId w:val="4"/>
  </w:num>
  <w:num w:numId="36" w16cid:durableId="1609460205">
    <w:abstractNumId w:val="8"/>
  </w:num>
  <w:num w:numId="37" w16cid:durableId="1434589133">
    <w:abstractNumId w:val="3"/>
  </w:num>
  <w:num w:numId="38" w16cid:durableId="1124081270">
    <w:abstractNumId w:val="2"/>
  </w:num>
  <w:num w:numId="39" w16cid:durableId="1968202186">
    <w:abstractNumId w:val="1"/>
  </w:num>
  <w:num w:numId="40" w16cid:durableId="1785228724">
    <w:abstractNumId w:val="0"/>
  </w:num>
  <w:num w:numId="41" w16cid:durableId="1183209559">
    <w:abstractNumId w:val="10"/>
  </w:num>
  <w:num w:numId="42" w16cid:durableId="613831855">
    <w:abstractNumId w:val="10"/>
  </w:num>
  <w:num w:numId="43" w16cid:durableId="1467889524">
    <w:abstractNumId w:val="10"/>
  </w:num>
  <w:num w:numId="44" w16cid:durableId="20823687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9/2025"/>
    <w:docVar w:name="dvlangue" w:val="HU"/>
    <w:docVar w:name="dvnumam" w:val="0"/>
    <w:docVar w:name="dvpe" w:val="771.897"/>
    <w:docVar w:name="dvrapporteur" w:val="Előadó: "/>
    <w:docVar w:name="dvtitre" w:val="Az Európai Parlament 2025.  ...-i állásfoglalása a digitális és fenntartható átállásra alkalmas termékekre vonatkozó új jogszabályi keretről(2024/2119(INI))"/>
  </w:docVars>
  <w:rsids>
    <w:rsidRoot w:val="00D11A61"/>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85C79"/>
    <w:rsid w:val="00395FA1"/>
    <w:rsid w:val="003E15D4"/>
    <w:rsid w:val="00411CCE"/>
    <w:rsid w:val="0041666E"/>
    <w:rsid w:val="00421060"/>
    <w:rsid w:val="00456A70"/>
    <w:rsid w:val="00470A7E"/>
    <w:rsid w:val="00471C19"/>
    <w:rsid w:val="00485A2E"/>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5593"/>
    <w:rsid w:val="00756632"/>
    <w:rsid w:val="00762C74"/>
    <w:rsid w:val="0078305B"/>
    <w:rsid w:val="00786EC0"/>
    <w:rsid w:val="007D1690"/>
    <w:rsid w:val="007E22AD"/>
    <w:rsid w:val="00817416"/>
    <w:rsid w:val="00842779"/>
    <w:rsid w:val="00865F67"/>
    <w:rsid w:val="00881A7B"/>
    <w:rsid w:val="008840E5"/>
    <w:rsid w:val="00887B3E"/>
    <w:rsid w:val="008C2AC6"/>
    <w:rsid w:val="00927F4A"/>
    <w:rsid w:val="00930C23"/>
    <w:rsid w:val="0093193B"/>
    <w:rsid w:val="009509D8"/>
    <w:rsid w:val="00950B64"/>
    <w:rsid w:val="00957303"/>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7239"/>
    <w:rsid w:val="00D058B8"/>
    <w:rsid w:val="00D11A61"/>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514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28B21D"/>
  <w15:chartTrackingRefBased/>
  <w15:docId w15:val="{C71DBC0A-5A98-4F47-8284-F83BDCCC7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56A70"/>
    <w:pPr>
      <w:spacing w:after="240"/>
      <w:ind w:left="567" w:hanging="567"/>
    </w:pPr>
  </w:style>
  <w:style w:type="paragraph" w:customStyle="1" w:styleId="EPComma">
    <w:name w:val="EPComma"/>
    <w:basedOn w:val="Normal"/>
    <w:rsid w:val="00456A70"/>
    <w:pPr>
      <w:spacing w:before="480" w:after="240"/>
    </w:pPr>
  </w:style>
  <w:style w:type="character" w:styleId="Hyperlink">
    <w:name w:val="Hyperlink"/>
    <w:basedOn w:val="DefaultParagraphFont"/>
    <w:rsid w:val="00456A70"/>
    <w:rPr>
      <w:color w:val="0563C1" w:themeColor="hyperlink"/>
      <w:u w:val="single"/>
    </w:rPr>
  </w:style>
  <w:style w:type="paragraph" w:customStyle="1" w:styleId="CAChapter">
    <w:name w:val="CA_Chapter"/>
    <w:basedOn w:val="Normal"/>
    <w:rsid w:val="00456A70"/>
    <w:pPr>
      <w:snapToGrid w:val="0"/>
      <w:spacing w:before="360" w:after="240"/>
      <w:outlineLvl w:val="1"/>
    </w:pPr>
    <w:rPr>
      <w:lang w:eastAsia="en-US"/>
    </w:rPr>
  </w:style>
  <w:style w:type="character" w:customStyle="1" w:styleId="BoldItalic">
    <w:name w:val="BoldItalic"/>
    <w:uiPriority w:val="1"/>
    <w:rsid w:val="00456A70"/>
    <w:rPr>
      <w:b/>
      <w:bCs w:val="0"/>
      <w:i/>
      <w:iCs w:val="0"/>
      <w:strike w:val="0"/>
      <w:dstrike w:val="0"/>
      <w:u w:val="none"/>
      <w:effect w:val="none"/>
    </w:rPr>
  </w:style>
  <w:style w:type="paragraph" w:customStyle="1" w:styleId="CAParagraph">
    <w:name w:val="CA_Paragraph"/>
    <w:basedOn w:val="Normal"/>
    <w:rsid w:val="00456A70"/>
    <w:pPr>
      <w:widowControl/>
      <w:snapToGrid w:val="0"/>
      <w:spacing w:after="240"/>
      <w:ind w:left="567" w:hanging="567"/>
      <w:outlineLvl w:val="2"/>
    </w:pPr>
    <w:rPr>
      <w:lang w:eastAsia="en-US"/>
    </w:rPr>
  </w:style>
  <w:style w:type="character" w:styleId="Strong">
    <w:name w:val="Strong"/>
    <w:basedOn w:val="DefaultParagraphFont"/>
    <w:uiPriority w:val="22"/>
    <w:qFormat/>
    <w:rsid w:val="00456A70"/>
    <w:rPr>
      <w:b/>
      <w:bCs/>
    </w:rPr>
  </w:style>
  <w:style w:type="paragraph" w:customStyle="1" w:styleId="PointTriple0">
    <w:name w:val="PointTriple 0"/>
    <w:basedOn w:val="Normal"/>
    <w:rsid w:val="00456A70"/>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Normal12a24b">
    <w:name w:val="Normal12a24b"/>
    <w:basedOn w:val="Normal"/>
    <w:rsid w:val="00456A70"/>
    <w:pPr>
      <w:snapToGrid w:val="0"/>
      <w:spacing w:before="360" w:after="240"/>
    </w:pPr>
    <w:rPr>
      <w:lang w:eastAsia="en-US"/>
    </w:rPr>
  </w:style>
  <w:style w:type="paragraph" w:styleId="Revision">
    <w:name w:val="Revision"/>
    <w:hidden/>
    <w:uiPriority w:val="99"/>
    <w:semiHidden/>
    <w:rsid w:val="00755593"/>
    <w:rPr>
      <w:sz w:val="24"/>
      <w:lang w:val="hu-HU"/>
    </w:rPr>
  </w:style>
  <w:style w:type="character" w:styleId="CommentReference">
    <w:name w:val="annotation reference"/>
    <w:basedOn w:val="DefaultParagraphFont"/>
    <w:rsid w:val="00755593"/>
    <w:rPr>
      <w:sz w:val="16"/>
      <w:szCs w:val="16"/>
    </w:rPr>
  </w:style>
  <w:style w:type="paragraph" w:styleId="CommentText">
    <w:name w:val="annotation text"/>
    <w:basedOn w:val="Normal"/>
    <w:link w:val="CommentTextChar"/>
    <w:rsid w:val="00755593"/>
    <w:rPr>
      <w:sz w:val="20"/>
    </w:rPr>
  </w:style>
  <w:style w:type="character" w:customStyle="1" w:styleId="CommentTextChar">
    <w:name w:val="Comment Text Char"/>
    <w:basedOn w:val="DefaultParagraphFont"/>
    <w:link w:val="CommentText"/>
    <w:rsid w:val="00755593"/>
    <w:rPr>
      <w:lang w:val="hu-HU"/>
    </w:rPr>
  </w:style>
  <w:style w:type="paragraph" w:styleId="CommentSubject">
    <w:name w:val="annotation subject"/>
    <w:basedOn w:val="CommentText"/>
    <w:next w:val="CommentText"/>
    <w:link w:val="CommentSubjectChar"/>
    <w:rsid w:val="00755593"/>
    <w:rPr>
      <w:b/>
      <w:bCs/>
    </w:rPr>
  </w:style>
  <w:style w:type="character" w:customStyle="1" w:styleId="CommentSubjectChar">
    <w:name w:val="Comment Subject Char"/>
    <w:basedOn w:val="CommentTextChar"/>
    <w:link w:val="CommentSubject"/>
    <w:rsid w:val="00755593"/>
    <w:rPr>
      <w:b/>
      <w:bCs/>
      <w:lang w:val="hu-HU"/>
    </w:rPr>
  </w:style>
  <w:style w:type="character" w:styleId="UnresolvedMention">
    <w:name w:val="Unresolved Mention"/>
    <w:basedOn w:val="DefaultParagraphFont"/>
    <w:uiPriority w:val="99"/>
    <w:semiHidden/>
    <w:unhideWhenUsed/>
    <w:rsid w:val="007555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08/765/oj" TargetMode="External"/><Relationship Id="rId1" Type="http://schemas.openxmlformats.org/officeDocument/2006/relationships/hyperlink" Target="https://eur-lex.europa.eu/legal-content/EN/TXT/?uri=CELEX:52023IP0007&amp;qid=174420695468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6202</Words>
  <Characters>41435</Characters>
  <Application>Microsoft Office Word</Application>
  <DocSecurity>0</DocSecurity>
  <Lines>1801</Lines>
  <Paragraphs>916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2025-11-24T16:04:00Z</dcterms:created>
  <dcterms:modified xsi:type="dcterms:W3CDTF">2025-11-24T16:04:00Z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A10-0189/2025</vt:lpwstr>
  </property>
  <property fmtid="{D5CDD505-2E9C-101B-9397-08002B2CF9AE}" pid="4" name="&lt;Type&gt;">
    <vt:lpwstr>RR</vt:lpwstr>
  </property>
</Properties>
</file>