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A5059" w14:paraId="20F4AC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C57E57" w14:textId="77777777" w:rsidR="00751A4A" w:rsidRPr="00BA5059" w:rsidRDefault="003F0027" w:rsidP="0010095E">
            <w:pPr>
              <w:pStyle w:val="EPName"/>
            </w:pPr>
            <w:r w:rsidRPr="00BA5059">
              <w:t>Evropský parlament</w:t>
            </w:r>
          </w:p>
          <w:p w14:paraId="748C8E9E" w14:textId="77777777" w:rsidR="00751A4A" w:rsidRPr="00BA5059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A5059">
              <w:t>2024</w:t>
            </w:r>
            <w:r w:rsidR="00817416" w:rsidRPr="00BA5059">
              <w:t>-202</w:t>
            </w:r>
            <w:r w:rsidRPr="00BA5059">
              <w:t>9</w:t>
            </w:r>
          </w:p>
        </w:tc>
        <w:tc>
          <w:tcPr>
            <w:tcW w:w="2268" w:type="dxa"/>
            <w:shd w:val="clear" w:color="auto" w:fill="auto"/>
          </w:tcPr>
          <w:p w14:paraId="4F483A62" w14:textId="77777777" w:rsidR="00751A4A" w:rsidRPr="00BA5059" w:rsidRDefault="00187494" w:rsidP="0010095E">
            <w:pPr>
              <w:pStyle w:val="EPLogo"/>
            </w:pPr>
            <w:r w:rsidRPr="00BA5059">
              <w:rPr>
                <w:noProof/>
                <w:lang w:eastAsia="ja-JP"/>
              </w:rPr>
              <w:drawing>
                <wp:inline distT="0" distB="0" distL="0" distR="0" wp14:anchorId="3739338F" wp14:editId="287BC84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58B723C" w14:textId="77777777" w:rsidR="00D058B8" w:rsidRPr="00BA5059" w:rsidRDefault="00D058B8" w:rsidP="004C5D52">
      <w:pPr>
        <w:pStyle w:val="LineTop"/>
      </w:pPr>
    </w:p>
    <w:p w14:paraId="31AA54AB" w14:textId="77777777" w:rsidR="00680577" w:rsidRPr="00BA5059" w:rsidRDefault="003F0027" w:rsidP="00680577">
      <w:pPr>
        <w:pStyle w:val="EPBodyTA1"/>
      </w:pPr>
      <w:r w:rsidRPr="00BA5059">
        <w:t>PŘIJATÉ TEXTY</w:t>
      </w:r>
    </w:p>
    <w:p w14:paraId="6E7EFB09" w14:textId="77777777" w:rsidR="00D058B8" w:rsidRPr="00BA5059" w:rsidRDefault="00D058B8" w:rsidP="00D058B8">
      <w:pPr>
        <w:pStyle w:val="LineBottom"/>
      </w:pPr>
    </w:p>
    <w:p w14:paraId="18717D16" w14:textId="61ACFE6D" w:rsidR="003F0027" w:rsidRPr="00BA5059" w:rsidRDefault="003F0027" w:rsidP="003F0027">
      <w:pPr>
        <w:pStyle w:val="ATHeading1"/>
      </w:pPr>
      <w:bookmarkStart w:id="0" w:name="TANumber"/>
      <w:r w:rsidRPr="00BA5059">
        <w:t>P10_TA(2025)0</w:t>
      </w:r>
      <w:r w:rsidR="00714022">
        <w:t>243</w:t>
      </w:r>
      <w:bookmarkEnd w:id="0"/>
    </w:p>
    <w:p w14:paraId="54D86F5C" w14:textId="10190025" w:rsidR="003F0027" w:rsidRPr="00BA5059" w:rsidRDefault="000A4F48" w:rsidP="003F0027">
      <w:pPr>
        <w:pStyle w:val="ATHeading2"/>
      </w:pPr>
      <w:r>
        <w:t>Nevyslovení námitky</w:t>
      </w:r>
      <w:r w:rsidR="00924725">
        <w:t xml:space="preserve"> </w:t>
      </w:r>
      <w:r w:rsidR="00924725" w:rsidRPr="0090587D">
        <w:t xml:space="preserve">vůči </w:t>
      </w:r>
      <w:r w:rsidR="00924725">
        <w:t xml:space="preserve">aktu v přenesené pravomoci: </w:t>
      </w:r>
      <w:r w:rsidR="006836BA" w:rsidRPr="00BA5059">
        <w:t>nomenklatur</w:t>
      </w:r>
      <w:r w:rsidR="006836BA">
        <w:t>a</w:t>
      </w:r>
      <w:r w:rsidR="006836BA" w:rsidRPr="00BA5059">
        <w:t xml:space="preserve"> dimenzí a kódů pro typy intervencí pro EFRR, ESF+, Fond soudržnosti a FST</w:t>
      </w:r>
    </w:p>
    <w:p w14:paraId="0E35095F" w14:textId="77777777" w:rsidR="003F0027" w:rsidRPr="00BA5059" w:rsidRDefault="003F0027" w:rsidP="003F0027">
      <w:pPr>
        <w:rPr>
          <w:i/>
          <w:vanish/>
        </w:rPr>
      </w:pPr>
      <w:r w:rsidRPr="00BA5059">
        <w:rPr>
          <w:i/>
        </w:rPr>
        <w:fldChar w:fldCharType="begin"/>
      </w:r>
      <w:r w:rsidRPr="00BA5059">
        <w:rPr>
          <w:i/>
        </w:rPr>
        <w:instrText xml:space="preserve"> TC"(</w:instrText>
      </w:r>
      <w:bookmarkStart w:id="1" w:name="DocNumber"/>
      <w:r w:rsidRPr="00BA5059">
        <w:rPr>
          <w:i/>
        </w:rPr>
        <w:instrText>B10-0460/2025</w:instrText>
      </w:r>
      <w:bookmarkEnd w:id="1"/>
      <w:r w:rsidRPr="00BA5059">
        <w:rPr>
          <w:i/>
        </w:rPr>
        <w:instrText xml:space="preserve">)"\l3 \n&gt; \* MERGEFORMAT </w:instrText>
      </w:r>
      <w:r w:rsidRPr="00BA5059">
        <w:rPr>
          <w:i/>
        </w:rPr>
        <w:fldChar w:fldCharType="end"/>
      </w:r>
    </w:p>
    <w:p w14:paraId="23B53909" w14:textId="77777777" w:rsidR="003F0027" w:rsidRPr="00BA5059" w:rsidRDefault="003F0027" w:rsidP="003F0027">
      <w:pPr>
        <w:rPr>
          <w:vanish/>
        </w:rPr>
      </w:pPr>
      <w:bookmarkStart w:id="2" w:name="PE"/>
      <w:r w:rsidRPr="00BA5059">
        <w:rPr>
          <w:vanish/>
        </w:rPr>
        <w:t>PE778.177</w:t>
      </w:r>
      <w:bookmarkEnd w:id="2"/>
    </w:p>
    <w:p w14:paraId="7A59D898" w14:textId="79B727B1" w:rsidR="003F0027" w:rsidRPr="00BA5059" w:rsidRDefault="003F0027" w:rsidP="003F0027">
      <w:pPr>
        <w:pStyle w:val="ATHeading3"/>
      </w:pPr>
      <w:bookmarkStart w:id="3" w:name="Sujet"/>
      <w:r w:rsidRPr="00BA5059">
        <w:t xml:space="preserve">Rozhodnutí Evropského parlamentu nevyslovit námitku </w:t>
      </w:r>
      <w:r w:rsidR="00AD5A37">
        <w:t>vůči</w:t>
      </w:r>
      <w:r w:rsidRPr="00BA5059">
        <w:t> nařízení Komise v přenesené pravomoci ze dne 22. září 2025, kterým se mění příloha I nařízení Evropského parlamentu a Rady (EU) 2021/1060, pokud jde o nomenklaturu dimenzí a kódů pro typy intervencí pro EFRR, ESF+, Fond soudržnosti a FST</w:t>
      </w:r>
      <w:r w:rsidR="00BA5059" w:rsidRPr="00BA5059">
        <w:t xml:space="preserve"> </w:t>
      </w:r>
      <w:bookmarkStart w:id="4" w:name="References"/>
      <w:r w:rsidRPr="00BA5059">
        <w:t>(C(2025)</w:t>
      </w:r>
      <w:proofErr w:type="gramStart"/>
      <w:r w:rsidRPr="00BA5059">
        <w:t>06376 – 2025</w:t>
      </w:r>
      <w:proofErr w:type="gramEnd"/>
      <w:r w:rsidRPr="00BA5059">
        <w:t>/2888(DEA))</w:t>
      </w:r>
      <w:bookmarkEnd w:id="4"/>
    </w:p>
    <w:p w14:paraId="54169A43" w14:textId="77777777" w:rsidR="00F94153" w:rsidRPr="00BA5059" w:rsidRDefault="00F94153" w:rsidP="00F94153">
      <w:pPr>
        <w:pStyle w:val="EPComma"/>
      </w:pPr>
      <w:bookmarkStart w:id="5" w:name="TextBodyBegin"/>
      <w:bookmarkEnd w:id="3"/>
      <w:bookmarkEnd w:id="5"/>
      <w:r w:rsidRPr="00BA5059">
        <w:rPr>
          <w:i/>
        </w:rPr>
        <w:t>Evropský parlament</w:t>
      </w:r>
      <w:r w:rsidRPr="00BA5059">
        <w:t>,</w:t>
      </w:r>
    </w:p>
    <w:p w14:paraId="0228E578" w14:textId="2F487A20" w:rsidR="00F94153" w:rsidRPr="00BA5059" w:rsidRDefault="00F94153" w:rsidP="00BA5059">
      <w:pPr>
        <w:pStyle w:val="NormalHanging12a"/>
      </w:pPr>
      <w:r w:rsidRPr="00BA5059">
        <w:t>–</w:t>
      </w:r>
      <w:r w:rsidRPr="00BA5059">
        <w:tab/>
        <w:t xml:space="preserve">s ohledem na nařízení Komise v přenesené pravomoci </w:t>
      </w:r>
      <w:r w:rsidR="00775CC0">
        <w:t>(</w:t>
      </w:r>
      <w:r w:rsidRPr="00BA5059">
        <w:t>C(2025)06376</w:t>
      </w:r>
      <w:r w:rsidR="00775CC0">
        <w:t>)</w:t>
      </w:r>
      <w:r w:rsidRPr="00BA5059">
        <w:t>,</w:t>
      </w:r>
    </w:p>
    <w:p w14:paraId="75F7D9FF" w14:textId="36F3E26C" w:rsidR="00F94153" w:rsidRPr="00BA5059" w:rsidRDefault="00F94153" w:rsidP="00BA5059">
      <w:pPr>
        <w:pStyle w:val="NormalHanging12a"/>
      </w:pPr>
      <w:r w:rsidRPr="00BA5059">
        <w:t>–</w:t>
      </w:r>
      <w:r w:rsidRPr="00BA5059">
        <w:tab/>
        <w:t xml:space="preserve">s ohledem na dopis Komise ze dne 22. září 2025, kterým Komise žádá Evropský parlament, aby uvedl, že </w:t>
      </w:r>
      <w:r w:rsidR="000B32B8">
        <w:t>nevysloví námitku vůči</w:t>
      </w:r>
      <w:r w:rsidRPr="00BA5059">
        <w:t xml:space="preserve"> nařízení v přenesené pravomoci,</w:t>
      </w:r>
    </w:p>
    <w:p w14:paraId="40730EB0" w14:textId="45420CBF" w:rsidR="00F94153" w:rsidRPr="00BA5059" w:rsidRDefault="00F94153" w:rsidP="00BA5059">
      <w:pPr>
        <w:pStyle w:val="NormalHanging12a"/>
      </w:pPr>
      <w:r w:rsidRPr="00BA5059">
        <w:t>–</w:t>
      </w:r>
      <w:r w:rsidRPr="00BA5059">
        <w:tab/>
        <w:t xml:space="preserve">s ohledem na dopis Výboru pro regionální rozvoj předsedovi Konference předsedů výborů ze dne </w:t>
      </w:r>
      <w:r w:rsidR="00773D3A">
        <w:t>14. října 2025</w:t>
      </w:r>
      <w:r w:rsidRPr="00BA5059">
        <w:t>,</w:t>
      </w:r>
    </w:p>
    <w:p w14:paraId="19075ADE" w14:textId="77777777" w:rsidR="00F94153" w:rsidRPr="00BA5059" w:rsidRDefault="00F94153" w:rsidP="00BA5059">
      <w:pPr>
        <w:pStyle w:val="NormalHanging12a"/>
      </w:pPr>
      <w:r w:rsidRPr="00BA5059">
        <w:t>–</w:t>
      </w:r>
      <w:r w:rsidRPr="00BA5059">
        <w:tab/>
        <w:t>s ohledem na článek 290 Smlouvy o fungování Evropské unie,</w:t>
      </w:r>
    </w:p>
    <w:p w14:paraId="4A35C3D3" w14:textId="77777777" w:rsidR="00F94153" w:rsidRPr="00BA5059" w:rsidRDefault="00F94153" w:rsidP="00BA5059">
      <w:pPr>
        <w:pStyle w:val="NormalHanging12a"/>
      </w:pPr>
      <w:r w:rsidRPr="00BA5059">
        <w:t>–</w:t>
      </w:r>
      <w:r w:rsidRPr="00BA5059">
        <w:tab/>
        <w:t>s ohledem na nařízení Evropského parlamentu a Rady (EU) 2021/1060 ze dne 24. června 2021 o společných ustanoveních pro Evropský fond pro regionální rozvoj, Evropský sociální fond plus, Fond soudržnosti, Fond pro spravedlivou transformaci a Evropský námořní, rybářský a akvakulturní fond a o finančních pravidlech pro tyto fondy a pro Azylový, migrační a integrační fond, Fond pro vnitřní bezpečnost a Nástroj pro finanční podporu správy hranic a vízové politiky</w:t>
      </w:r>
      <w:r w:rsidRPr="00BA5059">
        <w:rPr>
          <w:vertAlign w:val="superscript"/>
        </w:rPr>
        <w:footnoteReference w:id="1"/>
      </w:r>
      <w:r w:rsidRPr="00BA5059">
        <w:t>, a zejména na článek 113 a čl. 114 odst. 6 uvedeného nařízení,</w:t>
      </w:r>
    </w:p>
    <w:p w14:paraId="0BA652F1" w14:textId="77777777" w:rsidR="00F94153" w:rsidRPr="00BA5059" w:rsidRDefault="00F94153" w:rsidP="00BA5059">
      <w:pPr>
        <w:pStyle w:val="NormalHanging12a"/>
      </w:pPr>
      <w:r w:rsidRPr="00BA5059">
        <w:t>–</w:t>
      </w:r>
      <w:r w:rsidRPr="00BA5059">
        <w:tab/>
        <w:t>s ohledem na čl. 114 odst. 6 jednacího řádu,</w:t>
      </w:r>
    </w:p>
    <w:p w14:paraId="06C8A080" w14:textId="77777777" w:rsidR="00F94153" w:rsidRDefault="00F94153" w:rsidP="00BA5059">
      <w:pPr>
        <w:pStyle w:val="NormalHanging12a"/>
      </w:pPr>
      <w:r w:rsidRPr="00BA5059">
        <w:t>–</w:t>
      </w:r>
      <w:r w:rsidRPr="00BA5059">
        <w:tab/>
        <w:t>s ohledem na doporučení k rozhodnutí Výboru pro regionální rozvoj,</w:t>
      </w:r>
    </w:p>
    <w:p w14:paraId="5F9C1A05" w14:textId="63082F10" w:rsidR="0075113F" w:rsidRPr="00BA5059" w:rsidRDefault="0075113F" w:rsidP="00BA5059">
      <w:pPr>
        <w:pStyle w:val="NormalHanging12a"/>
      </w:pPr>
      <w:r>
        <w:t>–</w:t>
      </w:r>
      <w:r>
        <w:tab/>
      </w:r>
      <w:r w:rsidRPr="0075113F">
        <w:t xml:space="preserve">s ohledem na to, že ve lhůtě stanovené v čl. 114 odst. 6 třetí a čtvrté odrážce jednacího </w:t>
      </w:r>
      <w:r w:rsidRPr="0075113F">
        <w:lastRenderedPageBreak/>
        <w:t xml:space="preserve">řádu, která uplynula dne </w:t>
      </w:r>
      <w:r>
        <w:t>21. října</w:t>
      </w:r>
      <w:r w:rsidRPr="0075113F">
        <w:t xml:space="preserve"> 2025, nebyly vysloveny žádné námitky,</w:t>
      </w:r>
    </w:p>
    <w:p w14:paraId="59C203C6" w14:textId="77777777" w:rsidR="00F94153" w:rsidRPr="00BA5059" w:rsidRDefault="00F94153" w:rsidP="00BA5059">
      <w:pPr>
        <w:pStyle w:val="NormalHanging12a"/>
      </w:pPr>
      <w:r w:rsidRPr="00BA5059">
        <w:t>A.</w:t>
      </w:r>
      <w:r w:rsidRPr="00BA5059">
        <w:tab/>
        <w:t>vzhledem k tomu, že s cílem umožnit členským státům provést smysluplné změny programů v souvislosti s přezkumem v polovině období a zaměřit zdroje na nové strategické priority Unie stanovené v nařízení (EU) 2021/1060 předložila Komise dne 4. dubna 2025 žádost o použití postupu pro naléhavé případy v souladu s článkem 170 jednacího řádu Evropského parlamentu na návrh nařízení Komise, kterým se mění nařízení (EU) 2021/1058 a (EU) 2021/1056, pokud jde o zvláštní opatření k řešení strategických výzev v souvislosti s přezkumem v polovině období</w:t>
      </w:r>
      <w:r w:rsidRPr="00BA5059">
        <w:rPr>
          <w:vertAlign w:val="superscript"/>
        </w:rPr>
        <w:footnoteReference w:id="2"/>
      </w:r>
      <w:r w:rsidRPr="00BA5059">
        <w:t>; vzhledem k tomu, že Komise tento návrh předložila na schůzi Výboru pro regionální rozvoj dne 9. dubna 2025;</w:t>
      </w:r>
    </w:p>
    <w:p w14:paraId="0317A264" w14:textId="77777777" w:rsidR="00F94153" w:rsidRPr="00BA5059" w:rsidRDefault="00F94153" w:rsidP="00BA5059">
      <w:pPr>
        <w:pStyle w:val="NormalHanging12a"/>
      </w:pPr>
      <w:r w:rsidRPr="00BA5059">
        <w:t>B.</w:t>
      </w:r>
      <w:r w:rsidRPr="00BA5059">
        <w:tab/>
        <w:t>vzhledem k tomu, že Výbor pro regionální rozvoj se na své schůzi dne 5. května 2025 rozhodl žádost o použití postupu pro naléhavé případy podle čl. 170 odst. 5 jednacího řádu podpořit, což vedlo k přijetí nařízení Evropského parlamentu a Rady (EU) 2025/1914</w:t>
      </w:r>
      <w:r w:rsidRPr="00BA5059">
        <w:rPr>
          <w:vertAlign w:val="superscript"/>
        </w:rPr>
        <w:footnoteReference w:id="3"/>
      </w:r>
      <w:r w:rsidRPr="00BA5059">
        <w:t>,</w:t>
      </w:r>
    </w:p>
    <w:p w14:paraId="3CBD998A" w14:textId="588EA214" w:rsidR="00F94153" w:rsidRPr="00BA5059" w:rsidRDefault="00F94153" w:rsidP="00BA5059">
      <w:pPr>
        <w:pStyle w:val="NormalHanging12a"/>
      </w:pPr>
      <w:r w:rsidRPr="00BA5059">
        <w:t>C.</w:t>
      </w:r>
      <w:r w:rsidRPr="00BA5059">
        <w:tab/>
        <w:t>vzhledem k tomu, že nařízení Komise v přenesené pravomoci je nezbytné k zajištění souladu a soudržnosti mezi nařízením (EU) 2021/1060 a nařízeními pro jednotlivé fondy (nařízení o EFRR/Fondu soudržnosti, ESF+ a FST), aby bylo možné realizovat pozměněné a nově zavedené specifické cíle podle nařízení (EU) 2025/1914 doplněním odpovídajících oblastí intervence do přílohy I nařízení (EU) 2021/1060 a aby bylo možné je použít při provádění programů a podávání zpráv;</w:t>
      </w:r>
    </w:p>
    <w:p w14:paraId="50B81A5A" w14:textId="77777777" w:rsidR="00F94153" w:rsidRPr="00BA5059" w:rsidRDefault="00F94153" w:rsidP="00BA5059">
      <w:pPr>
        <w:pStyle w:val="NormalHanging12a"/>
      </w:pPr>
      <w:r w:rsidRPr="00BA5059">
        <w:t>1.</w:t>
      </w:r>
      <w:r w:rsidRPr="00BA5059">
        <w:tab/>
        <w:t>prohlašuje, že nevysloví námitku vůči nařízení v přenesené pravomoci;</w:t>
      </w:r>
    </w:p>
    <w:p w14:paraId="41D7C9A9" w14:textId="5145ADD3" w:rsidR="004F723D" w:rsidRPr="00BA5059" w:rsidRDefault="00F94153" w:rsidP="00BA5059">
      <w:pPr>
        <w:pStyle w:val="NormalHanging12a"/>
        <w:rPr>
          <w:lang w:eastAsia="fr-FR"/>
        </w:rPr>
      </w:pPr>
      <w:r w:rsidRPr="00BA5059">
        <w:t>2.</w:t>
      </w:r>
      <w:r w:rsidRPr="00BA5059">
        <w:tab/>
        <w:t>pověřuje svou předsedkyni, aby předala toto usnesení Radě a Komisi.</w:t>
      </w:r>
    </w:p>
    <w:p w14:paraId="73D65610" w14:textId="38222E69" w:rsidR="00E365E1" w:rsidRPr="00BA5059" w:rsidRDefault="00E365E1" w:rsidP="00F94153">
      <w:pPr>
        <w:rPr>
          <w:lang w:eastAsia="fr-FR"/>
        </w:rPr>
      </w:pPr>
    </w:p>
    <w:sectPr w:rsidR="00E365E1" w:rsidRPr="00BA5059" w:rsidSect="004F72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D30C9C" w14:textId="77777777" w:rsidR="003F0027" w:rsidRPr="004F723D" w:rsidRDefault="003F0027">
      <w:r w:rsidRPr="004F723D">
        <w:separator/>
      </w:r>
    </w:p>
  </w:endnote>
  <w:endnote w:type="continuationSeparator" w:id="0">
    <w:p w14:paraId="5B50A154" w14:textId="77777777" w:rsidR="003F0027" w:rsidRPr="004F723D" w:rsidRDefault="003F0027">
      <w:r w:rsidRPr="004F72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648CF" w14:textId="77777777" w:rsidR="00064002" w:rsidRPr="004F72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491A5" w14:textId="77777777" w:rsidR="00064002" w:rsidRPr="004F72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54B1B4" w14:textId="77777777" w:rsidR="00064002" w:rsidRPr="004F72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7D0EFD" w14:textId="77777777" w:rsidR="003F0027" w:rsidRPr="004F723D" w:rsidRDefault="003F0027">
      <w:r w:rsidRPr="004F723D">
        <w:separator/>
      </w:r>
    </w:p>
  </w:footnote>
  <w:footnote w:type="continuationSeparator" w:id="0">
    <w:p w14:paraId="6B323682" w14:textId="77777777" w:rsidR="003F0027" w:rsidRPr="004F723D" w:rsidRDefault="003F0027">
      <w:r w:rsidRPr="004F723D">
        <w:continuationSeparator/>
      </w:r>
    </w:p>
  </w:footnote>
  <w:footnote w:id="1">
    <w:p w14:paraId="1A72E152" w14:textId="589D4741" w:rsidR="00F94153" w:rsidRPr="004F723D" w:rsidRDefault="00F94153" w:rsidP="004F723D">
      <w:pPr>
        <w:pStyle w:val="FootnoteText"/>
        <w:ind w:left="567" w:hanging="567"/>
        <w:rPr>
          <w:sz w:val="24"/>
          <w:lang w:val="cs-CZ"/>
        </w:rPr>
      </w:pPr>
      <w:r w:rsidRPr="004F723D">
        <w:rPr>
          <w:rStyle w:val="FootnoteReference"/>
          <w:sz w:val="24"/>
          <w:lang w:val="cs-CZ"/>
        </w:rPr>
        <w:footnoteRef/>
      </w:r>
      <w:r w:rsidR="004F723D" w:rsidRPr="004F723D">
        <w:rPr>
          <w:sz w:val="24"/>
          <w:lang w:val="cs-CZ"/>
        </w:rPr>
        <w:t xml:space="preserve"> </w:t>
      </w:r>
      <w:r w:rsidR="004F723D" w:rsidRPr="004F723D">
        <w:rPr>
          <w:sz w:val="24"/>
          <w:lang w:val="cs-CZ"/>
        </w:rPr>
        <w:tab/>
      </w:r>
      <w:r w:rsidRPr="004F723D">
        <w:rPr>
          <w:sz w:val="24"/>
          <w:lang w:val="cs-CZ"/>
        </w:rPr>
        <w:t xml:space="preserve">Úř. věst. L 231, 30.6.2021, s. 159, ELI: </w:t>
      </w:r>
      <w:hyperlink r:id="rId1" w:history="1">
        <w:r w:rsidRPr="00704FDF">
          <w:rPr>
            <w:rStyle w:val="Hyperlink"/>
            <w:sz w:val="24"/>
            <w:lang w:val="cs-CZ"/>
          </w:rPr>
          <w:t>http://data.europa.eu/eli/reg/2021/1060/oj</w:t>
        </w:r>
      </w:hyperlink>
      <w:r w:rsidR="00704FDF">
        <w:rPr>
          <w:sz w:val="24"/>
          <w:lang w:val="cs-CZ"/>
        </w:rPr>
        <w:t>.</w:t>
      </w:r>
    </w:p>
  </w:footnote>
  <w:footnote w:id="2">
    <w:p w14:paraId="443AC415" w14:textId="364763E3" w:rsidR="00F94153" w:rsidRPr="004F723D" w:rsidRDefault="00F94153" w:rsidP="004F723D">
      <w:pPr>
        <w:pStyle w:val="FootnoteText"/>
        <w:ind w:left="567" w:hanging="567"/>
        <w:rPr>
          <w:sz w:val="24"/>
          <w:lang w:val="cs-CZ"/>
        </w:rPr>
      </w:pPr>
      <w:r w:rsidRPr="004F723D">
        <w:rPr>
          <w:rStyle w:val="FootnoteReference"/>
          <w:sz w:val="24"/>
          <w:lang w:val="cs-CZ"/>
        </w:rPr>
        <w:footnoteRef/>
      </w:r>
      <w:r w:rsidR="004F723D" w:rsidRPr="004F723D">
        <w:rPr>
          <w:sz w:val="24"/>
          <w:lang w:val="cs-CZ"/>
        </w:rPr>
        <w:t xml:space="preserve"> </w:t>
      </w:r>
      <w:r w:rsidR="004F723D" w:rsidRPr="004F723D">
        <w:rPr>
          <w:sz w:val="24"/>
          <w:lang w:val="cs-CZ"/>
        </w:rPr>
        <w:tab/>
      </w:r>
      <w:r w:rsidRPr="004F723D">
        <w:rPr>
          <w:sz w:val="24"/>
          <w:lang w:val="cs-CZ"/>
        </w:rPr>
        <w:t>COM(2025</w:t>
      </w:r>
      <w:r w:rsidR="00C864E1">
        <w:rPr>
          <w:sz w:val="24"/>
          <w:lang w:val="cs-CZ"/>
        </w:rPr>
        <w:t>)0</w:t>
      </w:r>
      <w:r w:rsidRPr="004F723D">
        <w:rPr>
          <w:sz w:val="24"/>
          <w:lang w:val="cs-CZ"/>
        </w:rPr>
        <w:t>123.</w:t>
      </w:r>
    </w:p>
  </w:footnote>
  <w:footnote w:id="3">
    <w:p w14:paraId="1D812370" w14:textId="437F7925" w:rsidR="00F94153" w:rsidRPr="004F723D" w:rsidRDefault="00F94153" w:rsidP="004F723D">
      <w:pPr>
        <w:pStyle w:val="FootnoteText"/>
        <w:ind w:left="567" w:hanging="567"/>
        <w:rPr>
          <w:sz w:val="24"/>
          <w:lang w:val="cs-CZ"/>
        </w:rPr>
      </w:pPr>
      <w:r w:rsidRPr="004F723D">
        <w:rPr>
          <w:rStyle w:val="FootnoteReference"/>
          <w:sz w:val="24"/>
          <w:lang w:val="cs-CZ"/>
        </w:rPr>
        <w:footnoteRef/>
      </w:r>
      <w:r w:rsidR="004F723D" w:rsidRPr="004F723D">
        <w:rPr>
          <w:sz w:val="24"/>
          <w:lang w:val="cs-CZ"/>
        </w:rPr>
        <w:t xml:space="preserve"> </w:t>
      </w:r>
      <w:r w:rsidR="004F723D" w:rsidRPr="004F723D">
        <w:rPr>
          <w:sz w:val="24"/>
          <w:lang w:val="cs-CZ"/>
        </w:rPr>
        <w:tab/>
      </w:r>
      <w:r w:rsidRPr="004F723D">
        <w:rPr>
          <w:sz w:val="24"/>
          <w:lang w:val="cs-CZ"/>
        </w:rPr>
        <w:t xml:space="preserve">Nařízení Evropského parlamentu a Rady (EU) 2025/1914 ze dne 18. září 2025, kterým se mění nařízení (EU) 2021/1058 a (EU) 2021/1056, pokud jde o zvláštní opatření k řešení strategických výzev v souvislosti s přezkumem v polovině období (Úř. věst. L, 2025/1914, 19.9.2025, ELI: </w:t>
      </w:r>
      <w:hyperlink r:id="rId2" w:history="1">
        <w:r w:rsidRPr="000E6D1D">
          <w:rPr>
            <w:rStyle w:val="Hyperlink"/>
            <w:sz w:val="24"/>
            <w:lang w:val="cs-CZ"/>
          </w:rPr>
          <w:t>http://data.europa.eu/eli/reg/2025/1914/oj</w:t>
        </w:r>
      </w:hyperlink>
      <w:r w:rsidRPr="004F723D">
        <w:rPr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1DC88" w14:textId="77777777" w:rsidR="00064002" w:rsidRPr="004F72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B4A158" w14:textId="77777777" w:rsidR="00064002" w:rsidRPr="004F72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F7D58" w14:textId="77777777" w:rsidR="00064002" w:rsidRPr="004F72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5187048">
    <w:abstractNumId w:val="9"/>
  </w:num>
  <w:num w:numId="2" w16cid:durableId="2127692180">
    <w:abstractNumId w:val="9"/>
  </w:num>
  <w:num w:numId="3" w16cid:durableId="630476507">
    <w:abstractNumId w:val="7"/>
  </w:num>
  <w:num w:numId="4" w16cid:durableId="875433844">
    <w:abstractNumId w:val="7"/>
  </w:num>
  <w:num w:numId="5" w16cid:durableId="613947933">
    <w:abstractNumId w:val="6"/>
  </w:num>
  <w:num w:numId="6" w16cid:durableId="315115734">
    <w:abstractNumId w:val="6"/>
  </w:num>
  <w:num w:numId="7" w16cid:durableId="1838111565">
    <w:abstractNumId w:val="5"/>
  </w:num>
  <w:num w:numId="8" w16cid:durableId="374744248">
    <w:abstractNumId w:val="5"/>
  </w:num>
  <w:num w:numId="9" w16cid:durableId="1999845222">
    <w:abstractNumId w:val="4"/>
  </w:num>
  <w:num w:numId="10" w16cid:durableId="122578899">
    <w:abstractNumId w:val="4"/>
  </w:num>
  <w:num w:numId="11" w16cid:durableId="762921604">
    <w:abstractNumId w:val="8"/>
  </w:num>
  <w:num w:numId="12" w16cid:durableId="1064447162">
    <w:abstractNumId w:val="8"/>
  </w:num>
  <w:num w:numId="13" w16cid:durableId="905184286">
    <w:abstractNumId w:val="3"/>
  </w:num>
  <w:num w:numId="14" w16cid:durableId="1231189495">
    <w:abstractNumId w:val="3"/>
  </w:num>
  <w:num w:numId="15" w16cid:durableId="1799689670">
    <w:abstractNumId w:val="2"/>
  </w:num>
  <w:num w:numId="16" w16cid:durableId="336007291">
    <w:abstractNumId w:val="2"/>
  </w:num>
  <w:num w:numId="17" w16cid:durableId="1740395110">
    <w:abstractNumId w:val="1"/>
  </w:num>
  <w:num w:numId="18" w16cid:durableId="1179810609">
    <w:abstractNumId w:val="1"/>
  </w:num>
  <w:num w:numId="19" w16cid:durableId="323508269">
    <w:abstractNumId w:val="0"/>
  </w:num>
  <w:num w:numId="20" w16cid:durableId="78135265">
    <w:abstractNumId w:val="0"/>
  </w:num>
  <w:num w:numId="21" w16cid:durableId="762146016">
    <w:abstractNumId w:val="9"/>
  </w:num>
  <w:num w:numId="22" w16cid:durableId="1254898719">
    <w:abstractNumId w:val="7"/>
  </w:num>
  <w:num w:numId="23" w16cid:durableId="653526976">
    <w:abstractNumId w:val="6"/>
  </w:num>
  <w:num w:numId="24" w16cid:durableId="2043632992">
    <w:abstractNumId w:val="5"/>
  </w:num>
  <w:num w:numId="25" w16cid:durableId="660735087">
    <w:abstractNumId w:val="4"/>
  </w:num>
  <w:num w:numId="26" w16cid:durableId="486672178">
    <w:abstractNumId w:val="8"/>
  </w:num>
  <w:num w:numId="27" w16cid:durableId="481315197">
    <w:abstractNumId w:val="3"/>
  </w:num>
  <w:num w:numId="28" w16cid:durableId="386496880">
    <w:abstractNumId w:val="2"/>
  </w:num>
  <w:num w:numId="29" w16cid:durableId="1432356503">
    <w:abstractNumId w:val="1"/>
  </w:num>
  <w:num w:numId="30" w16cid:durableId="1115178462">
    <w:abstractNumId w:val="0"/>
  </w:num>
  <w:num w:numId="31" w16cid:durableId="25913375">
    <w:abstractNumId w:val="9"/>
  </w:num>
  <w:num w:numId="32" w16cid:durableId="2066171706">
    <w:abstractNumId w:val="7"/>
  </w:num>
  <w:num w:numId="33" w16cid:durableId="1909026917">
    <w:abstractNumId w:val="6"/>
  </w:num>
  <w:num w:numId="34" w16cid:durableId="954410891">
    <w:abstractNumId w:val="5"/>
  </w:num>
  <w:num w:numId="35" w16cid:durableId="709653422">
    <w:abstractNumId w:val="4"/>
  </w:num>
  <w:num w:numId="36" w16cid:durableId="1115909364">
    <w:abstractNumId w:val="8"/>
  </w:num>
  <w:num w:numId="37" w16cid:durableId="1260142968">
    <w:abstractNumId w:val="3"/>
  </w:num>
  <w:num w:numId="38" w16cid:durableId="311256034">
    <w:abstractNumId w:val="2"/>
  </w:num>
  <w:num w:numId="39" w16cid:durableId="824587299">
    <w:abstractNumId w:val="1"/>
  </w:num>
  <w:num w:numId="40" w16cid:durableId="696345745">
    <w:abstractNumId w:val="0"/>
  </w:num>
  <w:num w:numId="41" w16cid:durableId="1340044706">
    <w:abstractNumId w:val="10"/>
  </w:num>
  <w:num w:numId="42" w16cid:durableId="195512224">
    <w:abstractNumId w:val="10"/>
  </w:num>
  <w:num w:numId="43" w16cid:durableId="1068265678">
    <w:abstractNumId w:val="10"/>
  </w:num>
  <w:num w:numId="44" w16cid:durableId="46478416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60/2025"/>
    <w:docVar w:name="dvlangue" w:val="CS"/>
    <w:docVar w:name="dvnumam" w:val="0"/>
    <w:docVar w:name="dvpe" w:val="778.177"/>
    <w:docVar w:name="dvtitre" w:val="Rozhodnutí Evropského parlamentu ze dne 22. října 2025 nevyslovit námitku k nařízení Komise v přenesené pravomoci ze dne 22. září 2025, kterým se mění příloha I nařízení Evropského parlamentu a Rady (EU) 2021/1060, pokud jde o nomenklaturu dimenzí a kódů pro typy intervencí pro EFRR, ESF+, Fond soudržnosti a FST _x000d__x000a_(C(2025)06376 – 2025/2888(DEA))"/>
  </w:docVars>
  <w:rsids>
    <w:rsidRoot w:val="003F0027"/>
    <w:rsid w:val="00002272"/>
    <w:rsid w:val="00064002"/>
    <w:rsid w:val="000677B9"/>
    <w:rsid w:val="000831BA"/>
    <w:rsid w:val="000A42CC"/>
    <w:rsid w:val="000A4F48"/>
    <w:rsid w:val="000B32B8"/>
    <w:rsid w:val="000E6D1D"/>
    <w:rsid w:val="000E7DD9"/>
    <w:rsid w:val="0010095E"/>
    <w:rsid w:val="00125B37"/>
    <w:rsid w:val="00187494"/>
    <w:rsid w:val="001F32AE"/>
    <w:rsid w:val="002767FF"/>
    <w:rsid w:val="002B18FE"/>
    <w:rsid w:val="002B5493"/>
    <w:rsid w:val="002D5689"/>
    <w:rsid w:val="00301BAA"/>
    <w:rsid w:val="00343214"/>
    <w:rsid w:val="00361C00"/>
    <w:rsid w:val="00395FA1"/>
    <w:rsid w:val="003C3FA6"/>
    <w:rsid w:val="003E15D4"/>
    <w:rsid w:val="003F0027"/>
    <w:rsid w:val="00411CCE"/>
    <w:rsid w:val="0041666E"/>
    <w:rsid w:val="00421060"/>
    <w:rsid w:val="00471C19"/>
    <w:rsid w:val="004867E3"/>
    <w:rsid w:val="00494A28"/>
    <w:rsid w:val="004C0004"/>
    <w:rsid w:val="004C5D52"/>
    <w:rsid w:val="004F723D"/>
    <w:rsid w:val="00503531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836BA"/>
    <w:rsid w:val="006F74FA"/>
    <w:rsid w:val="00704FDF"/>
    <w:rsid w:val="00714022"/>
    <w:rsid w:val="00731ADD"/>
    <w:rsid w:val="00734777"/>
    <w:rsid w:val="00747932"/>
    <w:rsid w:val="0075113F"/>
    <w:rsid w:val="00751A4A"/>
    <w:rsid w:val="00756632"/>
    <w:rsid w:val="00762C74"/>
    <w:rsid w:val="00773D3A"/>
    <w:rsid w:val="00775CC0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24725"/>
    <w:rsid w:val="00930C23"/>
    <w:rsid w:val="0093193B"/>
    <w:rsid w:val="009376E3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5A37"/>
    <w:rsid w:val="00AE0928"/>
    <w:rsid w:val="00AF3B82"/>
    <w:rsid w:val="00B12E95"/>
    <w:rsid w:val="00B22876"/>
    <w:rsid w:val="00B558F0"/>
    <w:rsid w:val="00BA5059"/>
    <w:rsid w:val="00BD48FE"/>
    <w:rsid w:val="00BD7BD8"/>
    <w:rsid w:val="00BE6ADC"/>
    <w:rsid w:val="00C05BFE"/>
    <w:rsid w:val="00C23CD4"/>
    <w:rsid w:val="00C61C0C"/>
    <w:rsid w:val="00C864E1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418E6"/>
    <w:rsid w:val="00E820A4"/>
    <w:rsid w:val="00EB006A"/>
    <w:rsid w:val="00EB4772"/>
    <w:rsid w:val="00EB7F53"/>
    <w:rsid w:val="00ED169E"/>
    <w:rsid w:val="00ED4235"/>
    <w:rsid w:val="00F04346"/>
    <w:rsid w:val="00F075DC"/>
    <w:rsid w:val="00F149E9"/>
    <w:rsid w:val="00F5134D"/>
    <w:rsid w:val="00F74202"/>
    <w:rsid w:val="00F87713"/>
    <w:rsid w:val="00F94153"/>
    <w:rsid w:val="00FA609C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404DED"/>
  <w15:chartTrackingRefBased/>
  <w15:docId w15:val="{7A72D03F-3A63-4B3D-918F-BDB2A74B4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4153"/>
    <w:pPr>
      <w:spacing w:before="480" w:after="240"/>
    </w:pPr>
  </w:style>
  <w:style w:type="paragraph" w:customStyle="1" w:styleId="NormalHanging12a">
    <w:name w:val="NormalHanging12a"/>
    <w:basedOn w:val="Normal"/>
    <w:rsid w:val="00F9415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0A4F48"/>
    <w:rPr>
      <w:sz w:val="24"/>
      <w:lang w:val="cs-CZ"/>
    </w:rPr>
  </w:style>
  <w:style w:type="character" w:styleId="Hyperlink">
    <w:name w:val="Hyperlink"/>
    <w:basedOn w:val="DefaultParagraphFont"/>
    <w:rsid w:val="00704FD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4FD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AD5A37"/>
    <w:rPr>
      <w:sz w:val="16"/>
      <w:szCs w:val="16"/>
    </w:rPr>
  </w:style>
  <w:style w:type="paragraph" w:styleId="CommentText">
    <w:name w:val="annotation text"/>
    <w:basedOn w:val="Normal"/>
    <w:link w:val="CommentTextChar"/>
    <w:rsid w:val="00AD5A37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D5A37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AD5A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D5A37"/>
    <w:rPr>
      <w:b/>
      <w:bCs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5/1914/oj" TargetMode="External"/><Relationship Id="rId1" Type="http://schemas.openxmlformats.org/officeDocument/2006/relationships/hyperlink" Target="http://data.europa.eu/eli/reg/2021/106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SMAKALOVA Sona</cp:lastModifiedBy>
  <cp:revision>2</cp:revision>
  <cp:lastPrinted>2004-11-19T15:42:00Z</cp:lastPrinted>
  <dcterms:created xsi:type="dcterms:W3CDTF">2025-11-27T08:18:00Z</dcterms:created>
  <dcterms:modified xsi:type="dcterms:W3CDTF">2025-11-27T08:18:00Z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B10-0460/2025</vt:lpwstr>
  </property>
  <property fmtid="{D5CDD505-2E9C-101B-9397-08002B2CF9AE}" pid="4" name="&lt;Type&gt;">
    <vt:lpwstr>RR</vt:lpwstr>
  </property>
</Properties>
</file>