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7973" w14:paraId="0174D0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BA2C6" w14:textId="77777777" w:rsidR="00751A4A" w:rsidRPr="00077973" w:rsidRDefault="009D67F7" w:rsidP="0010095E">
            <w:pPr>
              <w:pStyle w:val="EPName"/>
            </w:pPr>
            <w:r w:rsidRPr="00077973">
              <w:t>Europa-Parlamentet</w:t>
            </w:r>
          </w:p>
          <w:p w14:paraId="2D306D1B" w14:textId="77777777" w:rsidR="00751A4A" w:rsidRPr="000779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7973">
              <w:t>2024</w:t>
            </w:r>
            <w:r w:rsidR="00817416" w:rsidRPr="00077973">
              <w:t>-202</w:t>
            </w:r>
            <w:r w:rsidRPr="00077973">
              <w:t>9</w:t>
            </w:r>
          </w:p>
        </w:tc>
        <w:tc>
          <w:tcPr>
            <w:tcW w:w="2268" w:type="dxa"/>
            <w:shd w:val="clear" w:color="auto" w:fill="auto"/>
          </w:tcPr>
          <w:p w14:paraId="35D68338" w14:textId="77777777" w:rsidR="00751A4A" w:rsidRPr="00077973" w:rsidRDefault="00187494" w:rsidP="0010095E">
            <w:pPr>
              <w:pStyle w:val="EPLogo"/>
            </w:pPr>
            <w:r w:rsidRPr="00077973">
              <w:rPr>
                <w:noProof/>
                <w:lang w:eastAsia="ja-JP"/>
              </w:rPr>
              <w:drawing>
                <wp:inline distT="0" distB="0" distL="0" distR="0" wp14:anchorId="28A9E94F" wp14:editId="196850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5FC689" w14:textId="77777777" w:rsidR="00D058B8" w:rsidRPr="00077973" w:rsidRDefault="00D058B8" w:rsidP="004C5D52">
      <w:pPr>
        <w:pStyle w:val="LineTop"/>
      </w:pPr>
    </w:p>
    <w:p w14:paraId="6A508136" w14:textId="77777777" w:rsidR="00680577" w:rsidRPr="00077973" w:rsidRDefault="009D67F7" w:rsidP="00680577">
      <w:pPr>
        <w:pStyle w:val="EPBodyTA1"/>
      </w:pPr>
      <w:r w:rsidRPr="00077973">
        <w:t>VEDTAGNE TEKSTER</w:t>
      </w:r>
    </w:p>
    <w:p w14:paraId="2D79DB58" w14:textId="77777777" w:rsidR="00D058B8" w:rsidRPr="00077973" w:rsidRDefault="00D058B8" w:rsidP="00D058B8">
      <w:pPr>
        <w:pStyle w:val="LineBottom"/>
      </w:pPr>
    </w:p>
    <w:p w14:paraId="36E099EF" w14:textId="476832E0" w:rsidR="009D67F7" w:rsidRPr="000D5D13" w:rsidRDefault="009D67F7" w:rsidP="009D67F7">
      <w:pPr>
        <w:pStyle w:val="ATHeading1"/>
      </w:pPr>
      <w:bookmarkStart w:id="0" w:name="TANumber"/>
      <w:r w:rsidRPr="000D5D13">
        <w:t>P10_TA(2025)0</w:t>
      </w:r>
      <w:r w:rsidR="00AA5612">
        <w:t>243</w:t>
      </w:r>
      <w:bookmarkEnd w:id="0"/>
    </w:p>
    <w:p w14:paraId="617E2CEE" w14:textId="6CA3F5AC" w:rsidR="009D67F7" w:rsidRPr="000D5D13" w:rsidRDefault="009D67F7" w:rsidP="009D67F7">
      <w:pPr>
        <w:pStyle w:val="ATHeading2"/>
      </w:pPr>
      <w:bookmarkStart w:id="1" w:name="title"/>
      <w:r w:rsidRPr="000D5D13">
        <w:t>Afgørelse om ikke at gøre indsigelse mod en delegeret retsakt:</w:t>
      </w:r>
      <w:bookmarkEnd w:id="1"/>
      <w:r w:rsidR="006B35F6" w:rsidRPr="000D5D13">
        <w:t xml:space="preserve"> Nomenklaturen for dimensioner og koder for interventionstyper under EFRU, ESF+, Samhørighedsfonden og FRO</w:t>
      </w:r>
    </w:p>
    <w:p w14:paraId="408E8EC3" w14:textId="77777777" w:rsidR="009D67F7" w:rsidRPr="00077973" w:rsidRDefault="009D67F7" w:rsidP="009D67F7">
      <w:pPr>
        <w:rPr>
          <w:i/>
          <w:vanish/>
        </w:rPr>
      </w:pPr>
      <w:r w:rsidRPr="00077973">
        <w:rPr>
          <w:i/>
        </w:rPr>
        <w:fldChar w:fldCharType="begin"/>
      </w:r>
      <w:r w:rsidRPr="00077973">
        <w:rPr>
          <w:i/>
        </w:rPr>
        <w:instrText xml:space="preserve"> TC"(</w:instrText>
      </w:r>
      <w:bookmarkStart w:id="2" w:name="DocNumber"/>
      <w:r w:rsidRPr="00077973">
        <w:rPr>
          <w:i/>
        </w:rPr>
        <w:instrText>B10-0460/2025</w:instrText>
      </w:r>
      <w:bookmarkEnd w:id="2"/>
      <w:r w:rsidRPr="00077973">
        <w:rPr>
          <w:i/>
        </w:rPr>
        <w:instrText xml:space="preserve">)"\l3 \n&gt; \* MERGEFORMAT </w:instrText>
      </w:r>
      <w:r w:rsidRPr="00077973">
        <w:rPr>
          <w:i/>
        </w:rPr>
        <w:fldChar w:fldCharType="end"/>
      </w:r>
    </w:p>
    <w:p w14:paraId="3807A2AF" w14:textId="77777777" w:rsidR="009D67F7" w:rsidRPr="00077973" w:rsidRDefault="009D67F7" w:rsidP="009D67F7">
      <w:pPr>
        <w:rPr>
          <w:vanish/>
        </w:rPr>
      </w:pPr>
      <w:bookmarkStart w:id="3" w:name="PE"/>
      <w:r w:rsidRPr="00077973">
        <w:rPr>
          <w:vanish/>
        </w:rPr>
        <w:t>PE778.177</w:t>
      </w:r>
      <w:bookmarkEnd w:id="3"/>
    </w:p>
    <w:p w14:paraId="17F8F73B" w14:textId="6914AD03" w:rsidR="009D67F7" w:rsidRPr="000D5D13" w:rsidRDefault="009D67F7" w:rsidP="009D67F7">
      <w:pPr>
        <w:pStyle w:val="ATHeading3"/>
      </w:pPr>
      <w:bookmarkStart w:id="4" w:name="Sujet"/>
      <w:r w:rsidRPr="000D5D13">
        <w:t xml:space="preserve">Europa-Parlamentets afgørelse om ikke at gøre indsigelse mod Kommissionens delegerede forordning af 22. september 2025 om ændring af bilag I til Europa-Parlamentets og Rådets forordning (EU) 2021/1060 for så vidt angår nomenklaturen for dimensioner og koder for interventionstyper under EFRU, ESF+, Samhørighedsfonden og FRO </w:t>
      </w:r>
      <w:bookmarkStart w:id="5" w:name="References"/>
      <w:r w:rsidRPr="000D5D13">
        <w:t>(</w:t>
      </w:r>
      <w:proofErr w:type="gramStart"/>
      <w:r w:rsidRPr="000D5D13">
        <w:t>C(</w:t>
      </w:r>
      <w:proofErr w:type="gramEnd"/>
      <w:r w:rsidRPr="000D5D13">
        <w:t>2025)06376 – 2025/2888(DEA))</w:t>
      </w:r>
      <w:bookmarkEnd w:id="5"/>
    </w:p>
    <w:p w14:paraId="6C43F1D9" w14:textId="77777777" w:rsidR="00903011" w:rsidRPr="00077973" w:rsidRDefault="00903011" w:rsidP="00903011">
      <w:pPr>
        <w:pStyle w:val="EPComma"/>
        <w:rPr>
          <w:i/>
        </w:rPr>
      </w:pPr>
      <w:bookmarkStart w:id="6" w:name="TextBodyBegin"/>
      <w:bookmarkEnd w:id="4"/>
      <w:bookmarkEnd w:id="6"/>
      <w:r w:rsidRPr="00077973">
        <w:rPr>
          <w:i/>
        </w:rPr>
        <w:t>Europa-Parlamentet,</w:t>
      </w:r>
    </w:p>
    <w:p w14:paraId="05A20A2C" w14:textId="4798E451" w:rsidR="00903011" w:rsidRPr="00077973" w:rsidRDefault="00903011" w:rsidP="00903011">
      <w:pPr>
        <w:pStyle w:val="NormalHanging12a"/>
      </w:pPr>
      <w:r w:rsidRPr="00077973">
        <w:t>–</w:t>
      </w:r>
      <w:r w:rsidRPr="00077973">
        <w:tab/>
        <w:t xml:space="preserve">der henviser til Kommissionens delegerede forordning </w:t>
      </w:r>
      <w:r w:rsidR="00861D64" w:rsidRPr="00077973">
        <w:t>(</w:t>
      </w:r>
      <w:proofErr w:type="gramStart"/>
      <w:r w:rsidRPr="00077973">
        <w:t>C(</w:t>
      </w:r>
      <w:proofErr w:type="gramEnd"/>
      <w:r w:rsidRPr="00077973">
        <w:t>2025)06376</w:t>
      </w:r>
      <w:r w:rsidR="00861D64" w:rsidRPr="00077973">
        <w:t>)</w:t>
      </w:r>
      <w:r w:rsidRPr="00077973">
        <w:t>,</w:t>
      </w:r>
    </w:p>
    <w:p w14:paraId="346CE2AC" w14:textId="77777777" w:rsidR="00903011" w:rsidRPr="00077973" w:rsidRDefault="00903011" w:rsidP="00903011">
      <w:pPr>
        <w:pStyle w:val="NormalHanging12a"/>
      </w:pPr>
      <w:r w:rsidRPr="00077973">
        <w:t>–</w:t>
      </w:r>
      <w:r w:rsidRPr="00077973">
        <w:tab/>
        <w:t>der henviser til Kommissionens skrivelse af 22. september 2025, hvori den anmoder Parlamentet om at erklære, at det ikke vil gøre indsigelse mod den delegerede forordning,</w:t>
      </w:r>
    </w:p>
    <w:p w14:paraId="5040AC29" w14:textId="4F7BDB88" w:rsidR="00903011" w:rsidRPr="00077973" w:rsidRDefault="00903011" w:rsidP="00903011">
      <w:pPr>
        <w:pStyle w:val="NormalHanging12a"/>
      </w:pPr>
      <w:r w:rsidRPr="00077973">
        <w:t>–</w:t>
      </w:r>
      <w:r w:rsidRPr="00077973">
        <w:tab/>
        <w:t xml:space="preserve">der henviser til skrivelse af </w:t>
      </w:r>
      <w:r w:rsidR="006B35F6" w:rsidRPr="00077973">
        <w:t xml:space="preserve">14. oktober 2025 </w:t>
      </w:r>
      <w:r w:rsidRPr="00077973">
        <w:t>fra Regionaludviklingsudvalget til Udvalgsformandskonferencen,</w:t>
      </w:r>
    </w:p>
    <w:p w14:paraId="5C198C44" w14:textId="77777777" w:rsidR="00903011" w:rsidRPr="00077973" w:rsidRDefault="00903011" w:rsidP="00903011">
      <w:pPr>
        <w:pStyle w:val="NormalHanging12a"/>
      </w:pPr>
      <w:r w:rsidRPr="00077973">
        <w:t>–</w:t>
      </w:r>
      <w:r w:rsidRPr="00077973">
        <w:tab/>
        <w:t>der henviser til artikel 290 i traktaten om Den Europæiske Unions funktionsmåde,</w:t>
      </w:r>
    </w:p>
    <w:p w14:paraId="5B26F1B5" w14:textId="77777777" w:rsidR="00903011" w:rsidRPr="00077973" w:rsidRDefault="00903011" w:rsidP="00903011">
      <w:pPr>
        <w:pStyle w:val="NormalHanging12a"/>
      </w:pPr>
      <w:r w:rsidRPr="00077973">
        <w:t>–</w:t>
      </w:r>
      <w:r w:rsidRPr="00077973">
        <w:tab/>
        <w:t>der henviser til Europa-Parlamentets og Rådets forordning (EU) 2021/1060 af 24. juni 2021 om fælles bestemmelser for Den Europæiske Fond for Regionaludvikling, Den Europæiske Socialfond Plus, Samhørighedsfonden, Fonden for Retfærdig Omstilling og Den Europæiske Hav-, Fiskeri- og Akvakulturfond og om finansielle regler for nævnte fonde og for Asyl-, Migrations- og Integrationsfonden, Fonden for Intern Sikkerhed og instrumentet for finansiel støtte til grænseforvaltning og visumpolitik</w:t>
      </w:r>
      <w:r w:rsidRPr="00077973">
        <w:rPr>
          <w:vertAlign w:val="superscript"/>
        </w:rPr>
        <w:footnoteReference w:id="1"/>
      </w:r>
      <w:r w:rsidRPr="00077973">
        <w:t>, særlig artikel 113 og artikel 114, stk. 6,</w:t>
      </w:r>
    </w:p>
    <w:p w14:paraId="001380E7" w14:textId="77777777" w:rsidR="00903011" w:rsidRPr="00077973" w:rsidRDefault="00903011" w:rsidP="00903011">
      <w:pPr>
        <w:pStyle w:val="NormalHanging12a"/>
      </w:pPr>
      <w:r w:rsidRPr="00077973">
        <w:t>–</w:t>
      </w:r>
      <w:r w:rsidRPr="00077973">
        <w:tab/>
        <w:t>der henviser til forretningsordenens artikel 114, stk. 6,</w:t>
      </w:r>
    </w:p>
    <w:p w14:paraId="0744D0B9" w14:textId="77777777" w:rsidR="00903011" w:rsidRPr="00077973" w:rsidRDefault="00903011" w:rsidP="00903011">
      <w:pPr>
        <w:pStyle w:val="NormalHanging12a"/>
      </w:pPr>
      <w:r w:rsidRPr="00077973">
        <w:t>–</w:t>
      </w:r>
      <w:r w:rsidRPr="00077973">
        <w:tab/>
        <w:t>der henviser til henstilling til afgørelse fra Regionaludviklingsudvalget,</w:t>
      </w:r>
    </w:p>
    <w:p w14:paraId="4B900AD6" w14:textId="49549F02" w:rsidR="00861D64" w:rsidRPr="00077973" w:rsidRDefault="00861D64" w:rsidP="00903011">
      <w:pPr>
        <w:pStyle w:val="NormalHanging12a"/>
      </w:pPr>
      <w:r w:rsidRPr="00077973">
        <w:lastRenderedPageBreak/>
        <w:t>–</w:t>
      </w:r>
      <w:r w:rsidRPr="00077973">
        <w:tab/>
        <w:t>der henviser til, at der ikke er gjort indsigelse inden for den frist, der er fastsat i forretningsordenens artikel 114, stk. 6, tredje og fjerde led, og som udløb den 21. oktober 2025,</w:t>
      </w:r>
    </w:p>
    <w:p w14:paraId="76080287" w14:textId="77777777" w:rsidR="00903011" w:rsidRPr="00077973" w:rsidRDefault="00903011" w:rsidP="00903011">
      <w:pPr>
        <w:pStyle w:val="NormalHanging12a"/>
      </w:pPr>
      <w:r w:rsidRPr="00077973">
        <w:t>A.</w:t>
      </w:r>
      <w:r w:rsidRPr="00077973">
        <w:tab/>
        <w:t xml:space="preserve">der henviser til, at Kommissionen den 4. april 2025 for at sætte medlemsstaterne i stand til at foretage en meningsfuld </w:t>
      </w:r>
      <w:proofErr w:type="spellStart"/>
      <w:r w:rsidRPr="00077973">
        <w:t>omprogrammering</w:t>
      </w:r>
      <w:proofErr w:type="spellEnd"/>
      <w:r w:rsidRPr="00077973">
        <w:t xml:space="preserve"> i forbindelse med midtvejsgennemgangen og koncentrere ressourcerne om de nye strategiske EU-prioriteter, der er fastsat i forordning (EU) 2021/1060, indgav en anmodning om at anvende hasteproceduren i overensstemmelse med artikel 170 i Europa-Parlamentets forretningsorden på sit forslag til en forordning om ændring af forordning (EU) 2021/1058 og (EU) 2021/1056 for så vidt angår særlige foranstaltninger til at adressere strategiske udfordringer i forbindelse med midtvejsgennemgangen</w:t>
      </w:r>
      <w:r w:rsidRPr="00077973">
        <w:rPr>
          <w:vertAlign w:val="superscript"/>
        </w:rPr>
        <w:footnoteReference w:id="2"/>
      </w:r>
      <w:r w:rsidRPr="00077973">
        <w:t>; der henviser til, at Kommissionen fremlagde dette forslag på mødet i Regionaludviklingsudvalget den 9. april 2025;</w:t>
      </w:r>
    </w:p>
    <w:p w14:paraId="2C55DAD1" w14:textId="77777777" w:rsidR="00903011" w:rsidRPr="00077973" w:rsidRDefault="00903011" w:rsidP="00903011">
      <w:pPr>
        <w:pStyle w:val="NormalHanging12a"/>
      </w:pPr>
      <w:r w:rsidRPr="00077973">
        <w:t>B.</w:t>
      </w:r>
      <w:r w:rsidRPr="00077973">
        <w:tab/>
        <w:t>der henviser til, at Regionaludviklingsudvalget på sit møde den 5. maj 2025 besluttede at støtte anmodningen om anvendelse af en hasteprocedure i henhold til forretningsordenens artikel 170, stk. 5, som førte til vedtagelsen af Europa-Parlamentets og Rådets forordning (EU) 2025/1914</w:t>
      </w:r>
      <w:r w:rsidRPr="00077973">
        <w:rPr>
          <w:vertAlign w:val="superscript"/>
        </w:rPr>
        <w:footnoteReference w:id="3"/>
      </w:r>
      <w:r w:rsidRPr="00077973">
        <w:t>,</w:t>
      </w:r>
    </w:p>
    <w:p w14:paraId="74B8493B" w14:textId="5DA1BDA8" w:rsidR="00903011" w:rsidRPr="00077973" w:rsidRDefault="00903011" w:rsidP="00903011">
      <w:pPr>
        <w:pStyle w:val="NormalHanging12a"/>
      </w:pPr>
      <w:r w:rsidRPr="00077973">
        <w:t>C.</w:t>
      </w:r>
      <w:r w:rsidRPr="00077973">
        <w:tab/>
        <w:t>der henviser til, at Kommissionens delegerede forordning er nødvendig for at sikre overensstemmelse og sammenhæng mellem forordning (EU) 2021/1060 og de fondsspecifikke forordninger (forordningerne om EFRU/Samhørighedsfonden, ESF+ og FRO) med henblik på at sikre, at de ændrede og nyligt indførte specifikke målsætninger i henhold til forordning (EU) 2025/1914 kan gennemføres ved at tilføje tilsvarende interventionsområder i bilag I til forordning (EU) 2021/1060 og gøre det muligt at anvende dem i forbindelse med programgennemførelse og -rapportering;</w:t>
      </w:r>
    </w:p>
    <w:p w14:paraId="5CDE5D4F" w14:textId="77777777" w:rsidR="00903011" w:rsidRPr="00077973" w:rsidRDefault="00903011" w:rsidP="00903011">
      <w:pPr>
        <w:pStyle w:val="NormalHanging12a"/>
      </w:pPr>
      <w:r w:rsidRPr="00077973">
        <w:t>1.</w:t>
      </w:r>
      <w:r w:rsidRPr="00077973">
        <w:tab/>
        <w:t>erklærer, at det ikke gør indsigelse mod den delegerede forordning;</w:t>
      </w:r>
    </w:p>
    <w:p w14:paraId="10A1FD94" w14:textId="6BE59965" w:rsidR="00E365E1" w:rsidRPr="00077973" w:rsidRDefault="00903011" w:rsidP="002C4284">
      <w:pPr>
        <w:ind w:left="567" w:hanging="567"/>
        <w:rPr>
          <w:lang w:eastAsia="fr-FR"/>
        </w:rPr>
      </w:pPr>
      <w:r w:rsidRPr="00077973">
        <w:t>2.</w:t>
      </w:r>
      <w:r w:rsidRPr="00077973">
        <w:tab/>
        <w:t xml:space="preserve">pålægger sin formand at sende denne afgørelse til Rådet </w:t>
      </w:r>
      <w:r w:rsidR="00CD3821" w:rsidRPr="00077973">
        <w:t>og Kommissionen.</w:t>
      </w:r>
    </w:p>
    <w:sectPr w:rsidR="00E365E1" w:rsidRPr="00077973" w:rsidSect="00CD38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08224" w14:textId="77777777" w:rsidR="009D67F7" w:rsidRPr="00CD3821" w:rsidRDefault="009D67F7">
      <w:r w:rsidRPr="00CD3821">
        <w:separator/>
      </w:r>
    </w:p>
  </w:endnote>
  <w:endnote w:type="continuationSeparator" w:id="0">
    <w:p w14:paraId="10DE7BA1" w14:textId="77777777" w:rsidR="009D67F7" w:rsidRPr="00CD3821" w:rsidRDefault="009D67F7">
      <w:r w:rsidRPr="00CD38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9F84" w14:textId="77777777" w:rsidR="00064002" w:rsidRPr="00CD38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8F3EF" w14:textId="77777777" w:rsidR="00064002" w:rsidRPr="00CD38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DEF9B" w14:textId="77777777" w:rsidR="00064002" w:rsidRPr="00CD38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EE18C" w14:textId="77777777" w:rsidR="009D67F7" w:rsidRPr="00CD3821" w:rsidRDefault="009D67F7">
      <w:r w:rsidRPr="00CD3821">
        <w:separator/>
      </w:r>
    </w:p>
  </w:footnote>
  <w:footnote w:type="continuationSeparator" w:id="0">
    <w:p w14:paraId="03144CB8" w14:textId="77777777" w:rsidR="009D67F7" w:rsidRPr="00CD3821" w:rsidRDefault="009D67F7">
      <w:r w:rsidRPr="00CD3821">
        <w:continuationSeparator/>
      </w:r>
    </w:p>
  </w:footnote>
  <w:footnote w:id="1">
    <w:p w14:paraId="7AEC349B" w14:textId="5E5EF392" w:rsidR="00903011" w:rsidRPr="00CD3821" w:rsidRDefault="00903011" w:rsidP="00CD3821">
      <w:pPr>
        <w:pStyle w:val="FootnoteText"/>
        <w:ind w:left="567" w:hanging="567"/>
        <w:rPr>
          <w:sz w:val="24"/>
          <w:lang w:val="da-DK"/>
        </w:rPr>
      </w:pPr>
      <w:r w:rsidRPr="00CD3821">
        <w:rPr>
          <w:rStyle w:val="FootnoteReference"/>
          <w:sz w:val="24"/>
          <w:lang w:val="da-DK"/>
        </w:rPr>
        <w:footnoteRef/>
      </w:r>
      <w:r w:rsidR="00CD3821" w:rsidRPr="00CD3821">
        <w:rPr>
          <w:sz w:val="24"/>
          <w:lang w:val="da-DK"/>
        </w:rPr>
        <w:t xml:space="preserve"> </w:t>
      </w:r>
      <w:r w:rsidR="00CD3821" w:rsidRPr="00CD3821">
        <w:rPr>
          <w:sz w:val="24"/>
          <w:lang w:val="da-DK"/>
        </w:rPr>
        <w:tab/>
      </w:r>
      <w:r w:rsidRPr="00CD3821">
        <w:rPr>
          <w:sz w:val="24"/>
          <w:lang w:val="da-DK"/>
        </w:rPr>
        <w:t xml:space="preserve">EUT L 231 af 30.6.2021, s. 159, ELI: </w:t>
      </w:r>
      <w:hyperlink r:id="rId1" w:history="1">
        <w:r w:rsidRPr="006B35F6">
          <w:rPr>
            <w:rStyle w:val="Hyperlink"/>
            <w:sz w:val="24"/>
            <w:lang w:val="da-DK"/>
          </w:rPr>
          <w:t>http://data.europa.eu/eli/reg/2021/1060/oj</w:t>
        </w:r>
      </w:hyperlink>
      <w:r w:rsidRPr="00CD3821">
        <w:rPr>
          <w:sz w:val="24"/>
          <w:lang w:val="da-DK"/>
        </w:rPr>
        <w:t>.</w:t>
      </w:r>
    </w:p>
  </w:footnote>
  <w:footnote w:id="2">
    <w:p w14:paraId="52AB1718" w14:textId="6781764A" w:rsidR="00903011" w:rsidRPr="006C5B3D" w:rsidRDefault="00903011" w:rsidP="00CD3821">
      <w:pPr>
        <w:pStyle w:val="FootnoteText"/>
        <w:ind w:left="567" w:hanging="567"/>
        <w:rPr>
          <w:sz w:val="24"/>
          <w:szCs w:val="24"/>
          <w:lang w:val="da-DK"/>
        </w:rPr>
      </w:pPr>
      <w:r w:rsidRPr="006C5B3D">
        <w:rPr>
          <w:rStyle w:val="FootnoteReference"/>
          <w:sz w:val="24"/>
          <w:szCs w:val="24"/>
          <w:lang w:val="da-DK"/>
        </w:rPr>
        <w:footnoteRef/>
      </w:r>
      <w:r w:rsidR="00CD3821" w:rsidRPr="006C5B3D">
        <w:rPr>
          <w:sz w:val="24"/>
          <w:szCs w:val="24"/>
          <w:lang w:val="da-DK"/>
        </w:rPr>
        <w:t xml:space="preserve"> </w:t>
      </w:r>
      <w:r w:rsidR="00CD3821" w:rsidRPr="006C5B3D">
        <w:rPr>
          <w:sz w:val="24"/>
          <w:szCs w:val="24"/>
          <w:lang w:val="da-DK"/>
        </w:rPr>
        <w:tab/>
      </w:r>
      <w:proofErr w:type="gramStart"/>
      <w:r w:rsidR="006C5B3D" w:rsidRPr="006C5B3D">
        <w:rPr>
          <w:sz w:val="24"/>
          <w:szCs w:val="24"/>
        </w:rPr>
        <w:t>COM(</w:t>
      </w:r>
      <w:proofErr w:type="gramEnd"/>
      <w:r w:rsidR="006C5B3D" w:rsidRPr="006C5B3D">
        <w:rPr>
          <w:sz w:val="24"/>
          <w:szCs w:val="24"/>
        </w:rPr>
        <w:t>2025)0123</w:t>
      </w:r>
      <w:r w:rsidRPr="006C5B3D">
        <w:rPr>
          <w:sz w:val="24"/>
          <w:szCs w:val="24"/>
          <w:lang w:val="da-DK"/>
        </w:rPr>
        <w:t>.</w:t>
      </w:r>
    </w:p>
  </w:footnote>
  <w:footnote w:id="3">
    <w:p w14:paraId="08A1C612" w14:textId="0B14F6E7" w:rsidR="00903011" w:rsidRPr="00CD3821" w:rsidRDefault="00903011" w:rsidP="00CD3821">
      <w:pPr>
        <w:pStyle w:val="FootnoteText"/>
        <w:ind w:left="567" w:hanging="567"/>
        <w:rPr>
          <w:sz w:val="24"/>
          <w:lang w:val="da-DK"/>
        </w:rPr>
      </w:pPr>
      <w:r w:rsidRPr="00CD3821">
        <w:rPr>
          <w:rStyle w:val="FootnoteReference"/>
          <w:sz w:val="24"/>
          <w:lang w:val="da-DK"/>
        </w:rPr>
        <w:footnoteRef/>
      </w:r>
      <w:r w:rsidR="00CD3821" w:rsidRPr="00CD3821">
        <w:rPr>
          <w:sz w:val="24"/>
          <w:lang w:val="da-DK"/>
        </w:rPr>
        <w:t xml:space="preserve"> </w:t>
      </w:r>
      <w:r w:rsidR="00CD3821" w:rsidRPr="00CD3821">
        <w:rPr>
          <w:sz w:val="24"/>
          <w:lang w:val="da-DK"/>
        </w:rPr>
        <w:tab/>
      </w:r>
      <w:r w:rsidRPr="00CD3821">
        <w:rPr>
          <w:sz w:val="24"/>
          <w:lang w:val="da-DK"/>
        </w:rPr>
        <w:t xml:space="preserve">Europa-Parlamentets og Rådets forordning (EU) 2025/1914 af 18. september 2025 om ændring af forordning (EU) 2021/1058 og (EU) 2021/1056 for så vidt angår særlige foranstaltninger til at adressere strategiske udfordringer i forbindelse med midtvejsgennemgangen (EUT L, 2025/1914, 19.9.2025, ELI: </w:t>
      </w:r>
      <w:hyperlink r:id="rId2" w:history="1">
        <w:r w:rsidRPr="006B35F6">
          <w:rPr>
            <w:rStyle w:val="Hyperlink"/>
            <w:sz w:val="24"/>
            <w:lang w:val="da-DK"/>
          </w:rPr>
          <w:t>http://data.europa.eu/eli/reg/2025/1914/oj</w:t>
        </w:r>
      </w:hyperlink>
      <w:r w:rsidRPr="00CD3821">
        <w:rPr>
          <w:sz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F4456" w14:textId="77777777" w:rsidR="00064002" w:rsidRPr="00CD38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715F2" w14:textId="77777777" w:rsidR="00064002" w:rsidRPr="00CD38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839CC" w14:textId="77777777" w:rsidR="00064002" w:rsidRPr="00CD38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1277744">
    <w:abstractNumId w:val="9"/>
  </w:num>
  <w:num w:numId="2" w16cid:durableId="1839036076">
    <w:abstractNumId w:val="9"/>
  </w:num>
  <w:num w:numId="3" w16cid:durableId="1525824815">
    <w:abstractNumId w:val="7"/>
  </w:num>
  <w:num w:numId="4" w16cid:durableId="1223062470">
    <w:abstractNumId w:val="7"/>
  </w:num>
  <w:num w:numId="5" w16cid:durableId="197547455">
    <w:abstractNumId w:val="6"/>
  </w:num>
  <w:num w:numId="6" w16cid:durableId="786512015">
    <w:abstractNumId w:val="6"/>
  </w:num>
  <w:num w:numId="7" w16cid:durableId="1480922630">
    <w:abstractNumId w:val="5"/>
  </w:num>
  <w:num w:numId="8" w16cid:durableId="532033185">
    <w:abstractNumId w:val="5"/>
  </w:num>
  <w:num w:numId="9" w16cid:durableId="1081607748">
    <w:abstractNumId w:val="4"/>
  </w:num>
  <w:num w:numId="10" w16cid:durableId="81268892">
    <w:abstractNumId w:val="4"/>
  </w:num>
  <w:num w:numId="11" w16cid:durableId="274408922">
    <w:abstractNumId w:val="8"/>
  </w:num>
  <w:num w:numId="12" w16cid:durableId="211306068">
    <w:abstractNumId w:val="8"/>
  </w:num>
  <w:num w:numId="13" w16cid:durableId="623511376">
    <w:abstractNumId w:val="3"/>
  </w:num>
  <w:num w:numId="14" w16cid:durableId="1216159843">
    <w:abstractNumId w:val="3"/>
  </w:num>
  <w:num w:numId="15" w16cid:durableId="273026756">
    <w:abstractNumId w:val="2"/>
  </w:num>
  <w:num w:numId="16" w16cid:durableId="803736924">
    <w:abstractNumId w:val="2"/>
  </w:num>
  <w:num w:numId="17" w16cid:durableId="1072386498">
    <w:abstractNumId w:val="1"/>
  </w:num>
  <w:num w:numId="18" w16cid:durableId="801389328">
    <w:abstractNumId w:val="1"/>
  </w:num>
  <w:num w:numId="19" w16cid:durableId="1274366379">
    <w:abstractNumId w:val="0"/>
  </w:num>
  <w:num w:numId="20" w16cid:durableId="269970326">
    <w:abstractNumId w:val="0"/>
  </w:num>
  <w:num w:numId="21" w16cid:durableId="1850413312">
    <w:abstractNumId w:val="9"/>
  </w:num>
  <w:num w:numId="22" w16cid:durableId="387219238">
    <w:abstractNumId w:val="7"/>
  </w:num>
  <w:num w:numId="23" w16cid:durableId="1188134359">
    <w:abstractNumId w:val="6"/>
  </w:num>
  <w:num w:numId="24" w16cid:durableId="1757508358">
    <w:abstractNumId w:val="5"/>
  </w:num>
  <w:num w:numId="25" w16cid:durableId="314838402">
    <w:abstractNumId w:val="4"/>
  </w:num>
  <w:num w:numId="26" w16cid:durableId="929005558">
    <w:abstractNumId w:val="8"/>
  </w:num>
  <w:num w:numId="27" w16cid:durableId="21170544">
    <w:abstractNumId w:val="3"/>
  </w:num>
  <w:num w:numId="28" w16cid:durableId="298654437">
    <w:abstractNumId w:val="2"/>
  </w:num>
  <w:num w:numId="29" w16cid:durableId="690448235">
    <w:abstractNumId w:val="1"/>
  </w:num>
  <w:num w:numId="30" w16cid:durableId="258367857">
    <w:abstractNumId w:val="0"/>
  </w:num>
  <w:num w:numId="31" w16cid:durableId="1021391922">
    <w:abstractNumId w:val="9"/>
  </w:num>
  <w:num w:numId="32" w16cid:durableId="1853647381">
    <w:abstractNumId w:val="7"/>
  </w:num>
  <w:num w:numId="33" w16cid:durableId="425425909">
    <w:abstractNumId w:val="6"/>
  </w:num>
  <w:num w:numId="34" w16cid:durableId="2048750762">
    <w:abstractNumId w:val="5"/>
  </w:num>
  <w:num w:numId="35" w16cid:durableId="1696727787">
    <w:abstractNumId w:val="4"/>
  </w:num>
  <w:num w:numId="36" w16cid:durableId="1326861833">
    <w:abstractNumId w:val="8"/>
  </w:num>
  <w:num w:numId="37" w16cid:durableId="785201717">
    <w:abstractNumId w:val="3"/>
  </w:num>
  <w:num w:numId="38" w16cid:durableId="502353041">
    <w:abstractNumId w:val="2"/>
  </w:num>
  <w:num w:numId="39" w16cid:durableId="1060326019">
    <w:abstractNumId w:val="1"/>
  </w:num>
  <w:num w:numId="40" w16cid:durableId="2072189375">
    <w:abstractNumId w:val="0"/>
  </w:num>
  <w:num w:numId="41" w16cid:durableId="823741153">
    <w:abstractNumId w:val="10"/>
  </w:num>
  <w:num w:numId="42" w16cid:durableId="1497501243">
    <w:abstractNumId w:val="10"/>
  </w:num>
  <w:num w:numId="43" w16cid:durableId="2090929973">
    <w:abstractNumId w:val="10"/>
  </w:num>
  <w:num w:numId="44" w16cid:durableId="12168953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DA"/>
    <w:docVar w:name="dvnumam" w:val="0"/>
    <w:docVar w:name="dvpe" w:val="778.177"/>
    <w:docVar w:name="dvtitre" w:val="Europa-Parlamentets afgørelse af xx. oktober 2025 om ikke at gøre indsigelse mod Kommissionens delegerede forordning af 22. september 2025 om ændring af bilag I til Europa-Parlamentets og Rådets forordning (EU) 2021/1060 for så vidt angår nomenklaturen for dimensioner og koder for interventionstyper under EFRU, ESF+, Samhørighedsfonden og FRO _x000d__x000a_(C(2025)06376 – 2025/2888(DEA))"/>
  </w:docVars>
  <w:rsids>
    <w:rsidRoot w:val="009D67F7"/>
    <w:rsid w:val="00002272"/>
    <w:rsid w:val="00064002"/>
    <w:rsid w:val="000677B9"/>
    <w:rsid w:val="00077973"/>
    <w:rsid w:val="000831BA"/>
    <w:rsid w:val="000A42CC"/>
    <w:rsid w:val="000D5D13"/>
    <w:rsid w:val="000E7DD9"/>
    <w:rsid w:val="0010095E"/>
    <w:rsid w:val="00125B37"/>
    <w:rsid w:val="00187494"/>
    <w:rsid w:val="001F32AE"/>
    <w:rsid w:val="002767FF"/>
    <w:rsid w:val="002B18FE"/>
    <w:rsid w:val="002B5493"/>
    <w:rsid w:val="002C4284"/>
    <w:rsid w:val="0030448A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5F6"/>
    <w:rsid w:val="006C5B3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D64"/>
    <w:rsid w:val="00865F67"/>
    <w:rsid w:val="00881A7B"/>
    <w:rsid w:val="008840E5"/>
    <w:rsid w:val="00887B3E"/>
    <w:rsid w:val="008C2AC6"/>
    <w:rsid w:val="00903011"/>
    <w:rsid w:val="00930C23"/>
    <w:rsid w:val="0093193B"/>
    <w:rsid w:val="009509D8"/>
    <w:rsid w:val="00950B64"/>
    <w:rsid w:val="00981893"/>
    <w:rsid w:val="009D67F7"/>
    <w:rsid w:val="00A1687D"/>
    <w:rsid w:val="00A43E52"/>
    <w:rsid w:val="00A4678D"/>
    <w:rsid w:val="00A778C7"/>
    <w:rsid w:val="00AA561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821"/>
    <w:rsid w:val="00CF071A"/>
    <w:rsid w:val="00D058B8"/>
    <w:rsid w:val="00D43F5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8473C"/>
  <w15:chartTrackingRefBased/>
  <w15:docId w15:val="{771EEA06-8ED6-4584-83F9-88E2BB76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3011"/>
    <w:pPr>
      <w:spacing w:before="480" w:after="240"/>
    </w:pPr>
  </w:style>
  <w:style w:type="paragraph" w:customStyle="1" w:styleId="NormalHanging12a">
    <w:name w:val="NormalHanging12a"/>
    <w:basedOn w:val="Normal"/>
    <w:rsid w:val="0090301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B35F6"/>
    <w:rPr>
      <w:sz w:val="24"/>
      <w:lang w:val="da-DK"/>
    </w:rPr>
  </w:style>
  <w:style w:type="character" w:styleId="Hyperlink">
    <w:name w:val="Hyperlink"/>
    <w:basedOn w:val="DefaultParagraphFont"/>
    <w:rsid w:val="006B35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ILLY_D</cp:lastModifiedBy>
  <cp:revision>3</cp:revision>
  <cp:lastPrinted>2004-11-19T15:42:00Z</cp:lastPrinted>
  <dcterms:created xsi:type="dcterms:W3CDTF">2025-10-22T11:33:00Z</dcterms:created>
  <dcterms:modified xsi:type="dcterms:W3CDTF">2026-01-28T11:53:00Z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P10_TA-PROV(2025)0000_B10-0460_2025_</vt:lpwstr>
  </property>
  <property fmtid="{D5CDD505-2E9C-101B-9397-08002B2CF9AE}" pid="4" name="&lt;Type&gt;">
    <vt:lpwstr>RR</vt:lpwstr>
  </property>
</Properties>
</file>