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67A7" w14:paraId="2750F7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4F27F2" w14:textId="0EFB1C85" w:rsidR="00751A4A" w:rsidRPr="00C267A7" w:rsidRDefault="00B90FCF" w:rsidP="0010095E">
            <w:pPr>
              <w:pStyle w:val="EPName"/>
            </w:pPr>
            <w:r w:rsidRPr="00C267A7">
              <w:t>Euroopa Parlament</w:t>
            </w:r>
          </w:p>
          <w:p w14:paraId="58BC6440" w14:textId="77777777" w:rsidR="00751A4A" w:rsidRPr="00C267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7A7">
              <w:t>2024</w:t>
            </w:r>
            <w:r w:rsidR="00817416" w:rsidRPr="00C267A7">
              <w:t>-202</w:t>
            </w:r>
            <w:r w:rsidRPr="00C267A7">
              <w:t>9</w:t>
            </w:r>
          </w:p>
        </w:tc>
        <w:tc>
          <w:tcPr>
            <w:tcW w:w="2268" w:type="dxa"/>
            <w:shd w:val="clear" w:color="auto" w:fill="auto"/>
          </w:tcPr>
          <w:p w14:paraId="4E5ED652" w14:textId="77777777" w:rsidR="00751A4A" w:rsidRPr="00C267A7" w:rsidRDefault="00187494" w:rsidP="0010095E">
            <w:pPr>
              <w:pStyle w:val="EPLogo"/>
            </w:pPr>
            <w:r w:rsidRPr="00C267A7">
              <w:rPr>
                <w:noProof/>
                <w:lang w:eastAsia="ja-JP"/>
              </w:rPr>
              <w:drawing>
                <wp:inline distT="0" distB="0" distL="0" distR="0" wp14:anchorId="4F401BC0" wp14:editId="69757D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B69C8" w14:textId="77777777" w:rsidR="00D058B8" w:rsidRPr="00C267A7" w:rsidRDefault="00D058B8" w:rsidP="004C5D52">
      <w:pPr>
        <w:pStyle w:val="LineTop"/>
      </w:pPr>
    </w:p>
    <w:p w14:paraId="64861BAF" w14:textId="57ACC2D5" w:rsidR="00680577" w:rsidRPr="00C267A7" w:rsidRDefault="00B90FCF" w:rsidP="00680577">
      <w:pPr>
        <w:pStyle w:val="EPBodyTA1"/>
      </w:pPr>
      <w:r w:rsidRPr="00C267A7">
        <w:t>VASTUVÕETUD TEKSTID</w:t>
      </w:r>
    </w:p>
    <w:p w14:paraId="07E0F659" w14:textId="77777777" w:rsidR="00D058B8" w:rsidRPr="00C267A7" w:rsidRDefault="00D058B8" w:rsidP="00D058B8">
      <w:pPr>
        <w:pStyle w:val="LineBottom"/>
      </w:pPr>
    </w:p>
    <w:p w14:paraId="1107CA3D" w14:textId="01A7DEBC" w:rsidR="00B90FCF" w:rsidRPr="00C267A7" w:rsidRDefault="00B90FCF" w:rsidP="00B90FCF">
      <w:pPr>
        <w:pStyle w:val="ATHeading1"/>
      </w:pPr>
      <w:bookmarkStart w:id="0" w:name="TANumber"/>
      <w:r w:rsidRPr="00C267A7">
        <w:t>P10_TA(2025)0</w:t>
      </w:r>
      <w:r w:rsidR="00D2152A" w:rsidRPr="00C267A7">
        <w:t>243</w:t>
      </w:r>
      <w:bookmarkEnd w:id="0"/>
    </w:p>
    <w:p w14:paraId="67C9C8FA" w14:textId="77777777" w:rsidR="00B90FCF" w:rsidRPr="00C267A7" w:rsidRDefault="00B90FCF" w:rsidP="00B90FCF">
      <w:pPr>
        <w:pStyle w:val="ATHeading2"/>
      </w:pPr>
      <w:bookmarkStart w:id="1" w:name="title"/>
      <w:r w:rsidRPr="00C267A7">
        <w:t xml:space="preserve">Vastuväidete puudumine delegeeritud õigusaktile: </w:t>
      </w:r>
      <w:proofErr w:type="spellStart"/>
      <w:r w:rsidRPr="00C267A7">
        <w:t>ERFi</w:t>
      </w:r>
      <w:proofErr w:type="spellEnd"/>
      <w:r w:rsidRPr="00C267A7">
        <w:t>, ESF+, Ühtekuuluvusfondi ja Õiglase Ülemineku Fondi sekkumisliikide ulatus ja koodide nomenklatuur</w:t>
      </w:r>
      <w:bookmarkEnd w:id="1"/>
    </w:p>
    <w:p w14:paraId="5C3BFBB1" w14:textId="77777777" w:rsidR="00B90FCF" w:rsidRPr="00C267A7" w:rsidRDefault="00B90FCF" w:rsidP="00B90FCF">
      <w:pPr>
        <w:rPr>
          <w:i/>
          <w:vanish/>
        </w:rPr>
      </w:pPr>
      <w:r w:rsidRPr="00C267A7">
        <w:rPr>
          <w:i/>
        </w:rPr>
        <w:fldChar w:fldCharType="begin"/>
      </w:r>
      <w:r w:rsidRPr="00C267A7">
        <w:rPr>
          <w:i/>
        </w:rPr>
        <w:instrText xml:space="preserve"> TC"(</w:instrText>
      </w:r>
      <w:bookmarkStart w:id="2" w:name="DocNumber"/>
      <w:r w:rsidRPr="00C267A7">
        <w:rPr>
          <w:i/>
        </w:rPr>
        <w:instrText>B10-0460/2025</w:instrText>
      </w:r>
      <w:bookmarkEnd w:id="2"/>
      <w:r w:rsidRPr="00C267A7">
        <w:rPr>
          <w:i/>
        </w:rPr>
        <w:instrText xml:space="preserve">)"\l3 \n&gt; \* MERGEFORMAT </w:instrText>
      </w:r>
      <w:r w:rsidRPr="00C267A7">
        <w:rPr>
          <w:i/>
        </w:rPr>
        <w:fldChar w:fldCharType="end"/>
      </w:r>
    </w:p>
    <w:p w14:paraId="79628541" w14:textId="77777777" w:rsidR="00B90FCF" w:rsidRPr="00C267A7" w:rsidRDefault="00B90FCF" w:rsidP="00B90FCF">
      <w:pPr>
        <w:rPr>
          <w:vanish/>
        </w:rPr>
      </w:pPr>
      <w:bookmarkStart w:id="3" w:name="PE"/>
      <w:r w:rsidRPr="00C267A7">
        <w:rPr>
          <w:vanish/>
        </w:rPr>
        <w:t>PE778.177</w:t>
      </w:r>
      <w:bookmarkEnd w:id="3"/>
    </w:p>
    <w:p w14:paraId="67386B09" w14:textId="558A0FED" w:rsidR="00B90FCF" w:rsidRPr="00C267A7" w:rsidRDefault="00B90FCF" w:rsidP="00B90FCF">
      <w:pPr>
        <w:pStyle w:val="ATHeading3"/>
      </w:pPr>
      <w:bookmarkStart w:id="4" w:name="Sujet"/>
      <w:r w:rsidRPr="00C267A7">
        <w:t>Euroopa Parlamendi otsus mitte esitada vastuväiteid komisjoni 22. septembri 2025. aasta delegeeritud määrusele, millega muudetakse Euroopa Parlamendi ja nõukogu määruse</w:t>
      </w:r>
      <w:r w:rsidR="006652BF" w:rsidRPr="00C267A7">
        <w:t xml:space="preserve"> </w:t>
      </w:r>
      <w:r w:rsidRPr="00C267A7">
        <w:t xml:space="preserve">(EL) 2021/1060 I lisa </w:t>
      </w:r>
      <w:proofErr w:type="spellStart"/>
      <w:r w:rsidRPr="00C267A7">
        <w:t>ERFi</w:t>
      </w:r>
      <w:proofErr w:type="spellEnd"/>
      <w:r w:rsidRPr="00C267A7">
        <w:t xml:space="preserve">, ESF+, Ühtekuuluvusfondi ja Õiglase Ülemineku Fondi sekkumisliikide ulatuse ja koodide nomenklatuuri osas </w:t>
      </w:r>
      <w:bookmarkStart w:id="5" w:name="References"/>
      <w:r w:rsidRPr="00C267A7">
        <w:t>(C(2025)06376 – 2025/2888(DEA))</w:t>
      </w:r>
      <w:bookmarkEnd w:id="5"/>
    </w:p>
    <w:p w14:paraId="68397A36" w14:textId="77777777" w:rsidR="00626000" w:rsidRPr="00C267A7" w:rsidRDefault="00626000" w:rsidP="00626000">
      <w:pPr>
        <w:pStyle w:val="EPComma"/>
        <w:rPr>
          <w:i/>
        </w:rPr>
      </w:pPr>
      <w:bookmarkStart w:id="6" w:name="TextBodyBegin"/>
      <w:bookmarkEnd w:id="4"/>
      <w:bookmarkEnd w:id="6"/>
      <w:r w:rsidRPr="00C267A7">
        <w:rPr>
          <w:i/>
        </w:rPr>
        <w:t>Euroopa Parlament,</w:t>
      </w:r>
    </w:p>
    <w:p w14:paraId="00124542" w14:textId="3E3F6DE3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>võttes arvesse komisjoni delegeeritud määrust (C(2025)06376),</w:t>
      </w:r>
    </w:p>
    <w:p w14:paraId="57F7AE12" w14:textId="77777777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>võttes arvesse komisjoni 22. septembri 2025. aasta kirja, milles komisjon palub Euroopa Parlamendil teatada, et tal ei ole delegeeritud määrusele vastuväiteid,</w:t>
      </w:r>
    </w:p>
    <w:p w14:paraId="53DDD21D" w14:textId="22677A74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 xml:space="preserve">võttes arvesse regionaalarengukomisjoni </w:t>
      </w:r>
      <w:r w:rsidR="006652BF" w:rsidRPr="00C267A7">
        <w:t>14. oktoobri 2025. aasta</w:t>
      </w:r>
      <w:r w:rsidRPr="00C267A7">
        <w:t xml:space="preserve"> kirja komisjonide esimeeste konverentsi esimehele,</w:t>
      </w:r>
    </w:p>
    <w:p w14:paraId="7FD28763" w14:textId="73173ACE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>võttes arvesse Euroopa Liidu toimimise lepingu artiklit</w:t>
      </w:r>
      <w:r w:rsidR="006652BF" w:rsidRPr="00C267A7">
        <w:t> </w:t>
      </w:r>
      <w:r w:rsidRPr="00C267A7">
        <w:t>290,</w:t>
      </w:r>
    </w:p>
    <w:p w14:paraId="4AA0CD89" w14:textId="77777777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 xml:space="preserve">võttes arvesse Euroopa Parlamendi ja nõukogu 24. juuni 2021. aasta määrust (EL) 2021/1060, millega kehtestatakse </w:t>
      </w:r>
      <w:proofErr w:type="spellStart"/>
      <w:r w:rsidRPr="00C267A7">
        <w:t>ühissätted</w:t>
      </w:r>
      <w:proofErr w:type="spellEnd"/>
      <w:r w:rsidRPr="00C267A7">
        <w:t xml:space="preserve"> Euroopa Regionaalarengu Fondi, Euroopa Sotsiaalfond+, Ühtekuuluvusfondi, Õiglase Ülemineku Fondi ja Euroopa Merendus-, Kalandus- ja Vesiviljelusfondi kohta ning nende ja Varjupaiga-, Rände- ja Integratsioonifondi, Sisejulgeolekufondi ning piirihalduse ja viisapoliitika rahastu suhtes kohaldatavad finantsreeglid</w:t>
      </w:r>
      <w:r w:rsidRPr="00C267A7">
        <w:rPr>
          <w:vertAlign w:val="superscript"/>
        </w:rPr>
        <w:footnoteReference w:id="1"/>
      </w:r>
      <w:r w:rsidRPr="00C267A7">
        <w:t>, eriti selle artiklit 113 ja artikli 114 lõiget 6,</w:t>
      </w:r>
    </w:p>
    <w:p w14:paraId="15F9E241" w14:textId="77777777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>võttes arvesse kodukorra artikli 114 lõiget 6,</w:t>
      </w:r>
    </w:p>
    <w:p w14:paraId="2E699727" w14:textId="77777777" w:rsidR="00626000" w:rsidRPr="00C267A7" w:rsidRDefault="00626000" w:rsidP="00626000">
      <w:pPr>
        <w:pStyle w:val="NormalHanging12a"/>
      </w:pPr>
      <w:r w:rsidRPr="00C267A7">
        <w:t>–</w:t>
      </w:r>
      <w:r w:rsidRPr="00C267A7">
        <w:tab/>
        <w:t>võttes arvesse regionaalarengukomisjoni soovitust võtta vastu otsus,</w:t>
      </w:r>
    </w:p>
    <w:p w14:paraId="3B37FBC0" w14:textId="32AFA620" w:rsidR="009700E0" w:rsidRPr="00C267A7" w:rsidRDefault="009700E0" w:rsidP="009700E0">
      <w:pPr>
        <w:spacing w:after="240"/>
        <w:ind w:left="567" w:hanging="567"/>
      </w:pPr>
      <w:r w:rsidRPr="00C267A7">
        <w:t>–</w:t>
      </w:r>
      <w:r w:rsidRPr="00C267A7">
        <w:tab/>
        <w:t xml:space="preserve">võttes arvesse, et kodukorra artikli 114 lõike 6 kolmandas ja neljandas taandes sätestatud ajavahemiku jooksul, mis lõppes </w:t>
      </w:r>
      <w:r w:rsidR="009D1CCB" w:rsidRPr="00C267A7">
        <w:t>21</w:t>
      </w:r>
      <w:r w:rsidRPr="00C267A7">
        <w:t>.</w:t>
      </w:r>
      <w:r w:rsidR="009D1CCB" w:rsidRPr="00C267A7">
        <w:t> oktoobril 2025</w:t>
      </w:r>
      <w:r w:rsidRPr="00C267A7">
        <w:t xml:space="preserve">, ei ole vastuväiteid </w:t>
      </w:r>
      <w:r w:rsidRPr="00C267A7">
        <w:lastRenderedPageBreak/>
        <w:t>esitatud,</w:t>
      </w:r>
    </w:p>
    <w:p w14:paraId="23D88E35" w14:textId="494E30EB" w:rsidR="00626000" w:rsidRPr="00C267A7" w:rsidRDefault="00626000" w:rsidP="00626000">
      <w:pPr>
        <w:pStyle w:val="NormalHanging12a"/>
      </w:pPr>
      <w:r w:rsidRPr="00C267A7">
        <w:t>A.</w:t>
      </w:r>
      <w:r w:rsidRPr="00C267A7">
        <w:tab/>
        <w:t>arvestades, et komisjon esitas 4. aprillil</w:t>
      </w:r>
      <w:r w:rsidR="006652BF" w:rsidRPr="00C267A7">
        <w:t> </w:t>
      </w:r>
      <w:r w:rsidRPr="00C267A7">
        <w:t>2025 vastavalt Euroopa Parlamendi kodukorra artiklile 170 taotluse kohaldada kiirmenetlust oma ettepaneku suhtes võtta vastu määrus, millega muudetakse määrusi (EL) 2021/1058 ja (EL) 2021/1056 seoses erimeetmetega strateegiliste probleemide lahendamiseks vahehindamise raames</w:t>
      </w:r>
      <w:r w:rsidRPr="00C267A7">
        <w:rPr>
          <w:vertAlign w:val="superscript"/>
        </w:rPr>
        <w:footnoteReference w:id="2"/>
      </w:r>
      <w:r w:rsidRPr="00C267A7">
        <w:t>, et liikmesriigid saaksid vahehindamise raames viia läbi sisuka ümberplaneerimise ja suunata vahendid määruses</w:t>
      </w:r>
      <w:r w:rsidR="006652BF" w:rsidRPr="00C267A7">
        <w:t xml:space="preserve"> </w:t>
      </w:r>
      <w:r w:rsidRPr="00C267A7">
        <w:t>(EL) 2021/1060 sätestatud uutele liidu strateegilistele prioriteetidele; arvestades, et komisjon esitas nimetatud ettepaneku regionaalarengukomisjoni 9. aprilli 2025. aasta koosolekul;</w:t>
      </w:r>
    </w:p>
    <w:p w14:paraId="45D45554" w14:textId="77777777" w:rsidR="00626000" w:rsidRPr="00C267A7" w:rsidRDefault="00626000" w:rsidP="00626000">
      <w:pPr>
        <w:pStyle w:val="NormalHanging12a"/>
      </w:pPr>
      <w:r w:rsidRPr="00C267A7">
        <w:t>B.</w:t>
      </w:r>
      <w:r w:rsidRPr="00C267A7">
        <w:tab/>
        <w:t>arvestades, et regionaalarengukomisjon otsustas oma 5. mai 2025. aasta koosolekul toetada taotlust kohaldada vastavalt kodukorra artikli 170 lõikele 5 kiirmenetlust, mille tulemusel võeti vastu Euroopa Parlamendi ja nõukogu määrus (EL) 2025/1914</w:t>
      </w:r>
      <w:r w:rsidRPr="00C267A7">
        <w:rPr>
          <w:vertAlign w:val="superscript"/>
        </w:rPr>
        <w:footnoteReference w:id="3"/>
      </w:r>
      <w:r w:rsidRPr="00C267A7">
        <w:t>,</w:t>
      </w:r>
    </w:p>
    <w:p w14:paraId="7DDA5BB1" w14:textId="5C138EDD" w:rsidR="00626000" w:rsidRPr="00C267A7" w:rsidRDefault="00626000" w:rsidP="00626000">
      <w:pPr>
        <w:pStyle w:val="NormalHanging12a"/>
      </w:pPr>
      <w:r w:rsidRPr="00C267A7">
        <w:t>C.</w:t>
      </w:r>
      <w:r w:rsidRPr="00C267A7">
        <w:tab/>
        <w:t>arvestades, et komisjoni delegeeritud määrus on vajalik, et tagada kooskõla ja järjepidevus määruse (EL) 2021/1060 ja fondispetsiifiliste määruste (</w:t>
      </w:r>
      <w:proofErr w:type="spellStart"/>
      <w:r w:rsidRPr="00C267A7">
        <w:t>ERFi</w:t>
      </w:r>
      <w:proofErr w:type="spellEnd"/>
      <w:r w:rsidRPr="00C267A7">
        <w:t>/Ühtekuuluvusfondi, ESF+ ja Õiglase Ülemineku Fondi määrused) vahel, et tagada määruse (EL) 2025/1914 kohaste muudetud ja äsja kehtestatud erieesmärkide rakendamine, lisades vastavad sekkumisvaldkonnad määruse (EL) 2021/1060 I lisasse, ning võimaldada nende kasutamist programmi rakendamisel ja aruandluses;</w:t>
      </w:r>
    </w:p>
    <w:p w14:paraId="3CFC8FE2" w14:textId="77777777" w:rsidR="00626000" w:rsidRPr="00C267A7" w:rsidRDefault="00626000" w:rsidP="00626000">
      <w:pPr>
        <w:pStyle w:val="NormalHanging12a"/>
      </w:pPr>
      <w:r w:rsidRPr="00C267A7">
        <w:t>1.</w:t>
      </w:r>
      <w:r w:rsidRPr="00C267A7">
        <w:tab/>
        <w:t>teatab, et ei esita delegeeritud määrusele vastuväiteid;</w:t>
      </w:r>
    </w:p>
    <w:p w14:paraId="4028B13C" w14:textId="48418922" w:rsidR="001559B3" w:rsidRPr="00C267A7" w:rsidRDefault="00626000" w:rsidP="001559B3">
      <w:pPr>
        <w:pStyle w:val="NormalHanging12a"/>
        <w:rPr>
          <w:lang w:eastAsia="fr-FR"/>
        </w:rPr>
      </w:pPr>
      <w:r w:rsidRPr="00C267A7">
        <w:t>2.</w:t>
      </w:r>
      <w:r w:rsidRPr="00C267A7">
        <w:tab/>
        <w:t>teeb presidendile ülesandeks edastada käesolev otsus nõukogule ja komisjonile.</w:t>
      </w:r>
    </w:p>
    <w:p w14:paraId="349A63E6" w14:textId="142740DB" w:rsidR="00E365E1" w:rsidRPr="00C267A7" w:rsidRDefault="00E365E1" w:rsidP="00626000">
      <w:pPr>
        <w:rPr>
          <w:lang w:eastAsia="fr-FR"/>
        </w:rPr>
      </w:pPr>
    </w:p>
    <w:sectPr w:rsidR="00E365E1" w:rsidRPr="00C267A7" w:rsidSect="001559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0636B" w14:textId="77777777" w:rsidR="00B90FCF" w:rsidRPr="001559B3" w:rsidRDefault="00B90FCF">
      <w:r w:rsidRPr="001559B3">
        <w:separator/>
      </w:r>
    </w:p>
  </w:endnote>
  <w:endnote w:type="continuationSeparator" w:id="0">
    <w:p w14:paraId="51364F4D" w14:textId="77777777" w:rsidR="00B90FCF" w:rsidRPr="001559B3" w:rsidRDefault="00B90FCF">
      <w:r w:rsidRPr="001559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DBB9F" w14:textId="77777777" w:rsidR="00064002" w:rsidRPr="001559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28C9" w14:textId="77777777" w:rsidR="00064002" w:rsidRPr="001559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E0B6" w14:textId="77777777" w:rsidR="00064002" w:rsidRPr="001559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658E5" w14:textId="77777777" w:rsidR="00B90FCF" w:rsidRPr="001559B3" w:rsidRDefault="00B90FCF">
      <w:r w:rsidRPr="001559B3">
        <w:separator/>
      </w:r>
    </w:p>
  </w:footnote>
  <w:footnote w:type="continuationSeparator" w:id="0">
    <w:p w14:paraId="58D814AB" w14:textId="77777777" w:rsidR="00B90FCF" w:rsidRPr="001559B3" w:rsidRDefault="00B90FCF">
      <w:r w:rsidRPr="001559B3">
        <w:continuationSeparator/>
      </w:r>
    </w:p>
  </w:footnote>
  <w:footnote w:id="1">
    <w:p w14:paraId="29E06FEA" w14:textId="565E235A" w:rsidR="00626000" w:rsidRPr="001559B3" w:rsidRDefault="00626000" w:rsidP="001559B3">
      <w:pPr>
        <w:pStyle w:val="FootnoteText"/>
        <w:ind w:left="567" w:hanging="567"/>
        <w:rPr>
          <w:sz w:val="24"/>
          <w:lang w:val="et-EE"/>
        </w:rPr>
      </w:pPr>
      <w:r w:rsidRPr="001559B3">
        <w:rPr>
          <w:rStyle w:val="FootnoteReference"/>
          <w:sz w:val="24"/>
          <w:lang w:val="et-EE"/>
        </w:rPr>
        <w:footnoteRef/>
      </w:r>
      <w:r w:rsidR="001559B3" w:rsidRPr="001559B3">
        <w:rPr>
          <w:sz w:val="24"/>
          <w:lang w:val="et-EE"/>
        </w:rPr>
        <w:t xml:space="preserve"> </w:t>
      </w:r>
      <w:r w:rsidR="001559B3" w:rsidRPr="001559B3">
        <w:rPr>
          <w:sz w:val="24"/>
          <w:lang w:val="et-EE"/>
        </w:rPr>
        <w:tab/>
      </w:r>
      <w:r w:rsidR="006652BF">
        <w:rPr>
          <w:sz w:val="24"/>
          <w:lang w:val="et-EE"/>
        </w:rPr>
        <w:t>ELT </w:t>
      </w:r>
      <w:r w:rsidRPr="001559B3">
        <w:rPr>
          <w:sz w:val="24"/>
          <w:lang w:val="et-EE"/>
        </w:rPr>
        <w:t>L</w:t>
      </w:r>
      <w:r w:rsidR="006652BF">
        <w:rPr>
          <w:sz w:val="24"/>
          <w:lang w:val="et-EE"/>
        </w:rPr>
        <w:t> </w:t>
      </w:r>
      <w:r w:rsidRPr="001559B3">
        <w:rPr>
          <w:sz w:val="24"/>
          <w:lang w:val="et-EE"/>
        </w:rPr>
        <w:t xml:space="preserve">231, 30.6.2021, </w:t>
      </w:r>
      <w:r w:rsidR="006652BF">
        <w:rPr>
          <w:sz w:val="24"/>
          <w:lang w:val="et-EE"/>
        </w:rPr>
        <w:t>lk </w:t>
      </w:r>
      <w:r w:rsidRPr="001559B3">
        <w:rPr>
          <w:sz w:val="24"/>
          <w:lang w:val="et-EE"/>
        </w:rPr>
        <w:t xml:space="preserve">159, ELI: </w:t>
      </w:r>
      <w:hyperlink r:id="rId1" w:history="1">
        <w:r w:rsidRPr="006652BF">
          <w:rPr>
            <w:rStyle w:val="Hyperlink"/>
            <w:sz w:val="24"/>
            <w:lang w:val="et-EE"/>
          </w:rPr>
          <w:t>http://data.europa.eu/eli/reg/2021/1060/oj</w:t>
        </w:r>
      </w:hyperlink>
      <w:r w:rsidR="006652BF">
        <w:rPr>
          <w:sz w:val="24"/>
          <w:lang w:val="et-EE"/>
        </w:rPr>
        <w:t>.</w:t>
      </w:r>
    </w:p>
  </w:footnote>
  <w:footnote w:id="2">
    <w:p w14:paraId="22322B6B" w14:textId="4AB2815F" w:rsidR="00626000" w:rsidRPr="001559B3" w:rsidRDefault="00626000" w:rsidP="001559B3">
      <w:pPr>
        <w:pStyle w:val="FootnoteText"/>
        <w:ind w:left="567" w:hanging="567"/>
        <w:rPr>
          <w:sz w:val="24"/>
          <w:lang w:val="et-EE"/>
        </w:rPr>
      </w:pPr>
      <w:r w:rsidRPr="001559B3">
        <w:rPr>
          <w:rStyle w:val="FootnoteReference"/>
          <w:sz w:val="24"/>
          <w:lang w:val="et-EE"/>
        </w:rPr>
        <w:footnoteRef/>
      </w:r>
      <w:r w:rsidR="001559B3" w:rsidRPr="001559B3">
        <w:rPr>
          <w:sz w:val="24"/>
          <w:lang w:val="et-EE"/>
        </w:rPr>
        <w:t xml:space="preserve"> </w:t>
      </w:r>
      <w:r w:rsidR="001559B3" w:rsidRPr="001559B3">
        <w:rPr>
          <w:sz w:val="24"/>
          <w:lang w:val="et-EE"/>
        </w:rPr>
        <w:tab/>
      </w:r>
      <w:r w:rsidRPr="001559B3">
        <w:rPr>
          <w:sz w:val="24"/>
          <w:lang w:val="et-EE"/>
        </w:rPr>
        <w:t>COM(2025</w:t>
      </w:r>
      <w:r w:rsidR="006652BF">
        <w:rPr>
          <w:sz w:val="24"/>
          <w:lang w:val="et-EE"/>
        </w:rPr>
        <w:t>)0</w:t>
      </w:r>
      <w:r w:rsidRPr="001559B3">
        <w:rPr>
          <w:sz w:val="24"/>
          <w:lang w:val="et-EE"/>
        </w:rPr>
        <w:t>123.</w:t>
      </w:r>
    </w:p>
  </w:footnote>
  <w:footnote w:id="3">
    <w:p w14:paraId="79B85F51" w14:textId="54A4A888" w:rsidR="00626000" w:rsidRPr="001559B3" w:rsidRDefault="00626000" w:rsidP="001559B3">
      <w:pPr>
        <w:pStyle w:val="FootnoteText"/>
        <w:ind w:left="567" w:hanging="567"/>
        <w:rPr>
          <w:sz w:val="24"/>
          <w:lang w:val="et-EE"/>
        </w:rPr>
      </w:pPr>
      <w:r w:rsidRPr="001559B3">
        <w:rPr>
          <w:rStyle w:val="FootnoteReference"/>
          <w:sz w:val="24"/>
          <w:lang w:val="et-EE"/>
        </w:rPr>
        <w:footnoteRef/>
      </w:r>
      <w:r w:rsidR="001559B3" w:rsidRPr="001559B3">
        <w:rPr>
          <w:sz w:val="24"/>
          <w:lang w:val="et-EE"/>
        </w:rPr>
        <w:t xml:space="preserve"> </w:t>
      </w:r>
      <w:r w:rsidR="001559B3" w:rsidRPr="001559B3">
        <w:rPr>
          <w:sz w:val="24"/>
          <w:lang w:val="et-EE"/>
        </w:rPr>
        <w:tab/>
      </w:r>
      <w:r w:rsidRPr="001559B3">
        <w:rPr>
          <w:sz w:val="24"/>
          <w:lang w:val="et-EE"/>
        </w:rPr>
        <w:t>Euroopa Parlamendi ja nõukogu 18. septembri 2025. aasta määrus (EL) 2025/1914, millega muudetakse määrusi (EL) 2021/1058 ja (EL) 2021/1056 seoses erimeetmetega strateegiliste probleemide lahendamiseks vahehindamise raames (ELT L,</w:t>
      </w:r>
      <w:r w:rsidR="006652BF">
        <w:rPr>
          <w:sz w:val="24"/>
          <w:lang w:val="et-EE"/>
        </w:rPr>
        <w:t xml:space="preserve"> </w:t>
      </w:r>
      <w:r w:rsidRPr="001559B3">
        <w:rPr>
          <w:sz w:val="24"/>
          <w:lang w:val="et-EE"/>
        </w:rPr>
        <w:t xml:space="preserve">2025/1914, 19.9.2025, ELI: </w:t>
      </w:r>
      <w:hyperlink r:id="rId2" w:history="1">
        <w:r w:rsidRPr="006652BF">
          <w:rPr>
            <w:rStyle w:val="Hyperlink"/>
            <w:sz w:val="24"/>
            <w:lang w:val="et-EE"/>
          </w:rPr>
          <w:t>http://data.europa.eu/eli/reg/2025/1914/oj</w:t>
        </w:r>
      </w:hyperlink>
      <w:r w:rsidRPr="001559B3">
        <w:rPr>
          <w:sz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DA20" w14:textId="77777777" w:rsidR="00064002" w:rsidRPr="001559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16192" w14:textId="77777777" w:rsidR="00064002" w:rsidRPr="001559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71F1" w14:textId="77777777" w:rsidR="00064002" w:rsidRPr="001559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6483709">
    <w:abstractNumId w:val="9"/>
  </w:num>
  <w:num w:numId="2" w16cid:durableId="1846019440">
    <w:abstractNumId w:val="9"/>
  </w:num>
  <w:num w:numId="3" w16cid:durableId="39987134">
    <w:abstractNumId w:val="7"/>
  </w:num>
  <w:num w:numId="4" w16cid:durableId="292371473">
    <w:abstractNumId w:val="7"/>
  </w:num>
  <w:num w:numId="5" w16cid:durableId="163131527">
    <w:abstractNumId w:val="6"/>
  </w:num>
  <w:num w:numId="6" w16cid:durableId="1282959727">
    <w:abstractNumId w:val="6"/>
  </w:num>
  <w:num w:numId="7" w16cid:durableId="608582690">
    <w:abstractNumId w:val="5"/>
  </w:num>
  <w:num w:numId="8" w16cid:durableId="1306543136">
    <w:abstractNumId w:val="5"/>
  </w:num>
  <w:num w:numId="9" w16cid:durableId="397097835">
    <w:abstractNumId w:val="4"/>
  </w:num>
  <w:num w:numId="10" w16cid:durableId="985206218">
    <w:abstractNumId w:val="4"/>
  </w:num>
  <w:num w:numId="11" w16cid:durableId="2071490442">
    <w:abstractNumId w:val="8"/>
  </w:num>
  <w:num w:numId="12" w16cid:durableId="989603822">
    <w:abstractNumId w:val="8"/>
  </w:num>
  <w:num w:numId="13" w16cid:durableId="1102334265">
    <w:abstractNumId w:val="3"/>
  </w:num>
  <w:num w:numId="14" w16cid:durableId="1546066285">
    <w:abstractNumId w:val="3"/>
  </w:num>
  <w:num w:numId="15" w16cid:durableId="1722942585">
    <w:abstractNumId w:val="2"/>
  </w:num>
  <w:num w:numId="16" w16cid:durableId="986974145">
    <w:abstractNumId w:val="2"/>
  </w:num>
  <w:num w:numId="17" w16cid:durableId="314995089">
    <w:abstractNumId w:val="1"/>
  </w:num>
  <w:num w:numId="18" w16cid:durableId="1770078330">
    <w:abstractNumId w:val="1"/>
  </w:num>
  <w:num w:numId="19" w16cid:durableId="1936667294">
    <w:abstractNumId w:val="0"/>
  </w:num>
  <w:num w:numId="20" w16cid:durableId="1039739214">
    <w:abstractNumId w:val="0"/>
  </w:num>
  <w:num w:numId="21" w16cid:durableId="1709184966">
    <w:abstractNumId w:val="9"/>
  </w:num>
  <w:num w:numId="22" w16cid:durableId="720715030">
    <w:abstractNumId w:val="7"/>
  </w:num>
  <w:num w:numId="23" w16cid:durableId="669334239">
    <w:abstractNumId w:val="6"/>
  </w:num>
  <w:num w:numId="24" w16cid:durableId="517931864">
    <w:abstractNumId w:val="5"/>
  </w:num>
  <w:num w:numId="25" w16cid:durableId="1568420649">
    <w:abstractNumId w:val="4"/>
  </w:num>
  <w:num w:numId="26" w16cid:durableId="113183454">
    <w:abstractNumId w:val="8"/>
  </w:num>
  <w:num w:numId="27" w16cid:durableId="913661022">
    <w:abstractNumId w:val="3"/>
  </w:num>
  <w:num w:numId="28" w16cid:durableId="1708876146">
    <w:abstractNumId w:val="2"/>
  </w:num>
  <w:num w:numId="29" w16cid:durableId="1833328577">
    <w:abstractNumId w:val="1"/>
  </w:num>
  <w:num w:numId="30" w16cid:durableId="1877885302">
    <w:abstractNumId w:val="0"/>
  </w:num>
  <w:num w:numId="31" w16cid:durableId="501160140">
    <w:abstractNumId w:val="9"/>
  </w:num>
  <w:num w:numId="32" w16cid:durableId="1814174184">
    <w:abstractNumId w:val="7"/>
  </w:num>
  <w:num w:numId="33" w16cid:durableId="857885576">
    <w:abstractNumId w:val="6"/>
  </w:num>
  <w:num w:numId="34" w16cid:durableId="365789154">
    <w:abstractNumId w:val="5"/>
  </w:num>
  <w:num w:numId="35" w16cid:durableId="660692551">
    <w:abstractNumId w:val="4"/>
  </w:num>
  <w:num w:numId="36" w16cid:durableId="693115288">
    <w:abstractNumId w:val="8"/>
  </w:num>
  <w:num w:numId="37" w16cid:durableId="1203324451">
    <w:abstractNumId w:val="3"/>
  </w:num>
  <w:num w:numId="38" w16cid:durableId="2051764168">
    <w:abstractNumId w:val="2"/>
  </w:num>
  <w:num w:numId="39" w16cid:durableId="1319459510">
    <w:abstractNumId w:val="1"/>
  </w:num>
  <w:num w:numId="40" w16cid:durableId="1083526388">
    <w:abstractNumId w:val="0"/>
  </w:num>
  <w:num w:numId="41" w16cid:durableId="1739404421">
    <w:abstractNumId w:val="10"/>
  </w:num>
  <w:num w:numId="42" w16cid:durableId="1372070686">
    <w:abstractNumId w:val="10"/>
  </w:num>
  <w:num w:numId="43" w16cid:durableId="2115048457">
    <w:abstractNumId w:val="10"/>
  </w:num>
  <w:num w:numId="44" w16cid:durableId="1641105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ET"/>
    <w:docVar w:name="dvnumam" w:val="0"/>
    <w:docVar w:name="dvpe" w:val="778.177"/>
    <w:docVar w:name="dvtitre" w:val="Euroopa Parlamendi .... 2025. aasta otsus mitte esitada vastuväiteid komisjoni 22. septembri 2025. aasta delegeeritud määrusele, millega muudetakse Euroopa Parlamendi ja nõukogu määruse (EL) 2021/1060 I lisa ERFi, ESF+, Ühtekuuluvusfondi ja Õiglase Ülemineku Fondi sekkumisliikide ulatuse ja koodide nomenklatuuri osas _x000d__x000a_(C(2025)06376 – 2025/2888(DEA))"/>
  </w:docVars>
  <w:rsids>
    <w:rsidRoot w:val="00B90FCF"/>
    <w:rsid w:val="00002272"/>
    <w:rsid w:val="00064002"/>
    <w:rsid w:val="000677B9"/>
    <w:rsid w:val="000831BA"/>
    <w:rsid w:val="000A42CC"/>
    <w:rsid w:val="000E7DD9"/>
    <w:rsid w:val="0010095E"/>
    <w:rsid w:val="00125B37"/>
    <w:rsid w:val="001559B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C80"/>
    <w:rsid w:val="004867E3"/>
    <w:rsid w:val="00494A28"/>
    <w:rsid w:val="004C0004"/>
    <w:rsid w:val="004C5D52"/>
    <w:rsid w:val="004E0E52"/>
    <w:rsid w:val="0050519A"/>
    <w:rsid w:val="005072A1"/>
    <w:rsid w:val="00514517"/>
    <w:rsid w:val="00545827"/>
    <w:rsid w:val="00560270"/>
    <w:rsid w:val="005C2568"/>
    <w:rsid w:val="005F1B17"/>
    <w:rsid w:val="006037C0"/>
    <w:rsid w:val="00626000"/>
    <w:rsid w:val="006631B6"/>
    <w:rsid w:val="006652B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0E0"/>
    <w:rsid w:val="00981893"/>
    <w:rsid w:val="009D1C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FCF"/>
    <w:rsid w:val="00BD48FE"/>
    <w:rsid w:val="00BD7BD8"/>
    <w:rsid w:val="00BE6ADC"/>
    <w:rsid w:val="00C05BFE"/>
    <w:rsid w:val="00C23CD4"/>
    <w:rsid w:val="00C267A7"/>
    <w:rsid w:val="00C61C0C"/>
    <w:rsid w:val="00C941CB"/>
    <w:rsid w:val="00CC2357"/>
    <w:rsid w:val="00CF071A"/>
    <w:rsid w:val="00D058B8"/>
    <w:rsid w:val="00D2152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D42"/>
    <w:rsid w:val="00EC5E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AA0C5"/>
  <w15:chartTrackingRefBased/>
  <w15:docId w15:val="{44D7C891-F38B-40F0-BD3E-E8BE915C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6000"/>
    <w:pPr>
      <w:spacing w:before="480" w:after="240"/>
    </w:pPr>
  </w:style>
  <w:style w:type="paragraph" w:customStyle="1" w:styleId="NormalHanging12a">
    <w:name w:val="NormalHanging12a"/>
    <w:basedOn w:val="Normal"/>
    <w:rsid w:val="0062600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652BF"/>
    <w:rPr>
      <w:sz w:val="24"/>
      <w:lang w:val="et-EE"/>
    </w:rPr>
  </w:style>
  <w:style w:type="character" w:styleId="CommentReference">
    <w:name w:val="annotation reference"/>
    <w:basedOn w:val="DefaultParagraphFont"/>
    <w:rsid w:val="006652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52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52BF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665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52BF"/>
    <w:rPr>
      <w:b/>
      <w:bCs/>
      <w:lang w:val="et-EE"/>
    </w:rPr>
  </w:style>
  <w:style w:type="character" w:styleId="Hyperlink">
    <w:name w:val="Hyperlink"/>
    <w:basedOn w:val="DefaultParagraphFont"/>
    <w:rsid w:val="006652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2025-10-22T15:39:00Z</dcterms:created>
  <dcterms:modified xsi:type="dcterms:W3CDTF">2025-10-22T15:39:00Z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