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6EAD" w14:paraId="62A1FA7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BAF642" w14:textId="77777777" w:rsidR="00751A4A" w:rsidRPr="001E6EAD" w:rsidRDefault="00414D76" w:rsidP="0010095E">
            <w:pPr>
              <w:pStyle w:val="EPName"/>
            </w:pPr>
            <w:r w:rsidRPr="001E6EAD">
              <w:t>Euroopan parlamentti</w:t>
            </w:r>
          </w:p>
          <w:p w14:paraId="4D85E558" w14:textId="77777777" w:rsidR="00751A4A" w:rsidRPr="001E6EA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6EAD">
              <w:t>2024</w:t>
            </w:r>
            <w:r w:rsidR="00817416" w:rsidRPr="001E6EAD">
              <w:t>-202</w:t>
            </w:r>
            <w:r w:rsidRPr="001E6EAD">
              <w:t>9</w:t>
            </w:r>
          </w:p>
        </w:tc>
        <w:tc>
          <w:tcPr>
            <w:tcW w:w="2268" w:type="dxa"/>
            <w:shd w:val="clear" w:color="auto" w:fill="auto"/>
          </w:tcPr>
          <w:p w14:paraId="24BC309F" w14:textId="77777777" w:rsidR="00751A4A" w:rsidRPr="001E6EAD" w:rsidRDefault="00187494" w:rsidP="0010095E">
            <w:pPr>
              <w:pStyle w:val="EPLogo"/>
            </w:pPr>
            <w:r w:rsidRPr="001E6EAD">
              <w:rPr>
                <w:noProof/>
                <w:lang w:eastAsia="ja-JP"/>
              </w:rPr>
              <w:drawing>
                <wp:inline distT="0" distB="0" distL="0" distR="0" wp14:anchorId="7D043603" wp14:editId="2598FE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124B45" w14:textId="77777777" w:rsidR="00D058B8" w:rsidRPr="001E6EAD" w:rsidRDefault="00D058B8" w:rsidP="004C5D52">
      <w:pPr>
        <w:pStyle w:val="LineTop"/>
      </w:pPr>
    </w:p>
    <w:p w14:paraId="07DE7E12" w14:textId="77777777" w:rsidR="00680577" w:rsidRPr="001E6EAD" w:rsidRDefault="00414D76" w:rsidP="00680577">
      <w:pPr>
        <w:pStyle w:val="EPBodyTA1"/>
      </w:pPr>
      <w:r w:rsidRPr="001E6EAD">
        <w:t>HYVÄKSYTYT TEKSTIT</w:t>
      </w:r>
    </w:p>
    <w:p w14:paraId="7D973082" w14:textId="77777777" w:rsidR="00D058B8" w:rsidRPr="001E6EAD" w:rsidRDefault="00D058B8" w:rsidP="00D058B8">
      <w:pPr>
        <w:pStyle w:val="LineBottom"/>
      </w:pPr>
    </w:p>
    <w:p w14:paraId="2C2CDF5E" w14:textId="3F92CD7D" w:rsidR="00414D76" w:rsidRPr="001E6EAD" w:rsidRDefault="00414D76" w:rsidP="00414D76">
      <w:pPr>
        <w:pStyle w:val="ATHeading1"/>
      </w:pPr>
      <w:bookmarkStart w:id="0" w:name="TANumber"/>
      <w:r w:rsidRPr="001E6EAD">
        <w:t>P10_TA(2025)0</w:t>
      </w:r>
      <w:r w:rsidR="000C3E8B" w:rsidRPr="001E6EAD">
        <w:t>243</w:t>
      </w:r>
      <w:bookmarkEnd w:id="0"/>
    </w:p>
    <w:p w14:paraId="5081E19A" w14:textId="406453CD" w:rsidR="00414D76" w:rsidRPr="001E6EAD" w:rsidRDefault="00084ECD" w:rsidP="00414D76">
      <w:pPr>
        <w:pStyle w:val="ATHeading2"/>
      </w:pPr>
      <w:bookmarkStart w:id="1" w:name="title"/>
      <w:r w:rsidRPr="001E6EAD">
        <w:t>Päätös olla vastustamatta delegoitua säädöstä:</w:t>
      </w:r>
      <w:bookmarkEnd w:id="1"/>
      <w:r w:rsidRPr="001E6EAD">
        <w:t xml:space="preserve"> EAKR:n, ESR+:n, koheesiorahaston ja </w:t>
      </w:r>
      <w:proofErr w:type="spellStart"/>
      <w:r w:rsidRPr="001E6EAD">
        <w:t>JTF:n</w:t>
      </w:r>
      <w:proofErr w:type="spellEnd"/>
      <w:r w:rsidRPr="001E6EAD">
        <w:t xml:space="preserve"> tukitoimityyppien kokonaisuuksien ja koodien luettelo</w:t>
      </w:r>
    </w:p>
    <w:p w14:paraId="21B8C396" w14:textId="77777777" w:rsidR="00414D76" w:rsidRPr="001E6EAD" w:rsidRDefault="00414D76" w:rsidP="00414D76">
      <w:pPr>
        <w:rPr>
          <w:i/>
          <w:vanish/>
        </w:rPr>
      </w:pPr>
      <w:r w:rsidRPr="001E6EAD">
        <w:rPr>
          <w:i/>
        </w:rPr>
        <w:fldChar w:fldCharType="begin"/>
      </w:r>
      <w:r w:rsidRPr="001E6EAD">
        <w:rPr>
          <w:i/>
        </w:rPr>
        <w:instrText xml:space="preserve"> TC"(</w:instrText>
      </w:r>
      <w:bookmarkStart w:id="2" w:name="DocNumber"/>
      <w:r w:rsidRPr="001E6EAD">
        <w:rPr>
          <w:i/>
        </w:rPr>
        <w:instrText>B10-0460/2025</w:instrText>
      </w:r>
      <w:bookmarkEnd w:id="2"/>
      <w:r w:rsidRPr="001E6EAD">
        <w:rPr>
          <w:i/>
        </w:rPr>
        <w:instrText xml:space="preserve">)"\l3 \n&gt; \* MERGEFORMAT </w:instrText>
      </w:r>
      <w:r w:rsidRPr="001E6EAD">
        <w:rPr>
          <w:i/>
        </w:rPr>
        <w:fldChar w:fldCharType="end"/>
      </w:r>
    </w:p>
    <w:p w14:paraId="483427E2" w14:textId="77777777" w:rsidR="00414D76" w:rsidRPr="001E6EAD" w:rsidRDefault="00414D76" w:rsidP="00414D76">
      <w:pPr>
        <w:rPr>
          <w:vanish/>
        </w:rPr>
      </w:pPr>
      <w:bookmarkStart w:id="3" w:name="PE"/>
      <w:r w:rsidRPr="001E6EAD">
        <w:rPr>
          <w:vanish/>
        </w:rPr>
        <w:t>PE778.177</w:t>
      </w:r>
      <w:bookmarkEnd w:id="3"/>
    </w:p>
    <w:p w14:paraId="13EAF381" w14:textId="41AC8621" w:rsidR="00414D76" w:rsidRPr="001E6EAD" w:rsidRDefault="00414D76" w:rsidP="00414D76">
      <w:pPr>
        <w:pStyle w:val="ATHeading3"/>
      </w:pPr>
      <w:bookmarkStart w:id="4" w:name="Sujet"/>
      <w:r w:rsidRPr="001E6EAD">
        <w:t xml:space="preserve">Euroopan parlamentin päätös olla vastustamatta Euroopan parlamentin ja neuvoston asetuksen (EU) 2021/1060 liitteen I muuttamisesta siltä osin kuin on kyse EAKR:n, ESR+:n, koheesiorahaston ja </w:t>
      </w:r>
      <w:proofErr w:type="spellStart"/>
      <w:r w:rsidRPr="001E6EAD">
        <w:t>JTF:n</w:t>
      </w:r>
      <w:proofErr w:type="spellEnd"/>
      <w:r w:rsidRPr="001E6EAD">
        <w:t xml:space="preserve"> tukitoimityyppien kokonaisuuksien ja koodien luettelosta 22. syyskuuta 2025 annettua komission delegoitua asetusta  </w:t>
      </w:r>
      <w:bookmarkStart w:id="5" w:name="References"/>
      <w:r w:rsidRPr="001E6EAD">
        <w:t>(C(2025)06376 – 2025/2888(DEA))</w:t>
      </w:r>
      <w:bookmarkEnd w:id="5"/>
    </w:p>
    <w:p w14:paraId="7F736434" w14:textId="77777777" w:rsidR="00F04231" w:rsidRPr="001E6EAD" w:rsidRDefault="00F04231" w:rsidP="00AE72E1">
      <w:pPr>
        <w:pStyle w:val="EPComma"/>
        <w:widowControl/>
        <w:rPr>
          <w:i/>
        </w:rPr>
      </w:pPr>
      <w:bookmarkStart w:id="6" w:name="TextBodyBegin"/>
      <w:bookmarkEnd w:id="4"/>
      <w:bookmarkEnd w:id="6"/>
      <w:r w:rsidRPr="001E6EAD">
        <w:rPr>
          <w:i/>
        </w:rPr>
        <w:t>Euroopan parlamentti</w:t>
      </w:r>
      <w:r w:rsidRPr="001E6EAD">
        <w:t>, joka</w:t>
      </w:r>
    </w:p>
    <w:p w14:paraId="18973EAE" w14:textId="6910587F" w:rsidR="00084ECD" w:rsidRPr="001E6EAD" w:rsidRDefault="00F04231" w:rsidP="00AE72E1">
      <w:pPr>
        <w:pStyle w:val="NormalHanging12a"/>
        <w:widowControl/>
      </w:pPr>
      <w:r w:rsidRPr="001E6EAD">
        <w:t>–</w:t>
      </w:r>
      <w:r w:rsidRPr="001E6EAD">
        <w:tab/>
        <w:t xml:space="preserve">ottaa huomioon komission delegoidun asetuksen </w:t>
      </w:r>
      <w:r w:rsidR="00084ECD" w:rsidRPr="001E6EAD">
        <w:t>(C(2025)06376)</w:t>
      </w:r>
      <w:r w:rsidRPr="001E6EAD">
        <w:t>,</w:t>
      </w:r>
    </w:p>
    <w:p w14:paraId="67DCDA11" w14:textId="77777777" w:rsidR="00F04231" w:rsidRPr="001E6EAD" w:rsidRDefault="00F04231" w:rsidP="00AE72E1">
      <w:pPr>
        <w:pStyle w:val="NormalHanging12a"/>
        <w:widowControl/>
      </w:pPr>
      <w:r w:rsidRPr="001E6EAD">
        <w:t>–</w:t>
      </w:r>
      <w:r w:rsidRPr="001E6EAD">
        <w:tab/>
        <w:t>ottaa huomioon komission 22. syyskuuta 2025 päivätyn kirjeen, jossa komissio pyytää parlamenttia ilmoittamaan, ettei se aio vastustaa delegoitua asetusta,</w:t>
      </w:r>
    </w:p>
    <w:p w14:paraId="1EA69A31" w14:textId="6E0497EA" w:rsidR="00F04231" w:rsidRPr="001E6EAD" w:rsidRDefault="00F04231" w:rsidP="00AE72E1">
      <w:pPr>
        <w:pStyle w:val="NormalHanging12a"/>
        <w:widowControl/>
      </w:pPr>
      <w:r w:rsidRPr="001E6EAD">
        <w:t>–</w:t>
      </w:r>
      <w:r w:rsidRPr="001E6EAD">
        <w:tab/>
        <w:t xml:space="preserve">ottaa huomioon aluekehitysvaliokunnan </w:t>
      </w:r>
      <w:r w:rsidR="00473CB0" w:rsidRPr="001E6EAD">
        <w:t xml:space="preserve">14. lokakuuta 2025 </w:t>
      </w:r>
      <w:r w:rsidRPr="001E6EAD">
        <w:t>päivätyn kirjeen valiokuntien puheenjohtajakokouksen puheenjohtajalle,</w:t>
      </w:r>
    </w:p>
    <w:p w14:paraId="7875FF5F" w14:textId="77777777" w:rsidR="00F04231" w:rsidRPr="001E6EAD" w:rsidRDefault="00F04231" w:rsidP="00AE72E1">
      <w:pPr>
        <w:pStyle w:val="NormalHanging12a"/>
        <w:widowControl/>
      </w:pPr>
      <w:r w:rsidRPr="001E6EAD">
        <w:t>–</w:t>
      </w:r>
      <w:r w:rsidRPr="001E6EAD">
        <w:tab/>
        <w:t>ottaa huomioon Euroopan unionin toiminnasta tehdyn sopimuksen 290 artiklan,</w:t>
      </w:r>
    </w:p>
    <w:p w14:paraId="61D2DAD8" w14:textId="77777777" w:rsidR="00F04231" w:rsidRPr="001E6EAD" w:rsidRDefault="00F04231" w:rsidP="00AE72E1">
      <w:pPr>
        <w:pStyle w:val="NormalHanging12a"/>
        <w:widowControl/>
      </w:pPr>
      <w:r w:rsidRPr="001E6EAD">
        <w:t>–</w:t>
      </w:r>
      <w:r w:rsidRPr="001E6EAD">
        <w:tab/>
        <w:t>ottaa huomioon Euroopan aluekehitysrahastoa, Euroopan sosiaalirahasto plussaa, koheesiorahastoa, oikeudenmukaisen siirtymän rahastoa ja Euroopan meri-, kalatalous- ja vesiviljelyrahastoa koskevista yhteisistä säännöksistä ja varainhoitosäännöistä sekä turvapaikka-, maahanmuutto- ja kotouttamisrahastoa, sisäisen turvallisuuden rahastoa ja rajaturvallisuuden ja viisumipolitiikan rahoitusvälinettä koskevista varainhoitosäännöistä 24. kesäkuuta 2021 annetun Euroopan parlamentin ja neuvoston asetuksen (EU) 2021/1060</w:t>
      </w:r>
      <w:r w:rsidRPr="001E6EAD">
        <w:rPr>
          <w:vertAlign w:val="superscript"/>
        </w:rPr>
        <w:footnoteReference w:id="1"/>
      </w:r>
      <w:r w:rsidRPr="001E6EAD">
        <w:t xml:space="preserve"> ja erityisesti sen 113 artiklan ja 114 artiklan 6 kohdan,</w:t>
      </w:r>
    </w:p>
    <w:p w14:paraId="712269B5" w14:textId="77777777" w:rsidR="00F04231" w:rsidRPr="001E6EAD" w:rsidRDefault="00F04231" w:rsidP="00AE72E1">
      <w:pPr>
        <w:pStyle w:val="NormalHanging12a"/>
        <w:widowControl/>
      </w:pPr>
      <w:r w:rsidRPr="001E6EAD">
        <w:t>–</w:t>
      </w:r>
      <w:r w:rsidRPr="001E6EAD">
        <w:tab/>
        <w:t>ottaa huomioon työjärjestyksen 114 artiklan 6 kohdan,</w:t>
      </w:r>
    </w:p>
    <w:p w14:paraId="503E2B68" w14:textId="77777777" w:rsidR="00F04231" w:rsidRPr="001E6EAD" w:rsidRDefault="00F04231" w:rsidP="00AE72E1">
      <w:pPr>
        <w:pStyle w:val="NormalHanging12a"/>
        <w:widowControl/>
      </w:pPr>
      <w:r w:rsidRPr="001E6EAD">
        <w:t>–</w:t>
      </w:r>
      <w:r w:rsidRPr="001E6EAD">
        <w:tab/>
        <w:t>ottaa huomioon aluekehitysvaliokunnan suosituksen päätökseksi,</w:t>
      </w:r>
    </w:p>
    <w:p w14:paraId="7BA70F1B" w14:textId="4CD26B24" w:rsidR="0065538E" w:rsidRPr="001E6EAD" w:rsidRDefault="0065538E" w:rsidP="00AE72E1">
      <w:pPr>
        <w:pStyle w:val="NormalHanging12a"/>
        <w:widowControl/>
      </w:pPr>
      <w:r w:rsidRPr="001E6EAD">
        <w:lastRenderedPageBreak/>
        <w:t>–</w:t>
      </w:r>
      <w:r w:rsidRPr="001E6EAD">
        <w:tab/>
        <w:t>ottaa huomioon, että työjärjestyksen 114 artiklan 6 kohdan kolmannen ja neljännen luetelmakohdan mukaisessa määräajassa, joka päättyi 21. lokakuuta 2025, ei ole esitetty vastalauseita,</w:t>
      </w:r>
    </w:p>
    <w:p w14:paraId="7C1408EC" w14:textId="77777777" w:rsidR="00F04231" w:rsidRPr="001E6EAD" w:rsidRDefault="00F04231" w:rsidP="00AE72E1">
      <w:pPr>
        <w:pStyle w:val="NormalHanging12a"/>
        <w:widowControl/>
      </w:pPr>
      <w:r w:rsidRPr="001E6EAD">
        <w:t>A.</w:t>
      </w:r>
      <w:r w:rsidRPr="001E6EAD">
        <w:tab/>
        <w:t>ottaa huomioon, että komissio toimitti 4. huhtikuuta 2025 pyynnön soveltaa Euroopan parlamentin työjärjestyksen 170 artiklan mukaisesti kiireellistä menettelyä ehdotukseensa asetukseksi asetusten (EU) 2021/1058 ja (EU) 2021/1056 muuttamisesta väliarvioinnin yhteydessä strategisiin haasteisiin vastaamiseksi toteutettavien erityistoimenpiteiden osalta</w:t>
      </w:r>
      <w:r w:rsidRPr="001E6EAD">
        <w:rPr>
          <w:vertAlign w:val="superscript"/>
        </w:rPr>
        <w:footnoteReference w:id="2"/>
      </w:r>
      <w:r w:rsidRPr="001E6EAD">
        <w:t>, jotta jäsenvaltiot voivat väliarvioinnin yhteydessä toteuttaa tarkoituksenmukaisia uudelleenkohdentamisia ja keskittää resursseja asetuksessa (EU) 2021/1060 vahvistettuihin unionin uusiin strategisiin painopisteisiin; ottaa huomioon, että komissio esitteli kyseisen ehdotuksen aluekehitysvaliokunnan kokouksessa 9. huhtikuuta 2025;</w:t>
      </w:r>
    </w:p>
    <w:p w14:paraId="27A74544" w14:textId="77777777" w:rsidR="00F04231" w:rsidRPr="001E6EAD" w:rsidRDefault="00F04231" w:rsidP="00AE72E1">
      <w:pPr>
        <w:pStyle w:val="NormalHanging12a"/>
        <w:widowControl/>
      </w:pPr>
      <w:r w:rsidRPr="001E6EAD">
        <w:t>B.</w:t>
      </w:r>
      <w:r w:rsidRPr="001E6EAD">
        <w:tab/>
        <w:t>ottaa huomioon, että aluekehitysvaliokunta päätti kokouksessaan 5. toukokuuta 2025 tukea pyyntöä soveltaa kiireellistä menettelyä parlamentin työjärjestyksen 170 artiklan 5 kohdan mukaisesti, mikä johti Euroopan parlamentin ja neuvoston asetuksen (EU) 2025/1914 hyväksymiseen</w:t>
      </w:r>
      <w:r w:rsidRPr="001E6EAD">
        <w:rPr>
          <w:vertAlign w:val="superscript"/>
        </w:rPr>
        <w:footnoteReference w:id="3"/>
      </w:r>
      <w:r w:rsidRPr="001E6EAD">
        <w:t>;</w:t>
      </w:r>
    </w:p>
    <w:p w14:paraId="5718FB2C" w14:textId="40F8213A" w:rsidR="00F04231" w:rsidRPr="001E6EAD" w:rsidRDefault="00F04231" w:rsidP="00AE72E1">
      <w:pPr>
        <w:pStyle w:val="NormalHanging12a"/>
        <w:widowControl/>
      </w:pPr>
      <w:r w:rsidRPr="001E6EAD">
        <w:t>C.</w:t>
      </w:r>
      <w:r w:rsidRPr="001E6EAD">
        <w:tab/>
        <w:t>ottaa huomioon, että komission delegoitu asetus on tarpeen, jotta varmistetaan yhdenmukaistaminen ja johdonmukaisuus asetuksen (EU) 2021/1060 ja rahastokohtaisten asetusten (EAKR/koheesiorahasto-, ESR+- ja JTF-asetukset) välillä, minkä tarkoituksena on varmistaa, että asetuksen (EU) 2025/1914 nojalla muutetut erityistavoitteet ja käyttöön otetut uudet erityistavoitteet voidaan panna täytäntöön lisäämällä vastaavat tukitoimen alat asetuksen (EU) 2021/1060 liitteeseen I, ja mahdollistaa niiden käyttö ohjelman täytäntöönpanossa ja raportoinnissa;</w:t>
      </w:r>
    </w:p>
    <w:p w14:paraId="7468AD09" w14:textId="77777777" w:rsidR="00F04231" w:rsidRPr="001E6EAD" w:rsidRDefault="00F04231" w:rsidP="00AE72E1">
      <w:pPr>
        <w:pStyle w:val="NormalHanging12a"/>
        <w:widowControl/>
      </w:pPr>
      <w:r w:rsidRPr="001E6EAD">
        <w:t>1.</w:t>
      </w:r>
      <w:r w:rsidRPr="001E6EAD">
        <w:tab/>
        <w:t>ilmoittaa, ettei se vastusta delegoitua asetusta;</w:t>
      </w:r>
    </w:p>
    <w:p w14:paraId="6EC31B3E" w14:textId="7B4EEE27" w:rsidR="00A36E98" w:rsidRPr="001E6EAD" w:rsidRDefault="00F04231" w:rsidP="00AE72E1">
      <w:pPr>
        <w:pStyle w:val="NormalHanging12a"/>
        <w:widowControl/>
        <w:rPr>
          <w:lang w:eastAsia="fr-FR"/>
        </w:rPr>
      </w:pPr>
      <w:r w:rsidRPr="001E6EAD">
        <w:t>2.</w:t>
      </w:r>
      <w:r w:rsidRPr="001E6EAD">
        <w:tab/>
        <w:t xml:space="preserve">kehottaa puhemiestä välittämään tämän päätöksen </w:t>
      </w:r>
      <w:r w:rsidR="00D77133" w:rsidRPr="001E6EAD">
        <w:t>neuvostolle ja komissiolle.</w:t>
      </w:r>
    </w:p>
    <w:sectPr w:rsidR="00A36E98" w:rsidRPr="001E6EAD" w:rsidSect="00A36E9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65238" w14:textId="77777777" w:rsidR="00414D76" w:rsidRPr="00A36E98" w:rsidRDefault="00414D76">
      <w:r w:rsidRPr="00A36E98">
        <w:separator/>
      </w:r>
    </w:p>
  </w:endnote>
  <w:endnote w:type="continuationSeparator" w:id="0">
    <w:p w14:paraId="4D2A1FF6" w14:textId="77777777" w:rsidR="00414D76" w:rsidRPr="00A36E98" w:rsidRDefault="00414D76">
      <w:r w:rsidRPr="00A36E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540B9" w14:textId="77777777" w:rsidR="00414D76" w:rsidRPr="00A36E98" w:rsidRDefault="00414D76">
      <w:r w:rsidRPr="00A36E98">
        <w:separator/>
      </w:r>
    </w:p>
  </w:footnote>
  <w:footnote w:type="continuationSeparator" w:id="0">
    <w:p w14:paraId="534D7F45" w14:textId="77777777" w:rsidR="00414D76" w:rsidRPr="00A36E98" w:rsidRDefault="00414D76">
      <w:r w:rsidRPr="00A36E98">
        <w:continuationSeparator/>
      </w:r>
    </w:p>
  </w:footnote>
  <w:footnote w:id="1">
    <w:p w14:paraId="656028B7" w14:textId="7E9C492F" w:rsidR="00F04231" w:rsidRPr="00A36E98" w:rsidRDefault="00F04231" w:rsidP="00A36E98">
      <w:pPr>
        <w:pStyle w:val="FootnoteText"/>
        <w:ind w:left="567" w:hanging="567"/>
        <w:rPr>
          <w:sz w:val="24"/>
          <w:lang w:val="fi-FI"/>
        </w:rPr>
      </w:pPr>
      <w:r w:rsidRPr="00A36E98">
        <w:rPr>
          <w:rStyle w:val="FootnoteReference"/>
          <w:sz w:val="24"/>
          <w:lang w:val="fi-FI"/>
        </w:rPr>
        <w:footnoteRef/>
      </w:r>
      <w:r w:rsidR="00A36E98" w:rsidRPr="00A36E98">
        <w:rPr>
          <w:sz w:val="24"/>
          <w:lang w:val="fi-FI"/>
        </w:rPr>
        <w:t xml:space="preserve"> </w:t>
      </w:r>
      <w:r w:rsidR="00A36E98" w:rsidRPr="00A36E98">
        <w:rPr>
          <w:sz w:val="24"/>
          <w:lang w:val="fi-FI"/>
        </w:rPr>
        <w:tab/>
      </w:r>
      <w:r w:rsidRPr="00A36E98">
        <w:rPr>
          <w:sz w:val="24"/>
          <w:lang w:val="fi-FI"/>
        </w:rPr>
        <w:t xml:space="preserve">EUVL L 231, 30.6.2021, s. 159, </w:t>
      </w:r>
      <w:r w:rsidR="00473CB0" w:rsidRPr="003F0B7B">
        <w:rPr>
          <w:sz w:val="24"/>
          <w:lang w:val="fi-FI"/>
        </w:rPr>
        <w:t xml:space="preserve">ELI: </w:t>
      </w:r>
      <w:hyperlink r:id="rId1" w:history="1">
        <w:r w:rsidR="00473CB0" w:rsidRPr="00084ECD">
          <w:rPr>
            <w:rStyle w:val="Hyperlink"/>
            <w:lang w:val="fi-FI"/>
          </w:rPr>
          <w:t>http://data.europa.eu/eli/reg/2021/1060/oj</w:t>
        </w:r>
      </w:hyperlink>
      <w:r w:rsidR="00473CB0" w:rsidRPr="00084ECD">
        <w:rPr>
          <w:sz w:val="24"/>
          <w:lang w:val="fi-FI"/>
        </w:rPr>
        <w:t>.</w:t>
      </w:r>
    </w:p>
  </w:footnote>
  <w:footnote w:id="2">
    <w:p w14:paraId="3506EADE" w14:textId="0D5A1972" w:rsidR="00F04231" w:rsidRPr="00A36E98" w:rsidRDefault="00F04231" w:rsidP="00A36E98">
      <w:pPr>
        <w:pStyle w:val="FootnoteText"/>
        <w:ind w:left="567" w:hanging="567"/>
        <w:rPr>
          <w:sz w:val="24"/>
          <w:lang w:val="fi-FI"/>
        </w:rPr>
      </w:pPr>
      <w:r w:rsidRPr="00A36E98">
        <w:rPr>
          <w:rStyle w:val="FootnoteReference"/>
          <w:sz w:val="24"/>
          <w:lang w:val="fi-FI"/>
        </w:rPr>
        <w:footnoteRef/>
      </w:r>
      <w:r w:rsidR="00A36E98" w:rsidRPr="00A36E98">
        <w:rPr>
          <w:sz w:val="24"/>
          <w:lang w:val="fi-FI"/>
        </w:rPr>
        <w:t xml:space="preserve"> </w:t>
      </w:r>
      <w:r w:rsidR="00A36E98" w:rsidRPr="00A36E98">
        <w:rPr>
          <w:sz w:val="24"/>
          <w:lang w:val="fi-FI"/>
        </w:rPr>
        <w:tab/>
      </w:r>
      <w:r w:rsidRPr="00A36E98">
        <w:rPr>
          <w:sz w:val="24"/>
          <w:lang w:val="fi-FI"/>
        </w:rPr>
        <w:t>COM(2025)</w:t>
      </w:r>
      <w:r w:rsidR="00883B3B">
        <w:rPr>
          <w:sz w:val="24"/>
          <w:lang w:val="fi-FI"/>
        </w:rPr>
        <w:t>0</w:t>
      </w:r>
      <w:r w:rsidRPr="00A36E98">
        <w:rPr>
          <w:sz w:val="24"/>
          <w:lang w:val="fi-FI"/>
        </w:rPr>
        <w:t>123.</w:t>
      </w:r>
    </w:p>
  </w:footnote>
  <w:footnote w:id="3">
    <w:p w14:paraId="656D2030" w14:textId="29B8924A" w:rsidR="00F04231" w:rsidRPr="00A36E98" w:rsidRDefault="00F04231" w:rsidP="00A36E98">
      <w:pPr>
        <w:pStyle w:val="FootnoteText"/>
        <w:ind w:left="567" w:hanging="567"/>
        <w:rPr>
          <w:sz w:val="24"/>
          <w:lang w:val="fi-FI"/>
        </w:rPr>
      </w:pPr>
      <w:r w:rsidRPr="00A36E98">
        <w:rPr>
          <w:rStyle w:val="FootnoteReference"/>
          <w:sz w:val="24"/>
          <w:lang w:val="fi-FI"/>
        </w:rPr>
        <w:footnoteRef/>
      </w:r>
      <w:r w:rsidR="00A36E98" w:rsidRPr="00A36E98">
        <w:rPr>
          <w:sz w:val="24"/>
          <w:lang w:val="fi-FI"/>
        </w:rPr>
        <w:t xml:space="preserve"> </w:t>
      </w:r>
      <w:r w:rsidR="00A36E98" w:rsidRPr="00A36E98">
        <w:rPr>
          <w:sz w:val="24"/>
          <w:lang w:val="fi-FI"/>
        </w:rPr>
        <w:tab/>
      </w:r>
      <w:r w:rsidRPr="00A36E98">
        <w:rPr>
          <w:sz w:val="24"/>
          <w:lang w:val="fi-FI"/>
        </w:rPr>
        <w:t xml:space="preserve">Euroopan parlamentin ja neuvoston asetus (EU) 2025/1914, annettu 18. syyskuuta 2025, asetusten (EU) 2021/1058 ja (EU) 2021/1056 muuttamisesta väliarvioinnin yhteydessä strategisiin haasteisiin vastaamiseksi toteutettavien erityistoimenpiteiden osalta (EUVL L, 2025/1914, 19.9.2025, ELI: </w:t>
      </w:r>
      <w:hyperlink r:id="rId2" w:history="1">
        <w:r w:rsidRPr="008D223D">
          <w:rPr>
            <w:rStyle w:val="Hyperlink"/>
            <w:sz w:val="24"/>
            <w:lang w:val="fi-FI"/>
          </w:rPr>
          <w:t>http://data.europa.eu/eli/reg/2025/1914/oj</w:t>
        </w:r>
      </w:hyperlink>
      <w:r w:rsidRPr="00A36E98">
        <w:rPr>
          <w:sz w:val="24"/>
          <w:lang w:val="fi-FI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05748146">
    <w:abstractNumId w:val="9"/>
  </w:num>
  <w:num w:numId="2" w16cid:durableId="95829794">
    <w:abstractNumId w:val="9"/>
  </w:num>
  <w:num w:numId="3" w16cid:durableId="2016490314">
    <w:abstractNumId w:val="7"/>
  </w:num>
  <w:num w:numId="4" w16cid:durableId="641736967">
    <w:abstractNumId w:val="7"/>
  </w:num>
  <w:num w:numId="5" w16cid:durableId="598567323">
    <w:abstractNumId w:val="6"/>
  </w:num>
  <w:num w:numId="6" w16cid:durableId="1187673333">
    <w:abstractNumId w:val="6"/>
  </w:num>
  <w:num w:numId="7" w16cid:durableId="1285307741">
    <w:abstractNumId w:val="5"/>
  </w:num>
  <w:num w:numId="8" w16cid:durableId="1696031430">
    <w:abstractNumId w:val="5"/>
  </w:num>
  <w:num w:numId="9" w16cid:durableId="408159608">
    <w:abstractNumId w:val="4"/>
  </w:num>
  <w:num w:numId="10" w16cid:durableId="1341002785">
    <w:abstractNumId w:val="4"/>
  </w:num>
  <w:num w:numId="11" w16cid:durableId="1211965675">
    <w:abstractNumId w:val="8"/>
  </w:num>
  <w:num w:numId="12" w16cid:durableId="553810497">
    <w:abstractNumId w:val="8"/>
  </w:num>
  <w:num w:numId="13" w16cid:durableId="1107310548">
    <w:abstractNumId w:val="3"/>
  </w:num>
  <w:num w:numId="14" w16cid:durableId="762914701">
    <w:abstractNumId w:val="3"/>
  </w:num>
  <w:num w:numId="15" w16cid:durableId="1819103858">
    <w:abstractNumId w:val="2"/>
  </w:num>
  <w:num w:numId="16" w16cid:durableId="379667533">
    <w:abstractNumId w:val="2"/>
  </w:num>
  <w:num w:numId="17" w16cid:durableId="1901091583">
    <w:abstractNumId w:val="1"/>
  </w:num>
  <w:num w:numId="18" w16cid:durableId="1809474201">
    <w:abstractNumId w:val="1"/>
  </w:num>
  <w:num w:numId="19" w16cid:durableId="816217094">
    <w:abstractNumId w:val="0"/>
  </w:num>
  <w:num w:numId="20" w16cid:durableId="712390545">
    <w:abstractNumId w:val="0"/>
  </w:num>
  <w:num w:numId="21" w16cid:durableId="911280078">
    <w:abstractNumId w:val="9"/>
  </w:num>
  <w:num w:numId="22" w16cid:durableId="89395932">
    <w:abstractNumId w:val="7"/>
  </w:num>
  <w:num w:numId="23" w16cid:durableId="225187061">
    <w:abstractNumId w:val="6"/>
  </w:num>
  <w:num w:numId="24" w16cid:durableId="908922606">
    <w:abstractNumId w:val="5"/>
  </w:num>
  <w:num w:numId="25" w16cid:durableId="914364042">
    <w:abstractNumId w:val="4"/>
  </w:num>
  <w:num w:numId="26" w16cid:durableId="1498107273">
    <w:abstractNumId w:val="8"/>
  </w:num>
  <w:num w:numId="27" w16cid:durableId="522550445">
    <w:abstractNumId w:val="3"/>
  </w:num>
  <w:num w:numId="28" w16cid:durableId="2023504303">
    <w:abstractNumId w:val="2"/>
  </w:num>
  <w:num w:numId="29" w16cid:durableId="1238437298">
    <w:abstractNumId w:val="1"/>
  </w:num>
  <w:num w:numId="30" w16cid:durableId="1835755057">
    <w:abstractNumId w:val="0"/>
  </w:num>
  <w:num w:numId="31" w16cid:durableId="693000624">
    <w:abstractNumId w:val="9"/>
  </w:num>
  <w:num w:numId="32" w16cid:durableId="1426733689">
    <w:abstractNumId w:val="7"/>
  </w:num>
  <w:num w:numId="33" w16cid:durableId="1840195930">
    <w:abstractNumId w:val="6"/>
  </w:num>
  <w:num w:numId="34" w16cid:durableId="917404590">
    <w:abstractNumId w:val="5"/>
  </w:num>
  <w:num w:numId="35" w16cid:durableId="872352827">
    <w:abstractNumId w:val="4"/>
  </w:num>
  <w:num w:numId="36" w16cid:durableId="1565873551">
    <w:abstractNumId w:val="8"/>
  </w:num>
  <w:num w:numId="37" w16cid:durableId="2032798602">
    <w:abstractNumId w:val="3"/>
  </w:num>
  <w:num w:numId="38" w16cid:durableId="2023582876">
    <w:abstractNumId w:val="2"/>
  </w:num>
  <w:num w:numId="39" w16cid:durableId="2070304379">
    <w:abstractNumId w:val="1"/>
  </w:num>
  <w:num w:numId="40" w16cid:durableId="1262950658">
    <w:abstractNumId w:val="0"/>
  </w:num>
  <w:num w:numId="41" w16cid:durableId="546986407">
    <w:abstractNumId w:val="10"/>
  </w:num>
  <w:num w:numId="42" w16cid:durableId="1732539364">
    <w:abstractNumId w:val="10"/>
  </w:num>
  <w:num w:numId="43" w16cid:durableId="443964020">
    <w:abstractNumId w:val="10"/>
  </w:num>
  <w:num w:numId="44" w16cid:durableId="1287839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60/2025"/>
    <w:docVar w:name="dvlangue" w:val="FI"/>
    <w:docVar w:name="dvnumam" w:val="0"/>
    <w:docVar w:name="dvpe" w:val="778.177"/>
    <w:docVar w:name="dvtitre" w:val="Euroopan parlamentin päätös xx. xxxkuuta 2025 olla vastustamatta Euroopan parlamentin ja neuvoston asetuksen (EU) 2021/1060 liitteen I muuttamisesta siltä osin kuin on kyse EAKR:n, ESR+:n, koheesiorahaston ja JTF:n tukitoimityyppien kokonaisuuksien ja koodien luettelosta 22. syyskuuta 2025 annettua komission delegoitua asetusta _x000d__x000a_(C(2025)06376 – 2025/2888(DEA))"/>
  </w:docVars>
  <w:rsids>
    <w:rsidRoot w:val="00414D76"/>
    <w:rsid w:val="00002272"/>
    <w:rsid w:val="00064002"/>
    <w:rsid w:val="000677B9"/>
    <w:rsid w:val="000831BA"/>
    <w:rsid w:val="00084ECD"/>
    <w:rsid w:val="000A42CC"/>
    <w:rsid w:val="000C3E8B"/>
    <w:rsid w:val="000E7DD9"/>
    <w:rsid w:val="0010095E"/>
    <w:rsid w:val="00125B37"/>
    <w:rsid w:val="00187494"/>
    <w:rsid w:val="001E6EAD"/>
    <w:rsid w:val="001F32AE"/>
    <w:rsid w:val="002767FF"/>
    <w:rsid w:val="002B18FE"/>
    <w:rsid w:val="002B5493"/>
    <w:rsid w:val="00343214"/>
    <w:rsid w:val="00361C00"/>
    <w:rsid w:val="00395FA1"/>
    <w:rsid w:val="003D09C2"/>
    <w:rsid w:val="003E15D4"/>
    <w:rsid w:val="00411CCE"/>
    <w:rsid w:val="00413962"/>
    <w:rsid w:val="00414D76"/>
    <w:rsid w:val="0041666E"/>
    <w:rsid w:val="00421060"/>
    <w:rsid w:val="004452D0"/>
    <w:rsid w:val="004514E9"/>
    <w:rsid w:val="00471C19"/>
    <w:rsid w:val="00473CB0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538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3B3B"/>
    <w:rsid w:val="008840E5"/>
    <w:rsid w:val="00887B3E"/>
    <w:rsid w:val="008C2AC6"/>
    <w:rsid w:val="008D223D"/>
    <w:rsid w:val="00930C23"/>
    <w:rsid w:val="0093193B"/>
    <w:rsid w:val="009509D8"/>
    <w:rsid w:val="00950B64"/>
    <w:rsid w:val="00981893"/>
    <w:rsid w:val="00A1687D"/>
    <w:rsid w:val="00A22FFE"/>
    <w:rsid w:val="00A36E98"/>
    <w:rsid w:val="00A43E52"/>
    <w:rsid w:val="00A4678D"/>
    <w:rsid w:val="00A778C7"/>
    <w:rsid w:val="00A836C3"/>
    <w:rsid w:val="00AB441E"/>
    <w:rsid w:val="00AB6293"/>
    <w:rsid w:val="00AE0928"/>
    <w:rsid w:val="00AE72E1"/>
    <w:rsid w:val="00AF3B82"/>
    <w:rsid w:val="00B12E95"/>
    <w:rsid w:val="00B22876"/>
    <w:rsid w:val="00B558F0"/>
    <w:rsid w:val="00B8711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713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23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1FE2E"/>
  <w15:chartTrackingRefBased/>
  <w15:docId w15:val="{4D6646B0-9D21-4FB2-BB10-456EE26AA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4231"/>
    <w:pPr>
      <w:spacing w:before="480" w:after="240"/>
    </w:pPr>
  </w:style>
  <w:style w:type="paragraph" w:customStyle="1" w:styleId="NormalHanging12a">
    <w:name w:val="NormalHanging12a"/>
    <w:basedOn w:val="Normal"/>
    <w:rsid w:val="00F04231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AE72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E72E1"/>
    <w:rPr>
      <w:sz w:val="24"/>
      <w:lang w:val="fi-FI"/>
    </w:rPr>
  </w:style>
  <w:style w:type="paragraph" w:styleId="Revision">
    <w:name w:val="Revision"/>
    <w:hidden/>
    <w:uiPriority w:val="99"/>
    <w:semiHidden/>
    <w:rsid w:val="00473CB0"/>
    <w:rPr>
      <w:sz w:val="24"/>
      <w:lang w:val="fi-FI"/>
    </w:rPr>
  </w:style>
  <w:style w:type="character" w:styleId="Hyperlink">
    <w:name w:val="Hyperlink"/>
    <w:basedOn w:val="DefaultParagraphFont"/>
    <w:rsid w:val="00473CB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A22FF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2FF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22FFE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A22F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2FFE"/>
    <w:rPr>
      <w:b/>
      <w:bCs/>
      <w:lang w:val="fi-FI"/>
    </w:rPr>
  </w:style>
  <w:style w:type="character" w:styleId="UnresolvedMention">
    <w:name w:val="Unresolved Mention"/>
    <w:basedOn w:val="DefaultParagraphFont"/>
    <w:uiPriority w:val="99"/>
    <w:semiHidden/>
    <w:unhideWhenUsed/>
    <w:rsid w:val="008D22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5/1914/oj" TargetMode="External"/><Relationship Id="rId1" Type="http://schemas.openxmlformats.org/officeDocument/2006/relationships/hyperlink" Target="http://data.europa.eu/eli/reg/2021/10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379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ILLY_D</cp:lastModifiedBy>
  <cp:revision>4</cp:revision>
  <cp:lastPrinted>2004-11-19T15:42:00Z</cp:lastPrinted>
  <dcterms:created xsi:type="dcterms:W3CDTF">2025-10-22T11:59:00Z</dcterms:created>
  <dcterms:modified xsi:type="dcterms:W3CDTF">2026-01-28T11:55:00Z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B10-0460/2025</vt:lpwstr>
  </property>
  <property fmtid="{D5CDD505-2E9C-101B-9397-08002B2CF9AE}" pid="4" name="&lt;Type&gt;">
    <vt:lpwstr>RR</vt:lpwstr>
  </property>
</Properties>
</file>