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ACF" w14:paraId="24FAC035" w14:textId="77777777" w:rsidTr="0010095E">
        <w:trPr>
          <w:trHeight w:hRule="exact" w:val="1418"/>
        </w:trPr>
        <w:tc>
          <w:tcPr>
            <w:tcW w:w="6804" w:type="dxa"/>
            <w:shd w:val="clear" w:color="auto" w:fill="auto"/>
            <w:vAlign w:val="center"/>
          </w:tcPr>
          <w:p w14:paraId="3B052F4E" w14:textId="77777777" w:rsidR="00751A4A" w:rsidRPr="00D72ACF" w:rsidRDefault="00A91FF1" w:rsidP="0010095E">
            <w:pPr>
              <w:pStyle w:val="EPName"/>
            </w:pPr>
            <w:r w:rsidRPr="00D72ACF">
              <w:t>Parlement européen</w:t>
            </w:r>
          </w:p>
          <w:p w14:paraId="50F4A6EB" w14:textId="77777777" w:rsidR="00751A4A" w:rsidRPr="00D72ACF" w:rsidRDefault="005F1B17" w:rsidP="005F1B17">
            <w:pPr>
              <w:pStyle w:val="EPTerm"/>
              <w:rPr>
                <w:rStyle w:val="HideTWBExt"/>
                <w:noProof w:val="0"/>
                <w:vanish w:val="0"/>
                <w:color w:val="auto"/>
              </w:rPr>
            </w:pPr>
            <w:r w:rsidRPr="00D72ACF">
              <w:t>2024</w:t>
            </w:r>
            <w:r w:rsidR="00817416" w:rsidRPr="00D72ACF">
              <w:t>-202</w:t>
            </w:r>
            <w:r w:rsidRPr="00D72ACF">
              <w:t>9</w:t>
            </w:r>
          </w:p>
        </w:tc>
        <w:tc>
          <w:tcPr>
            <w:tcW w:w="2268" w:type="dxa"/>
            <w:shd w:val="clear" w:color="auto" w:fill="auto"/>
          </w:tcPr>
          <w:p w14:paraId="54B453AC" w14:textId="77777777" w:rsidR="00751A4A" w:rsidRPr="00D72ACF" w:rsidRDefault="00187494" w:rsidP="0010095E">
            <w:pPr>
              <w:pStyle w:val="EPLogo"/>
            </w:pPr>
            <w:r w:rsidRPr="00D72ACF">
              <w:rPr>
                <w:noProof/>
                <w:lang w:eastAsia="ja-JP"/>
              </w:rPr>
              <w:drawing>
                <wp:inline distT="0" distB="0" distL="0" distR="0" wp14:anchorId="15D0049D" wp14:editId="684DBF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AC791C" w14:textId="77777777" w:rsidR="00D058B8" w:rsidRPr="00D72ACF" w:rsidRDefault="00D058B8" w:rsidP="004C5D52">
      <w:pPr>
        <w:pStyle w:val="LineTop"/>
      </w:pPr>
    </w:p>
    <w:p w14:paraId="6DAF086D" w14:textId="77777777" w:rsidR="00680577" w:rsidRPr="00D72ACF" w:rsidRDefault="00A91FF1" w:rsidP="00680577">
      <w:pPr>
        <w:pStyle w:val="EPBodyTA1"/>
      </w:pPr>
      <w:r w:rsidRPr="00D72ACF">
        <w:t>TEXTES ADOPTÉS</w:t>
      </w:r>
    </w:p>
    <w:p w14:paraId="6EE334F5" w14:textId="77777777" w:rsidR="00D058B8" w:rsidRPr="00D72ACF" w:rsidRDefault="00D058B8" w:rsidP="00D058B8">
      <w:pPr>
        <w:pStyle w:val="LineBottom"/>
      </w:pPr>
    </w:p>
    <w:p w14:paraId="1D73827B" w14:textId="7C7028E6" w:rsidR="00A91FF1" w:rsidRPr="00D72ACF" w:rsidRDefault="00A91FF1" w:rsidP="00A91FF1">
      <w:pPr>
        <w:pStyle w:val="ATHeading1"/>
      </w:pPr>
      <w:bookmarkStart w:id="0" w:name="TANumber"/>
      <w:r w:rsidRPr="00D72ACF">
        <w:t>P10_TA(2025)0</w:t>
      </w:r>
      <w:bookmarkEnd w:id="0"/>
      <w:r w:rsidR="001C0371">
        <w:t>243</w:t>
      </w:r>
    </w:p>
    <w:p w14:paraId="73617CAD" w14:textId="048B3B62" w:rsidR="00A91FF1" w:rsidRPr="00D72ACF" w:rsidRDefault="0014265B" w:rsidP="00A91FF1">
      <w:pPr>
        <w:pStyle w:val="ATHeading2"/>
      </w:pPr>
      <w:bookmarkStart w:id="1" w:name="title"/>
      <w:r w:rsidRPr="0014265B">
        <w:t xml:space="preserve">Non-objection à un acte délégué: la nomenclature des dimensions et </w:t>
      </w:r>
      <w:r>
        <w:t xml:space="preserve">des </w:t>
      </w:r>
      <w:r w:rsidRPr="0014265B">
        <w:t xml:space="preserve">codes </w:t>
      </w:r>
      <w:r>
        <w:t>pour l</w:t>
      </w:r>
      <w:r w:rsidRPr="0014265B">
        <w:t xml:space="preserve">es types d’intervention </w:t>
      </w:r>
      <w:r w:rsidR="00C67039">
        <w:t>du</w:t>
      </w:r>
      <w:r w:rsidRPr="0014265B">
        <w:t xml:space="preserve"> FEDER, </w:t>
      </w:r>
      <w:r w:rsidR="00C67039">
        <w:t>du</w:t>
      </w:r>
      <w:r w:rsidRPr="0014265B">
        <w:t xml:space="preserve"> FSE+, </w:t>
      </w:r>
      <w:r w:rsidR="00C67039">
        <w:t>du</w:t>
      </w:r>
      <w:r w:rsidRPr="0014265B">
        <w:t xml:space="preserve"> Fonds de cohésion et </w:t>
      </w:r>
      <w:r w:rsidR="00C67039">
        <w:t>du</w:t>
      </w:r>
      <w:r w:rsidRPr="0014265B">
        <w:t xml:space="preserve"> FTJ</w:t>
      </w:r>
      <w:bookmarkEnd w:id="1"/>
    </w:p>
    <w:p w14:paraId="7DF8EA6F" w14:textId="77777777" w:rsidR="00A91FF1" w:rsidRPr="00D72ACF" w:rsidRDefault="00A91FF1" w:rsidP="00A91FF1">
      <w:pPr>
        <w:rPr>
          <w:i/>
          <w:vanish/>
        </w:rPr>
      </w:pPr>
      <w:r w:rsidRPr="00D72ACF">
        <w:rPr>
          <w:i/>
        </w:rPr>
        <w:fldChar w:fldCharType="begin"/>
      </w:r>
      <w:r w:rsidRPr="00D72ACF">
        <w:rPr>
          <w:i/>
        </w:rPr>
        <w:instrText xml:space="preserve"> TC"(</w:instrText>
      </w:r>
      <w:bookmarkStart w:id="2" w:name="DocNumber"/>
      <w:r w:rsidRPr="00D72ACF">
        <w:rPr>
          <w:i/>
        </w:rPr>
        <w:instrText>B10-0460/2025</w:instrText>
      </w:r>
      <w:bookmarkEnd w:id="2"/>
      <w:r w:rsidRPr="00D72ACF">
        <w:rPr>
          <w:i/>
        </w:rPr>
        <w:instrText xml:space="preserve">)"\l3 \n&gt; \* MERGEFORMAT </w:instrText>
      </w:r>
      <w:r w:rsidRPr="00D72ACF">
        <w:rPr>
          <w:i/>
        </w:rPr>
        <w:fldChar w:fldCharType="end"/>
      </w:r>
    </w:p>
    <w:p w14:paraId="5146B29D" w14:textId="77777777" w:rsidR="00A91FF1" w:rsidRPr="00D72ACF" w:rsidRDefault="00A91FF1" w:rsidP="00A91FF1">
      <w:pPr>
        <w:rPr>
          <w:vanish/>
        </w:rPr>
      </w:pPr>
      <w:bookmarkStart w:id="3" w:name="PE"/>
      <w:r w:rsidRPr="00D72ACF">
        <w:rPr>
          <w:vanish/>
        </w:rPr>
        <w:t>PE778.177</w:t>
      </w:r>
      <w:bookmarkEnd w:id="3"/>
    </w:p>
    <w:p w14:paraId="203F087B" w14:textId="000DBDC7" w:rsidR="00A91FF1" w:rsidRPr="00D72ACF" w:rsidRDefault="00A91FF1" w:rsidP="00A91FF1">
      <w:pPr>
        <w:pStyle w:val="ATHeading3"/>
      </w:pPr>
      <w:bookmarkStart w:id="4" w:name="Sujet"/>
      <w:r w:rsidRPr="00D72ACF">
        <w:t xml:space="preserve">Décision du Parlement européen de ne pas faire objection au règlement délégué </w:t>
      </w:r>
      <w:r w:rsidR="00B70499">
        <w:t xml:space="preserve">de la Commission </w:t>
      </w:r>
      <w:r w:rsidRPr="00D72ACF">
        <w:t xml:space="preserve">du 22 septembre 2025 modifiant l’annexe I du règlement (UE) 2021/1060 du Parlement européen et du Conseil en ce qui concerne la nomenclature des dimensions et des codes pour les types d’intervention du FEDER, du FSE+, du Fonds de cohésion et du FTJ </w:t>
      </w:r>
      <w:bookmarkStart w:id="5" w:name="References"/>
      <w:r w:rsidRPr="00D72ACF">
        <w:t>(C(2025)06376 – 2025/2888(DEA))</w:t>
      </w:r>
      <w:bookmarkEnd w:id="5"/>
    </w:p>
    <w:p w14:paraId="572936F9" w14:textId="52D53ED1" w:rsidR="005C2900" w:rsidRPr="00D72ACF" w:rsidRDefault="005C2900" w:rsidP="005C2900">
      <w:pPr>
        <w:pStyle w:val="EPComma"/>
        <w:widowControl/>
        <w:rPr>
          <w:i/>
        </w:rPr>
      </w:pPr>
      <w:bookmarkStart w:id="6" w:name="TextBodyBegin"/>
      <w:bookmarkEnd w:id="4"/>
      <w:bookmarkEnd w:id="6"/>
      <w:r w:rsidRPr="00D72ACF">
        <w:rPr>
          <w:i/>
        </w:rPr>
        <w:t>Le Parlement européen,</w:t>
      </w:r>
    </w:p>
    <w:p w14:paraId="632EC7D8" w14:textId="29397E59" w:rsidR="005C2900" w:rsidRPr="00D72ACF" w:rsidRDefault="005C2900" w:rsidP="005C2900">
      <w:pPr>
        <w:pStyle w:val="NormalHanging12a"/>
        <w:widowControl/>
      </w:pPr>
      <w:r w:rsidRPr="00D72ACF">
        <w:t>–</w:t>
      </w:r>
      <w:r w:rsidRPr="00D72ACF">
        <w:tab/>
        <w:t xml:space="preserve">vu le règlement délégué de la Commission </w:t>
      </w:r>
      <w:r w:rsidR="0014265B">
        <w:t>(</w:t>
      </w:r>
      <w:r w:rsidRPr="00D72ACF">
        <w:t>C(2025)06376</w:t>
      </w:r>
      <w:r w:rsidR="0014265B">
        <w:t>)</w:t>
      </w:r>
      <w:r w:rsidRPr="00D72ACF">
        <w:t>,</w:t>
      </w:r>
    </w:p>
    <w:p w14:paraId="14B59E0F" w14:textId="77777777" w:rsidR="005C2900" w:rsidRPr="00D72ACF" w:rsidRDefault="005C2900" w:rsidP="005C2900">
      <w:pPr>
        <w:pStyle w:val="NormalHanging12a"/>
        <w:widowControl/>
      </w:pPr>
      <w:r w:rsidRPr="00D72ACF">
        <w:t>–</w:t>
      </w:r>
      <w:r w:rsidRPr="00D72ACF">
        <w:tab/>
        <w:t>vu la lettre de la Commission du 22 septembre 2025, par laquelle celle-ci lui demande de déclarer qu’il ne fera pas objection au règlement délégué,</w:t>
      </w:r>
    </w:p>
    <w:p w14:paraId="167D7134" w14:textId="7B6533A2" w:rsidR="005C2900" w:rsidRPr="00D72ACF" w:rsidRDefault="005C2900" w:rsidP="005C2900">
      <w:pPr>
        <w:pStyle w:val="NormalHanging12a"/>
        <w:widowControl/>
      </w:pPr>
      <w:r w:rsidRPr="00D72ACF">
        <w:t>–</w:t>
      </w:r>
      <w:r w:rsidRPr="00D72ACF">
        <w:tab/>
        <w:t xml:space="preserve">vu la lettre de la commission du développement régional au président de la Conférence des présidents des commissions, en date du </w:t>
      </w:r>
      <w:r w:rsidR="00333FC3">
        <w:t>14 octobre</w:t>
      </w:r>
      <w:r w:rsidR="00445CB1">
        <w:t xml:space="preserve"> </w:t>
      </w:r>
      <w:r w:rsidR="00333FC3">
        <w:t>2025</w:t>
      </w:r>
      <w:r w:rsidRPr="00D72ACF">
        <w:t>,</w:t>
      </w:r>
    </w:p>
    <w:p w14:paraId="656CA3DE" w14:textId="77777777" w:rsidR="005C2900" w:rsidRPr="00D72ACF" w:rsidRDefault="005C2900" w:rsidP="005C2900">
      <w:pPr>
        <w:pStyle w:val="NormalHanging12a"/>
        <w:widowControl/>
      </w:pPr>
      <w:r w:rsidRPr="00D72ACF">
        <w:t>–</w:t>
      </w:r>
      <w:r w:rsidRPr="00D72ACF">
        <w:tab/>
        <w:t>vu l’article 290 du traité sur le fonctionnement de l’Union européenne,</w:t>
      </w:r>
    </w:p>
    <w:p w14:paraId="13D75C89" w14:textId="77777777" w:rsidR="005C2900" w:rsidRPr="00D72ACF" w:rsidRDefault="005C2900" w:rsidP="005C2900">
      <w:pPr>
        <w:pStyle w:val="NormalHanging12a"/>
        <w:widowControl/>
      </w:pPr>
      <w:r w:rsidRPr="00D72ACF">
        <w:t>–</w:t>
      </w:r>
      <w:r w:rsidRPr="00D72ACF">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D72ACF">
        <w:rPr>
          <w:vertAlign w:val="superscript"/>
        </w:rPr>
        <w:footnoteReference w:id="1"/>
      </w:r>
      <w:r w:rsidRPr="00D72ACF">
        <w:t>, et notamment son article 113 et son article 114, paragraphe 6,</w:t>
      </w:r>
    </w:p>
    <w:p w14:paraId="4805A1ED" w14:textId="77777777" w:rsidR="005C2900" w:rsidRPr="00D72ACF" w:rsidRDefault="005C2900" w:rsidP="005C2900">
      <w:pPr>
        <w:pStyle w:val="NormalHanging12a"/>
        <w:widowControl/>
      </w:pPr>
      <w:r w:rsidRPr="00D72ACF">
        <w:t>–</w:t>
      </w:r>
      <w:r w:rsidRPr="00D72ACF">
        <w:tab/>
        <w:t>vu l’article 114, paragraphe 6, de son règlement intérieur,</w:t>
      </w:r>
    </w:p>
    <w:p w14:paraId="1B21D6BE" w14:textId="77777777" w:rsidR="005C2900" w:rsidRDefault="005C2900" w:rsidP="005C2900">
      <w:pPr>
        <w:pStyle w:val="NormalHanging12a"/>
        <w:widowControl/>
      </w:pPr>
      <w:r w:rsidRPr="00D72ACF">
        <w:t>–</w:t>
      </w:r>
      <w:r w:rsidRPr="00D72ACF">
        <w:tab/>
        <w:t>vu la recommandation de décision de la commission du développement régional,</w:t>
      </w:r>
    </w:p>
    <w:p w14:paraId="49EF0615" w14:textId="30D3BF30" w:rsidR="00BE0D79" w:rsidRDefault="00BE0D79" w:rsidP="00BE0D79">
      <w:pPr>
        <w:pStyle w:val="NormalHanging12a"/>
        <w:widowControl/>
      </w:pPr>
      <w:r w:rsidRPr="00D72ACF">
        <w:lastRenderedPageBreak/>
        <w:t>–</w:t>
      </w:r>
      <w:r w:rsidRPr="00D72ACF">
        <w:tab/>
      </w:r>
      <w:r w:rsidRPr="00BE0D79">
        <w:t xml:space="preserve">vu qu'aucune objection n'a été soulevée dans le délai prévu </w:t>
      </w:r>
      <w:r w:rsidR="00B70499">
        <w:t>à</w:t>
      </w:r>
      <w:r w:rsidRPr="00BE0D79">
        <w:t xml:space="preserve"> l'article 114, paragraphe 6, </w:t>
      </w:r>
      <w:r w:rsidR="00B70499" w:rsidRPr="00BE0D79">
        <w:t>troisième et quatrième tirets</w:t>
      </w:r>
      <w:r w:rsidR="00B70499">
        <w:t>,</w:t>
      </w:r>
      <w:r w:rsidR="00B70499" w:rsidRPr="00BE0D79">
        <w:t xml:space="preserve"> </w:t>
      </w:r>
      <w:r w:rsidRPr="00BE0D79">
        <w:t xml:space="preserve">de son règlement intérieur, qui a expiré le </w:t>
      </w:r>
      <w:r>
        <w:t>21 octobre</w:t>
      </w:r>
      <w:r w:rsidRPr="00BE0D79">
        <w:t xml:space="preserve"> 2025,</w:t>
      </w:r>
    </w:p>
    <w:p w14:paraId="7C380219" w14:textId="77777777" w:rsidR="005C2900" w:rsidRPr="00D72ACF" w:rsidRDefault="005C2900" w:rsidP="005C2900">
      <w:pPr>
        <w:pStyle w:val="NormalHanging12a"/>
        <w:widowControl/>
      </w:pPr>
      <w:r w:rsidRPr="00D72ACF">
        <w:t>A.</w:t>
      </w:r>
      <w:r w:rsidRPr="00D72ACF">
        <w:tab/>
        <w:t>considérant que, pour permettre aux États membres de procéder à une reprogrammation judicieuse dans le cadre de l’examen à mi-parcours et de concentrer les ressources sur les nouvelles priorités stratégiques de l’Union fixées dans le règlement (UE) 2021/1060, le 4 avril 2025, la Commission a présenté une demande d’application de la procédure d’urgence, conformément à l’article 170 du règlement intérieur du Parlement européen, à sa proposition de règlement modifiant les règlements (UE) 2021/1058 et (UE) 2021/1056 en ce qui concerne des mesures spécifiques visant à relever des défis stratégiques dans le cadre de l’examen à mi-parcours</w:t>
      </w:r>
      <w:r w:rsidRPr="00D72ACF">
        <w:rPr>
          <w:vertAlign w:val="superscript"/>
        </w:rPr>
        <w:footnoteReference w:id="2"/>
      </w:r>
      <w:r w:rsidRPr="00D72ACF">
        <w:t>; considérant que la Commission a présenté cette proposition lors de la réunion de la commission du développement régional, le 9 avril 2025;</w:t>
      </w:r>
    </w:p>
    <w:p w14:paraId="0BB57970" w14:textId="77777777" w:rsidR="005C2900" w:rsidRPr="00D72ACF" w:rsidRDefault="005C2900" w:rsidP="005C2900">
      <w:pPr>
        <w:pStyle w:val="NormalHanging12a"/>
        <w:widowControl/>
      </w:pPr>
      <w:r w:rsidRPr="00D72ACF">
        <w:t>B.</w:t>
      </w:r>
      <w:r w:rsidRPr="00D72ACF">
        <w:tab/>
        <w:t>considérant que, lors de sa réunion du 5 mai 2025, la commission du développement régional a décidé de soutenir la demande d’application de la procédure d’urgence, conformément à l’article 170, paragraphe 5, du règlement intérieur, ce qui a conduit à l’adoption du règlement (UE) 2025/1914 du Parlement européen et du Conseil</w:t>
      </w:r>
      <w:r w:rsidRPr="00D72ACF">
        <w:rPr>
          <w:vertAlign w:val="superscript"/>
        </w:rPr>
        <w:footnoteReference w:id="3"/>
      </w:r>
      <w:r w:rsidRPr="00D72ACF">
        <w:t>,</w:t>
      </w:r>
    </w:p>
    <w:p w14:paraId="4C007702" w14:textId="465A67FC" w:rsidR="005C2900" w:rsidRPr="00D72ACF" w:rsidRDefault="005C2900" w:rsidP="005C2900">
      <w:pPr>
        <w:pStyle w:val="NormalHanging12a"/>
        <w:widowControl/>
      </w:pPr>
      <w:r w:rsidRPr="00D72ACF">
        <w:t>C.</w:t>
      </w:r>
      <w:r w:rsidRPr="00D72ACF">
        <w:tab/>
        <w:t>considérant que le règlement délégué de la Commission est nécessaire pour assurer l’alignement et la cohérence entre le règlement (UE) 2021/1060 et les règlements régissant les différents fonds (règlements FEDER/Fonds de cohésion, FSE+ et FTJ) afin de faire en sorte que les objectifs spécifiques modifiés et nouvellement introduits conformément au règlement (UE) 2025/1914 puissent être mis en œuvre par l’ajout de domaines d’intervention correspondants à l’annexe I du règlement (UE) 2021/1060 et pour permettre leur utilisation pour la mise en œuvre des programmes et l’établissement de rapports;</w:t>
      </w:r>
    </w:p>
    <w:p w14:paraId="48E25FD8" w14:textId="77777777" w:rsidR="005C2900" w:rsidRPr="00D72ACF" w:rsidRDefault="005C2900" w:rsidP="005C2900">
      <w:pPr>
        <w:pStyle w:val="NormalHanging12a"/>
        <w:widowControl/>
      </w:pPr>
      <w:r w:rsidRPr="00D72ACF">
        <w:t>1.</w:t>
      </w:r>
      <w:r w:rsidRPr="00D72ACF">
        <w:tab/>
        <w:t>déclare ne pas faire objection au règlement délégué;</w:t>
      </w:r>
    </w:p>
    <w:p w14:paraId="491163C4" w14:textId="68BD6478" w:rsidR="00E365E1" w:rsidRPr="00D72ACF" w:rsidRDefault="005C2900" w:rsidP="00EC7D54">
      <w:pPr>
        <w:ind w:left="567" w:hanging="567"/>
        <w:rPr>
          <w:lang w:eastAsia="fr-FR"/>
        </w:rPr>
      </w:pPr>
      <w:r w:rsidRPr="00D72ACF">
        <w:t>2.</w:t>
      </w:r>
      <w:r w:rsidRPr="00D72ACF">
        <w:tab/>
        <w:t xml:space="preserve">charge sa Présidente de transmettre la présente décision </w:t>
      </w:r>
      <w:r w:rsidR="00D72ACF" w:rsidRPr="00D72ACF">
        <w:t>au Conseil et à la Commission.</w:t>
      </w:r>
    </w:p>
    <w:sectPr w:rsidR="00E365E1" w:rsidRPr="00D72ACF" w:rsidSect="00D72A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C652C" w14:textId="77777777" w:rsidR="00A91FF1" w:rsidRPr="00D72ACF" w:rsidRDefault="00A91FF1">
      <w:r w:rsidRPr="00D72ACF">
        <w:separator/>
      </w:r>
    </w:p>
  </w:endnote>
  <w:endnote w:type="continuationSeparator" w:id="0">
    <w:p w14:paraId="22E16E22" w14:textId="77777777" w:rsidR="00A91FF1" w:rsidRPr="00D72ACF" w:rsidRDefault="00A91FF1">
      <w:r w:rsidRPr="00D72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D0D8" w14:textId="77777777" w:rsidR="00064002" w:rsidRPr="00D72A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94B5" w14:textId="77777777" w:rsidR="00064002" w:rsidRPr="00D72A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B386" w14:textId="77777777" w:rsidR="00064002" w:rsidRPr="00D72A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FB292" w14:textId="77777777" w:rsidR="00A91FF1" w:rsidRPr="00D72ACF" w:rsidRDefault="00A91FF1">
      <w:r w:rsidRPr="00D72ACF">
        <w:separator/>
      </w:r>
    </w:p>
  </w:footnote>
  <w:footnote w:type="continuationSeparator" w:id="0">
    <w:p w14:paraId="1BB06933" w14:textId="77777777" w:rsidR="00A91FF1" w:rsidRPr="00D72ACF" w:rsidRDefault="00A91FF1">
      <w:r w:rsidRPr="00D72ACF">
        <w:continuationSeparator/>
      </w:r>
    </w:p>
  </w:footnote>
  <w:footnote w:id="1">
    <w:p w14:paraId="097A36C6" w14:textId="71AA5FE1" w:rsidR="005C2900" w:rsidRPr="00EC7D54" w:rsidRDefault="005C2900" w:rsidP="00D72ACF">
      <w:pPr>
        <w:pStyle w:val="FootnoteText"/>
        <w:ind w:left="567" w:hanging="567"/>
        <w:rPr>
          <w:sz w:val="24"/>
          <w:lang w:val="fi-FI"/>
        </w:rPr>
      </w:pPr>
      <w:r w:rsidRPr="00D72ACF">
        <w:rPr>
          <w:rStyle w:val="FootnoteReference"/>
          <w:sz w:val="24"/>
        </w:rPr>
        <w:footnoteRef/>
      </w:r>
      <w:r w:rsidR="00D72ACF" w:rsidRPr="00EC7D54">
        <w:rPr>
          <w:sz w:val="24"/>
          <w:lang w:val="fi-FI"/>
        </w:rPr>
        <w:t xml:space="preserve"> </w:t>
      </w:r>
      <w:r w:rsidR="00D72ACF" w:rsidRPr="00EC7D54">
        <w:rPr>
          <w:sz w:val="24"/>
          <w:lang w:val="fi-FI"/>
        </w:rPr>
        <w:tab/>
      </w:r>
      <w:r w:rsidRPr="00EC7D54">
        <w:rPr>
          <w:sz w:val="24"/>
          <w:lang w:val="fi-FI"/>
        </w:rPr>
        <w:t xml:space="preserve">JO L 231 du 30.6.2021, p. 159, ELI: </w:t>
      </w:r>
      <w:hyperlink r:id="rId1" w:history="1">
        <w:r w:rsidR="00333FC3" w:rsidRPr="00EC7D54">
          <w:rPr>
            <w:rStyle w:val="Hyperlink"/>
            <w:sz w:val="24"/>
            <w:lang w:val="fi-FI"/>
          </w:rPr>
          <w:t>http://data.europa.eu/eli/reg/2021/1060/oj</w:t>
        </w:r>
      </w:hyperlink>
      <w:r w:rsidRPr="00EC7D54">
        <w:rPr>
          <w:sz w:val="24"/>
          <w:lang w:val="fi-FI"/>
        </w:rPr>
        <w:t>.</w:t>
      </w:r>
      <w:r w:rsidR="00333FC3" w:rsidRPr="00EC7D54">
        <w:rPr>
          <w:sz w:val="24"/>
          <w:lang w:val="fi-FI"/>
        </w:rPr>
        <w:t xml:space="preserve"> </w:t>
      </w:r>
    </w:p>
  </w:footnote>
  <w:footnote w:id="2">
    <w:p w14:paraId="3093F397" w14:textId="3E83A1E8" w:rsidR="005C2900" w:rsidRPr="00D72ACF" w:rsidRDefault="005C2900" w:rsidP="00D72ACF">
      <w:pPr>
        <w:pStyle w:val="FootnoteText"/>
        <w:ind w:left="567" w:hanging="567"/>
        <w:rPr>
          <w:sz w:val="24"/>
        </w:rPr>
      </w:pPr>
      <w:r w:rsidRPr="00D72ACF">
        <w:rPr>
          <w:rStyle w:val="FootnoteReference"/>
          <w:sz w:val="24"/>
        </w:rPr>
        <w:footnoteRef/>
      </w:r>
      <w:r w:rsidR="00D72ACF" w:rsidRPr="00D72ACF">
        <w:rPr>
          <w:sz w:val="24"/>
        </w:rPr>
        <w:t xml:space="preserve"> </w:t>
      </w:r>
      <w:r w:rsidR="00D72ACF" w:rsidRPr="00D72ACF">
        <w:rPr>
          <w:sz w:val="24"/>
        </w:rPr>
        <w:tab/>
      </w:r>
      <w:r w:rsidRPr="00D72ACF">
        <w:rPr>
          <w:sz w:val="24"/>
        </w:rPr>
        <w:t>COM(2025</w:t>
      </w:r>
      <w:r w:rsidR="00EA7D93">
        <w:rPr>
          <w:sz w:val="24"/>
        </w:rPr>
        <w:t>)0</w:t>
      </w:r>
      <w:r w:rsidRPr="00D72ACF">
        <w:rPr>
          <w:sz w:val="24"/>
        </w:rPr>
        <w:t>123).</w:t>
      </w:r>
    </w:p>
  </w:footnote>
  <w:footnote w:id="3">
    <w:p w14:paraId="36F4C165" w14:textId="3B4DA7C1" w:rsidR="005C2900" w:rsidRPr="00D72ACF" w:rsidRDefault="005C2900" w:rsidP="00D72ACF">
      <w:pPr>
        <w:pStyle w:val="FootnoteText"/>
        <w:ind w:left="567" w:hanging="567"/>
        <w:rPr>
          <w:sz w:val="24"/>
        </w:rPr>
      </w:pPr>
      <w:r w:rsidRPr="00D72ACF">
        <w:rPr>
          <w:rStyle w:val="FootnoteReference"/>
          <w:sz w:val="24"/>
        </w:rPr>
        <w:footnoteRef/>
      </w:r>
      <w:r w:rsidR="00D72ACF" w:rsidRPr="00D72ACF">
        <w:rPr>
          <w:sz w:val="24"/>
        </w:rPr>
        <w:t xml:space="preserve"> </w:t>
      </w:r>
      <w:r w:rsidR="00D72ACF" w:rsidRPr="00D72ACF">
        <w:rPr>
          <w:sz w:val="24"/>
        </w:rPr>
        <w:tab/>
      </w:r>
      <w:r w:rsidRPr="00D72ACF">
        <w:rPr>
          <w:sz w:val="24"/>
        </w:rPr>
        <w:t>Règlement (UE) 2025/1914 du Parlement européen et du Conseil du 18 septembre 2025 modifiant les règlements (UE) 2021/1058 et (UE) 2021/1056 en ce qui concerne des mesures spécifiques visant à relever des défis stratégiques dans le cadre de l’examen à mi-parcours (JO L, 2025/1914, 19.9.2025, ELI: </w:t>
      </w:r>
      <w:hyperlink r:id="rId2" w:history="1">
        <w:r w:rsidRPr="00EA7D93">
          <w:rPr>
            <w:rStyle w:val="Hyperlink"/>
            <w:sz w:val="24"/>
          </w:rPr>
          <w:t>http://data.europa.eu/eli/reg/2025/1914/oj</w:t>
        </w:r>
      </w:hyperlink>
      <w:r w:rsidRPr="00D72AC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0DEC" w14:textId="77777777" w:rsidR="00064002" w:rsidRPr="00D72A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2006" w14:textId="77777777" w:rsidR="00064002" w:rsidRPr="00D72A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DB41C" w14:textId="77777777" w:rsidR="00064002" w:rsidRPr="00D72A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9727034">
    <w:abstractNumId w:val="9"/>
  </w:num>
  <w:num w:numId="2" w16cid:durableId="338779261">
    <w:abstractNumId w:val="9"/>
  </w:num>
  <w:num w:numId="3" w16cid:durableId="1239049640">
    <w:abstractNumId w:val="7"/>
  </w:num>
  <w:num w:numId="4" w16cid:durableId="1884823129">
    <w:abstractNumId w:val="7"/>
  </w:num>
  <w:num w:numId="5" w16cid:durableId="1559508015">
    <w:abstractNumId w:val="6"/>
  </w:num>
  <w:num w:numId="6" w16cid:durableId="955605235">
    <w:abstractNumId w:val="6"/>
  </w:num>
  <w:num w:numId="7" w16cid:durableId="1717196513">
    <w:abstractNumId w:val="5"/>
  </w:num>
  <w:num w:numId="8" w16cid:durableId="525096715">
    <w:abstractNumId w:val="5"/>
  </w:num>
  <w:num w:numId="9" w16cid:durableId="1544362641">
    <w:abstractNumId w:val="4"/>
  </w:num>
  <w:num w:numId="10" w16cid:durableId="1949924472">
    <w:abstractNumId w:val="4"/>
  </w:num>
  <w:num w:numId="11" w16cid:durableId="363600429">
    <w:abstractNumId w:val="8"/>
  </w:num>
  <w:num w:numId="12" w16cid:durableId="335503567">
    <w:abstractNumId w:val="8"/>
  </w:num>
  <w:num w:numId="13" w16cid:durableId="995306331">
    <w:abstractNumId w:val="3"/>
  </w:num>
  <w:num w:numId="14" w16cid:durableId="1057125692">
    <w:abstractNumId w:val="3"/>
  </w:num>
  <w:num w:numId="15" w16cid:durableId="66154063">
    <w:abstractNumId w:val="2"/>
  </w:num>
  <w:num w:numId="16" w16cid:durableId="1891725242">
    <w:abstractNumId w:val="2"/>
  </w:num>
  <w:num w:numId="17" w16cid:durableId="212929147">
    <w:abstractNumId w:val="1"/>
  </w:num>
  <w:num w:numId="18" w16cid:durableId="992291804">
    <w:abstractNumId w:val="1"/>
  </w:num>
  <w:num w:numId="19" w16cid:durableId="2064597039">
    <w:abstractNumId w:val="0"/>
  </w:num>
  <w:num w:numId="20" w16cid:durableId="453988976">
    <w:abstractNumId w:val="0"/>
  </w:num>
  <w:num w:numId="21" w16cid:durableId="1678731115">
    <w:abstractNumId w:val="9"/>
  </w:num>
  <w:num w:numId="22" w16cid:durableId="1397126626">
    <w:abstractNumId w:val="7"/>
  </w:num>
  <w:num w:numId="23" w16cid:durableId="1613441835">
    <w:abstractNumId w:val="6"/>
  </w:num>
  <w:num w:numId="24" w16cid:durableId="1222400033">
    <w:abstractNumId w:val="5"/>
  </w:num>
  <w:num w:numId="25" w16cid:durableId="785465189">
    <w:abstractNumId w:val="4"/>
  </w:num>
  <w:num w:numId="26" w16cid:durableId="2137215976">
    <w:abstractNumId w:val="8"/>
  </w:num>
  <w:num w:numId="27" w16cid:durableId="321280136">
    <w:abstractNumId w:val="3"/>
  </w:num>
  <w:num w:numId="28" w16cid:durableId="266737458">
    <w:abstractNumId w:val="2"/>
  </w:num>
  <w:num w:numId="29" w16cid:durableId="833567278">
    <w:abstractNumId w:val="1"/>
  </w:num>
  <w:num w:numId="30" w16cid:durableId="186338677">
    <w:abstractNumId w:val="0"/>
  </w:num>
  <w:num w:numId="31" w16cid:durableId="1588728593">
    <w:abstractNumId w:val="9"/>
  </w:num>
  <w:num w:numId="32" w16cid:durableId="902446024">
    <w:abstractNumId w:val="7"/>
  </w:num>
  <w:num w:numId="33" w16cid:durableId="1996033312">
    <w:abstractNumId w:val="6"/>
  </w:num>
  <w:num w:numId="34" w16cid:durableId="681853846">
    <w:abstractNumId w:val="5"/>
  </w:num>
  <w:num w:numId="35" w16cid:durableId="1002779539">
    <w:abstractNumId w:val="4"/>
  </w:num>
  <w:num w:numId="36" w16cid:durableId="761414731">
    <w:abstractNumId w:val="8"/>
  </w:num>
  <w:num w:numId="37" w16cid:durableId="293490262">
    <w:abstractNumId w:val="3"/>
  </w:num>
  <w:num w:numId="38" w16cid:durableId="1650397410">
    <w:abstractNumId w:val="2"/>
  </w:num>
  <w:num w:numId="39" w16cid:durableId="1493984102">
    <w:abstractNumId w:val="1"/>
  </w:num>
  <w:num w:numId="40" w16cid:durableId="498468057">
    <w:abstractNumId w:val="0"/>
  </w:num>
  <w:num w:numId="41" w16cid:durableId="1773435007">
    <w:abstractNumId w:val="10"/>
  </w:num>
  <w:num w:numId="42" w16cid:durableId="169179563">
    <w:abstractNumId w:val="10"/>
  </w:num>
  <w:num w:numId="43" w16cid:durableId="1041975422">
    <w:abstractNumId w:val="10"/>
  </w:num>
  <w:num w:numId="44" w16cid:durableId="479201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FR"/>
    <w:docVar w:name="dvnumam" w:val="0"/>
    <w:docVar w:name="dvpe" w:val="778.177"/>
    <w:docVar w:name="dvtitre" w:val="Décision du Parlement européen du ... 2025 de ne pas faire objection au règlement délégué du 22 septembre 2025 modifiant l’annexe I du règlement (UE) 2021/1060 du Parlement européen et du Conseil en ce qui concerne la nomenclature des dimensions et des codes pour les types d’intervention du FEDER, du FSE+, du Fonds de cohésion et du FTJ _x000d__x000a_(C(2025)06376 – 2025/2888(DEA))"/>
  </w:docVars>
  <w:rsids>
    <w:rsidRoot w:val="00A91FF1"/>
    <w:rsid w:val="00002272"/>
    <w:rsid w:val="00060C08"/>
    <w:rsid w:val="00064002"/>
    <w:rsid w:val="000677B9"/>
    <w:rsid w:val="000831BA"/>
    <w:rsid w:val="000A42CC"/>
    <w:rsid w:val="000E7DD9"/>
    <w:rsid w:val="0010095E"/>
    <w:rsid w:val="00125B37"/>
    <w:rsid w:val="0014265B"/>
    <w:rsid w:val="00187494"/>
    <w:rsid w:val="001C0371"/>
    <w:rsid w:val="001E6939"/>
    <w:rsid w:val="001F32AE"/>
    <w:rsid w:val="002767FF"/>
    <w:rsid w:val="002B18FE"/>
    <w:rsid w:val="002B5493"/>
    <w:rsid w:val="00333FC3"/>
    <w:rsid w:val="00343214"/>
    <w:rsid w:val="00361C00"/>
    <w:rsid w:val="00395FA1"/>
    <w:rsid w:val="003E15D4"/>
    <w:rsid w:val="00411CCE"/>
    <w:rsid w:val="00413962"/>
    <w:rsid w:val="0041666E"/>
    <w:rsid w:val="00421060"/>
    <w:rsid w:val="00445CB1"/>
    <w:rsid w:val="00471C19"/>
    <w:rsid w:val="00480E95"/>
    <w:rsid w:val="004867E3"/>
    <w:rsid w:val="00494A28"/>
    <w:rsid w:val="004C0004"/>
    <w:rsid w:val="004C5D52"/>
    <w:rsid w:val="0050519A"/>
    <w:rsid w:val="005072A1"/>
    <w:rsid w:val="00514517"/>
    <w:rsid w:val="00545827"/>
    <w:rsid w:val="00560270"/>
    <w:rsid w:val="005C2568"/>
    <w:rsid w:val="005C290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5D3"/>
    <w:rsid w:val="008C2AC6"/>
    <w:rsid w:val="00930C23"/>
    <w:rsid w:val="0093193B"/>
    <w:rsid w:val="009509D8"/>
    <w:rsid w:val="00950B64"/>
    <w:rsid w:val="00981893"/>
    <w:rsid w:val="00A1687D"/>
    <w:rsid w:val="00A24872"/>
    <w:rsid w:val="00A43E52"/>
    <w:rsid w:val="00A43FBE"/>
    <w:rsid w:val="00A4678D"/>
    <w:rsid w:val="00A778C7"/>
    <w:rsid w:val="00A82336"/>
    <w:rsid w:val="00A91FF1"/>
    <w:rsid w:val="00AB441E"/>
    <w:rsid w:val="00AB6293"/>
    <w:rsid w:val="00AE0928"/>
    <w:rsid w:val="00AF3B82"/>
    <w:rsid w:val="00B12E95"/>
    <w:rsid w:val="00B22876"/>
    <w:rsid w:val="00B558F0"/>
    <w:rsid w:val="00B70499"/>
    <w:rsid w:val="00B86C1D"/>
    <w:rsid w:val="00BD48FE"/>
    <w:rsid w:val="00BD7BD8"/>
    <w:rsid w:val="00BE0D79"/>
    <w:rsid w:val="00BE6ADC"/>
    <w:rsid w:val="00C05BFE"/>
    <w:rsid w:val="00C23CD4"/>
    <w:rsid w:val="00C61C0C"/>
    <w:rsid w:val="00C67039"/>
    <w:rsid w:val="00C941CB"/>
    <w:rsid w:val="00CC2357"/>
    <w:rsid w:val="00CF071A"/>
    <w:rsid w:val="00D058B8"/>
    <w:rsid w:val="00D56C11"/>
    <w:rsid w:val="00D72ACF"/>
    <w:rsid w:val="00D834A0"/>
    <w:rsid w:val="00D872DF"/>
    <w:rsid w:val="00D91E21"/>
    <w:rsid w:val="00DA7FCD"/>
    <w:rsid w:val="00E365E1"/>
    <w:rsid w:val="00E820A4"/>
    <w:rsid w:val="00EA7D93"/>
    <w:rsid w:val="00EB006A"/>
    <w:rsid w:val="00EB4772"/>
    <w:rsid w:val="00EC7D5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DB074"/>
  <w15:chartTrackingRefBased/>
  <w15:docId w15:val="{5726F6BE-7467-4B47-9264-2EE986AE5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2900"/>
    <w:pPr>
      <w:spacing w:before="480" w:after="240"/>
    </w:pPr>
  </w:style>
  <w:style w:type="paragraph" w:customStyle="1" w:styleId="NormalHanging12a">
    <w:name w:val="NormalHanging12a"/>
    <w:basedOn w:val="Normal"/>
    <w:rsid w:val="005C2900"/>
    <w:pPr>
      <w:spacing w:after="240"/>
      <w:ind w:left="567" w:hanging="567"/>
    </w:pPr>
  </w:style>
  <w:style w:type="paragraph" w:styleId="Revision">
    <w:name w:val="Revision"/>
    <w:hidden/>
    <w:uiPriority w:val="99"/>
    <w:semiHidden/>
    <w:rsid w:val="00333FC3"/>
    <w:rPr>
      <w:sz w:val="24"/>
      <w:lang w:val="fr-FR"/>
    </w:rPr>
  </w:style>
  <w:style w:type="character" w:styleId="Hyperlink">
    <w:name w:val="Hyperlink"/>
    <w:basedOn w:val="DefaultParagraphFont"/>
    <w:rsid w:val="00333FC3"/>
    <w:rPr>
      <w:color w:val="0563C1" w:themeColor="hyperlink"/>
      <w:u w:val="single"/>
    </w:rPr>
  </w:style>
  <w:style w:type="character" w:styleId="UnresolvedMention">
    <w:name w:val="Unresolved Mention"/>
    <w:basedOn w:val="DefaultParagraphFont"/>
    <w:uiPriority w:val="99"/>
    <w:semiHidden/>
    <w:unhideWhenUsed/>
    <w:rsid w:val="00333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602</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ILLY_D</cp:lastModifiedBy>
  <cp:revision>3</cp:revision>
  <cp:lastPrinted>2004-11-19T15:42:00Z</cp:lastPrinted>
  <dcterms:created xsi:type="dcterms:W3CDTF">2025-10-22T11:33:00Z</dcterms:created>
  <dcterms:modified xsi:type="dcterms:W3CDTF">2026-01-28T11:56:00Z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B10-0460/2025</vt:lpwstr>
  </property>
  <property fmtid="{D5CDD505-2E9C-101B-9397-08002B2CF9AE}" pid="4" name="&lt;Type&gt;">
    <vt:lpwstr>RR</vt:lpwstr>
  </property>
</Properties>
</file>