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31E7" w14:paraId="41E835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5C82A5" w14:textId="77777777" w:rsidR="00751A4A" w:rsidRPr="00B231E7" w:rsidRDefault="00CB2052" w:rsidP="0010095E">
            <w:pPr>
              <w:pStyle w:val="EPName"/>
            </w:pPr>
            <w:r w:rsidRPr="00B231E7">
              <w:t>Europski parlament</w:t>
            </w:r>
          </w:p>
          <w:p w14:paraId="2B0CD5A6" w14:textId="77777777" w:rsidR="00751A4A" w:rsidRPr="00B231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31E7">
              <w:t>2024</w:t>
            </w:r>
            <w:r w:rsidR="00817416" w:rsidRPr="00B231E7">
              <w:t>-202</w:t>
            </w:r>
            <w:r w:rsidRPr="00B231E7">
              <w:t>9</w:t>
            </w:r>
          </w:p>
        </w:tc>
        <w:tc>
          <w:tcPr>
            <w:tcW w:w="2268" w:type="dxa"/>
            <w:shd w:val="clear" w:color="auto" w:fill="auto"/>
          </w:tcPr>
          <w:p w14:paraId="266D15C0" w14:textId="77777777" w:rsidR="00751A4A" w:rsidRPr="00B231E7" w:rsidRDefault="00187494" w:rsidP="0010095E">
            <w:pPr>
              <w:pStyle w:val="EPLogo"/>
            </w:pPr>
            <w:r w:rsidRPr="00B231E7">
              <w:rPr>
                <w:noProof/>
                <w:lang w:eastAsia="ja-JP"/>
              </w:rPr>
              <w:drawing>
                <wp:inline distT="0" distB="0" distL="0" distR="0" wp14:anchorId="56B282E5" wp14:editId="195470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5665CD" w14:textId="77777777" w:rsidR="00D058B8" w:rsidRPr="00B231E7" w:rsidRDefault="00D058B8" w:rsidP="004C5D52">
      <w:pPr>
        <w:pStyle w:val="LineTop"/>
      </w:pPr>
    </w:p>
    <w:p w14:paraId="018C1CBA" w14:textId="77777777" w:rsidR="00680577" w:rsidRPr="00B231E7" w:rsidRDefault="00CB2052" w:rsidP="00680577">
      <w:pPr>
        <w:pStyle w:val="EPBodyTA1"/>
      </w:pPr>
      <w:r w:rsidRPr="00B231E7">
        <w:t>USVOJENI TEKSTOVI</w:t>
      </w:r>
    </w:p>
    <w:p w14:paraId="7736C856" w14:textId="77777777" w:rsidR="00D058B8" w:rsidRPr="00B231E7" w:rsidRDefault="00D058B8" w:rsidP="00D058B8">
      <w:pPr>
        <w:pStyle w:val="LineBottom"/>
      </w:pPr>
    </w:p>
    <w:p w14:paraId="0BB07100" w14:textId="5E3CA8C0" w:rsidR="00CB2052" w:rsidRPr="00B231E7" w:rsidRDefault="00CB2052" w:rsidP="00CB2052">
      <w:pPr>
        <w:pStyle w:val="ATHeading1"/>
      </w:pPr>
      <w:bookmarkStart w:id="0" w:name="TANumber"/>
      <w:r w:rsidRPr="00B231E7">
        <w:t>P10_TA(2025)0</w:t>
      </w:r>
      <w:r w:rsidR="00A80618">
        <w:t>243</w:t>
      </w:r>
      <w:bookmarkEnd w:id="0"/>
    </w:p>
    <w:p w14:paraId="0AEBBF48" w14:textId="3657635C" w:rsidR="00CB2052" w:rsidRPr="00B231E7" w:rsidRDefault="004E5676" w:rsidP="00CB2052">
      <w:pPr>
        <w:pStyle w:val="ATHeading2"/>
      </w:pPr>
      <w:bookmarkStart w:id="1" w:name="title"/>
      <w:r>
        <w:t xml:space="preserve">Neulaganje prigovora na Delegirani akt: </w:t>
      </w:r>
      <w:r w:rsidRPr="00B231E7">
        <w:t>nomenklatur</w:t>
      </w:r>
      <w:r>
        <w:t>a</w:t>
      </w:r>
      <w:r w:rsidRPr="00B231E7">
        <w:t xml:space="preserve"> za dimenzije i kodove za vrste intervencija za EFRR, ESF+, Kohezijski fond i FPT</w:t>
      </w:r>
      <w:bookmarkEnd w:id="1"/>
    </w:p>
    <w:p w14:paraId="1115DC11" w14:textId="77777777" w:rsidR="00CB2052" w:rsidRPr="00B231E7" w:rsidRDefault="00CB2052" w:rsidP="00CB2052">
      <w:pPr>
        <w:rPr>
          <w:i/>
          <w:vanish/>
        </w:rPr>
      </w:pPr>
      <w:r w:rsidRPr="00B231E7">
        <w:rPr>
          <w:i/>
        </w:rPr>
        <w:fldChar w:fldCharType="begin"/>
      </w:r>
      <w:r w:rsidRPr="00B231E7">
        <w:rPr>
          <w:i/>
        </w:rPr>
        <w:instrText xml:space="preserve"> TC"(</w:instrText>
      </w:r>
      <w:bookmarkStart w:id="2" w:name="DocNumber"/>
      <w:r w:rsidRPr="00B231E7">
        <w:rPr>
          <w:i/>
        </w:rPr>
        <w:instrText>B10-0460/2025</w:instrText>
      </w:r>
      <w:bookmarkEnd w:id="2"/>
      <w:r w:rsidRPr="00B231E7">
        <w:rPr>
          <w:i/>
        </w:rPr>
        <w:instrText xml:space="preserve">)"\l3 \n&gt; \* MERGEFORMAT </w:instrText>
      </w:r>
      <w:r w:rsidRPr="00B231E7">
        <w:rPr>
          <w:i/>
        </w:rPr>
        <w:fldChar w:fldCharType="end"/>
      </w:r>
    </w:p>
    <w:p w14:paraId="0EA8206A" w14:textId="77777777" w:rsidR="00CB2052" w:rsidRPr="00B231E7" w:rsidRDefault="00CB2052" w:rsidP="00CB2052">
      <w:pPr>
        <w:rPr>
          <w:vanish/>
        </w:rPr>
      </w:pPr>
      <w:bookmarkStart w:id="3" w:name="PE"/>
      <w:r w:rsidRPr="00B231E7">
        <w:rPr>
          <w:vanish/>
        </w:rPr>
        <w:t>PE778.177</w:t>
      </w:r>
      <w:bookmarkEnd w:id="3"/>
    </w:p>
    <w:p w14:paraId="62F04ABD" w14:textId="02452047" w:rsidR="00CB2052" w:rsidRPr="00B231E7" w:rsidRDefault="00CB2052" w:rsidP="00CB2052">
      <w:pPr>
        <w:pStyle w:val="ATHeading3"/>
      </w:pPr>
      <w:bookmarkStart w:id="4" w:name="Sujet"/>
      <w:r w:rsidRPr="00B231E7">
        <w:t xml:space="preserve">Odluka Europskog parlamenta o neulaganju prigovora na Delegiranu uredbu Komisije od 22. rujna 2025. o izmjeni Priloga I. Uredbi (EU) 2021/1060 Europskog parlamenta i Vijeća u pogledu nomenklature za dimenzije i kodove za vrste intervencija za EFRR, ESF+, Kohezijski fond i FPT </w:t>
      </w:r>
      <w:bookmarkStart w:id="5" w:name="References"/>
      <w:r w:rsidRPr="00B231E7">
        <w:t>(C(2025)06376 – 2025/2888(DEA))</w:t>
      </w:r>
      <w:bookmarkEnd w:id="5"/>
    </w:p>
    <w:p w14:paraId="392AF678" w14:textId="77777777" w:rsidR="009D2513" w:rsidRPr="00B231E7" w:rsidRDefault="009D2513" w:rsidP="009D2513">
      <w:pPr>
        <w:pStyle w:val="EPComma"/>
        <w:rPr>
          <w:i/>
        </w:rPr>
      </w:pPr>
      <w:bookmarkStart w:id="6" w:name="TextBodyBegin"/>
      <w:bookmarkEnd w:id="4"/>
      <w:bookmarkEnd w:id="6"/>
      <w:r w:rsidRPr="00B231E7">
        <w:rPr>
          <w:i/>
        </w:rPr>
        <w:t>Europski parlament,</w:t>
      </w:r>
    </w:p>
    <w:p w14:paraId="403E1C0E" w14:textId="7973BB46" w:rsidR="009D2513" w:rsidRPr="00B231E7" w:rsidRDefault="009D2513" w:rsidP="009D2513">
      <w:pPr>
        <w:pStyle w:val="NormalHanging12a"/>
      </w:pPr>
      <w:r w:rsidRPr="00B231E7">
        <w:t>–</w:t>
      </w:r>
      <w:r w:rsidRPr="00B231E7">
        <w:tab/>
        <w:t xml:space="preserve">uzimajući u obzir Delegiranu uredbu Komisije </w:t>
      </w:r>
      <w:r w:rsidR="006B1E09">
        <w:t>(</w:t>
      </w:r>
      <w:r w:rsidRPr="00B231E7">
        <w:t>C(2025)06376</w:t>
      </w:r>
      <w:r w:rsidR="006B1E09">
        <w:t>)</w:t>
      </w:r>
      <w:r w:rsidRPr="00B231E7">
        <w:t>,</w:t>
      </w:r>
    </w:p>
    <w:p w14:paraId="29C72359" w14:textId="77777777" w:rsidR="009D2513" w:rsidRPr="00B231E7" w:rsidRDefault="009D2513" w:rsidP="009D2513">
      <w:pPr>
        <w:pStyle w:val="NormalHanging12a"/>
      </w:pPr>
      <w:r w:rsidRPr="00B231E7">
        <w:t>–</w:t>
      </w:r>
      <w:r w:rsidRPr="00B231E7">
        <w:tab/>
        <w:t>uzimajući u obzir pismo Komisije od 22. rujna 2025. kojim od Europskog parlamenta traži da izjavi kako neće uložiti prigovor na Delegiranu uredbu,</w:t>
      </w:r>
    </w:p>
    <w:p w14:paraId="57A3D423" w14:textId="67E467C2" w:rsidR="009D2513" w:rsidRPr="00B231E7" w:rsidRDefault="009D2513" w:rsidP="009D2513">
      <w:pPr>
        <w:pStyle w:val="NormalHanging12a"/>
      </w:pPr>
      <w:r w:rsidRPr="00B231E7">
        <w:t>–</w:t>
      </w:r>
      <w:r w:rsidRPr="00B231E7">
        <w:tab/>
        <w:t xml:space="preserve">uzimajući u obzir pismo Odbora za regionalni razvoj predsjedniku Konferencije predsjednika odbora od </w:t>
      </w:r>
      <w:r w:rsidR="00E2443A">
        <w:t>14. listopada 2025.</w:t>
      </w:r>
      <w:r w:rsidRPr="00B231E7">
        <w:t>,</w:t>
      </w:r>
    </w:p>
    <w:p w14:paraId="430E3581" w14:textId="77777777" w:rsidR="009D2513" w:rsidRPr="00B231E7" w:rsidRDefault="009D2513" w:rsidP="009D2513">
      <w:pPr>
        <w:pStyle w:val="NormalHanging12a"/>
      </w:pPr>
      <w:r w:rsidRPr="00B231E7">
        <w:t>–</w:t>
      </w:r>
      <w:r w:rsidRPr="00B231E7">
        <w:tab/>
        <w:t>uzimajući u obzir članak 290. Ugovora o funkcioniranju Europske unije,</w:t>
      </w:r>
    </w:p>
    <w:p w14:paraId="13277A32" w14:textId="77777777" w:rsidR="009D2513" w:rsidRPr="00B231E7" w:rsidRDefault="009D2513" w:rsidP="009D2513">
      <w:pPr>
        <w:pStyle w:val="NormalHanging12a"/>
      </w:pPr>
      <w:r w:rsidRPr="00B231E7">
        <w:t>–</w:t>
      </w:r>
      <w:r w:rsidRPr="00B231E7">
        <w:tab/>
        <w:t>uzimajući u obzir Uredbu (EU) 2021/1060 Europskog parlamenta i Vijeća od 24. lipnja 2021. o utvrđivanju zajedničkih odredaba o Europskom fondu za regionalni razvoj, Europskom socijalnom fondu plus, Kohezijskom fondu, Fondu za pravednu tranziciju i Europskom fondu za pomorstvo, ribarstvo i akvakulturu te financijskih pravila za njih i za Fond za azil, migracije i integraciju, Fond za unutarnju sigurnost i Instrument za financijsku potporu u području upravljanja granicama i vizne politike</w:t>
      </w:r>
      <w:r w:rsidRPr="00B231E7">
        <w:rPr>
          <w:vertAlign w:val="superscript"/>
        </w:rPr>
        <w:footnoteReference w:id="1"/>
      </w:r>
      <w:r w:rsidRPr="00B231E7">
        <w:t>, a posebno njezin članak 113. i članak 114. stavak 6.,</w:t>
      </w:r>
    </w:p>
    <w:p w14:paraId="6C878BF4" w14:textId="77777777" w:rsidR="009D2513" w:rsidRPr="00B231E7" w:rsidRDefault="009D2513" w:rsidP="009D2513">
      <w:pPr>
        <w:pStyle w:val="NormalHanging12a"/>
      </w:pPr>
      <w:r w:rsidRPr="00B231E7">
        <w:t>–</w:t>
      </w:r>
      <w:r w:rsidRPr="00B231E7">
        <w:tab/>
        <w:t>uzimajući u obzir članak 114. stavak 6. Poslovnika,</w:t>
      </w:r>
    </w:p>
    <w:p w14:paraId="27110DE6" w14:textId="77777777" w:rsidR="009D2513" w:rsidRDefault="009D2513" w:rsidP="009D2513">
      <w:pPr>
        <w:pStyle w:val="NormalHanging12a"/>
      </w:pPr>
      <w:r w:rsidRPr="00B231E7">
        <w:t>–</w:t>
      </w:r>
      <w:r w:rsidRPr="00B231E7">
        <w:tab/>
        <w:t>uzimajući u obzir preporuku za donošenje odluke Odbora za regionalni razvoj,</w:t>
      </w:r>
    </w:p>
    <w:p w14:paraId="285BE303" w14:textId="02C51E8B" w:rsidR="006742D0" w:rsidRPr="006742D0" w:rsidRDefault="006742D0" w:rsidP="009D2513">
      <w:pPr>
        <w:pStyle w:val="NormalHanging12a"/>
        <w:rPr>
          <w:szCs w:val="24"/>
        </w:rPr>
      </w:pPr>
      <w:r w:rsidRPr="00B231E7">
        <w:t>–</w:t>
      </w:r>
      <w:r w:rsidRPr="00B231E7">
        <w:tab/>
      </w:r>
      <w:r w:rsidRPr="00A80618">
        <w:rPr>
          <w:szCs w:val="24"/>
          <w:shd w:val="clear" w:color="auto" w:fill="FFFFFF"/>
        </w:rPr>
        <w:t xml:space="preserve">uzimajući u obzir da nisu uloženi nikakvi prigovori tijekom razdoblja utvrđenog u članku 114. stavku 6. trećoj i četvrtoj alineji Poslovnika, koje je isteklo </w:t>
      </w:r>
      <w:r>
        <w:rPr>
          <w:szCs w:val="24"/>
          <w:shd w:val="clear" w:color="auto" w:fill="FFFFFF"/>
        </w:rPr>
        <w:t>21</w:t>
      </w:r>
      <w:r w:rsidRPr="00A80618">
        <w:rPr>
          <w:szCs w:val="24"/>
          <w:shd w:val="clear" w:color="auto" w:fill="FFFFFF"/>
        </w:rPr>
        <w:t>. l</w:t>
      </w:r>
      <w:r>
        <w:rPr>
          <w:szCs w:val="24"/>
          <w:shd w:val="clear" w:color="auto" w:fill="FFFFFF"/>
        </w:rPr>
        <w:t>istopada</w:t>
      </w:r>
      <w:r w:rsidRPr="00A80618">
        <w:rPr>
          <w:szCs w:val="24"/>
          <w:shd w:val="clear" w:color="auto" w:fill="FFFFFF"/>
        </w:rPr>
        <w:t xml:space="preserve"> 2025</w:t>
      </w:r>
      <w:r>
        <w:rPr>
          <w:szCs w:val="24"/>
          <w:shd w:val="clear" w:color="auto" w:fill="FFFFFF"/>
        </w:rPr>
        <w:t>.</w:t>
      </w:r>
      <w:r w:rsidRPr="00A80618">
        <w:rPr>
          <w:szCs w:val="24"/>
          <w:shd w:val="clear" w:color="auto" w:fill="FFFFFF"/>
        </w:rPr>
        <w:t>,</w:t>
      </w:r>
    </w:p>
    <w:p w14:paraId="544EE694" w14:textId="77777777" w:rsidR="009D2513" w:rsidRPr="00B231E7" w:rsidRDefault="009D2513" w:rsidP="009D2513">
      <w:pPr>
        <w:pStyle w:val="NormalHanging12a"/>
      </w:pPr>
      <w:r w:rsidRPr="00B231E7">
        <w:lastRenderedPageBreak/>
        <w:t>A.</w:t>
      </w:r>
      <w:r w:rsidRPr="00B231E7">
        <w:tab/>
        <w:t>budući da je, kako bi se državama članicama omogućilo da provedu smisleno reprogramiranje u kontekstu preispitivanja u sredini programskog razdoblja i usmjere sredstva na nove strateške prioritete Unije utvrđene u Uredbi (EU) 2021/1060, Komisija 4. travnja 2025. podnijela zahtjev za primjenu hitnog postupka u skladu s člankom 170. Poslovnika Europskog parlamenta na svoj Prijedlog uredbe o izmjeni uredaba (EU) 2021/1058 i (EU) 2021/1056 u pogledu posebnih mjera za svladavanje strateških izazova u kontekstu preispitivanja u sredini programskog razdoblja</w:t>
      </w:r>
      <w:r w:rsidRPr="00B231E7">
        <w:rPr>
          <w:vertAlign w:val="superscript"/>
        </w:rPr>
        <w:footnoteReference w:id="2"/>
      </w:r>
      <w:r w:rsidRPr="00B231E7">
        <w:t>; budući da je Komisija taj prijedlog predstavila na sjednici Odbora za regionalni razvoj održanoj 9. travnja 2025.;</w:t>
      </w:r>
    </w:p>
    <w:p w14:paraId="71F0942E" w14:textId="77777777" w:rsidR="009D2513" w:rsidRPr="00B231E7" w:rsidRDefault="009D2513" w:rsidP="009D2513">
      <w:pPr>
        <w:pStyle w:val="NormalHanging12a"/>
      </w:pPr>
      <w:r w:rsidRPr="00B231E7">
        <w:t>B.</w:t>
      </w:r>
      <w:r w:rsidRPr="00B231E7">
        <w:tab/>
        <w:t>budući da je Odbor za regionalni razvoj na svojoj sjednici održanoj 5. svibnja 2025. odlučio podržati zahtjev za primjenu hitnog postupka u skladu s člankom 170. stavkom 5. Poslovnika, što je dovelo do donošenja Uredbe (EU) 2025/1914 Europskog parlamenta i Vijeća</w:t>
      </w:r>
      <w:r w:rsidRPr="00B231E7">
        <w:rPr>
          <w:vertAlign w:val="superscript"/>
        </w:rPr>
        <w:footnoteReference w:id="3"/>
      </w:r>
      <w:r w:rsidRPr="00B231E7">
        <w:t>;</w:t>
      </w:r>
    </w:p>
    <w:p w14:paraId="35718F70" w14:textId="53C6209D" w:rsidR="009D2513" w:rsidRPr="00B231E7" w:rsidRDefault="009D2513" w:rsidP="009D2513">
      <w:pPr>
        <w:pStyle w:val="NormalHanging12a"/>
      </w:pPr>
      <w:r w:rsidRPr="00B231E7">
        <w:t>C.</w:t>
      </w:r>
      <w:r w:rsidRPr="00B231E7">
        <w:tab/>
        <w:t>budući da je Delegirana uredba Komisije potrebna kako bi se osigurala usklađenost i dosljednost između Uredbe (EU) 2021/1060 i uredaba za pojedine fondove (uredbe o EFRR-u/Kohezijskom fondu, ESF-u plus i FPT-u), kako bi se osiguralo da se izmijenjeni i novouvedeni specifični ciljevi na temelju Uredbe (EU) 2025/1914 mogu ostvariti dodavanjem odgovarajućih područja intervencije u Prilog I. Uredbi (EU) 2021/1060 te kako bi se omogućila njihova primjena u provedbi programa i izvješćivanju;</w:t>
      </w:r>
    </w:p>
    <w:p w14:paraId="609896B9" w14:textId="77777777" w:rsidR="009D2513" w:rsidRPr="00B231E7" w:rsidRDefault="009D2513" w:rsidP="009D2513">
      <w:pPr>
        <w:pStyle w:val="NormalHanging12a"/>
      </w:pPr>
      <w:r w:rsidRPr="00B231E7">
        <w:t>1.</w:t>
      </w:r>
      <w:r w:rsidRPr="00B231E7">
        <w:tab/>
        <w:t>izjavljuje da ne ulaže prigovor na Delegiranu uredbu;</w:t>
      </w:r>
    </w:p>
    <w:p w14:paraId="15B1CEA6" w14:textId="4595E28B" w:rsidR="00E365E1" w:rsidRPr="00B231E7" w:rsidRDefault="009D2513" w:rsidP="00B231E7">
      <w:pPr>
        <w:ind w:left="567" w:hanging="567"/>
        <w:rPr>
          <w:lang w:eastAsia="fr-FR"/>
        </w:rPr>
      </w:pPr>
      <w:r w:rsidRPr="00B231E7">
        <w:t>2.</w:t>
      </w:r>
      <w:r w:rsidRPr="00B231E7">
        <w:tab/>
        <w:t>nalaže svojoj predsjednici da ovu Odluku proslijedi Vijeću i Komisiji.</w:t>
      </w:r>
    </w:p>
    <w:sectPr w:rsidR="00E365E1" w:rsidRPr="00B231E7" w:rsidSect="00BF11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20DE4E" w14:textId="77777777" w:rsidR="00CB2052" w:rsidRPr="00BF1107" w:rsidRDefault="00CB2052">
      <w:r w:rsidRPr="00BF1107">
        <w:separator/>
      </w:r>
    </w:p>
  </w:endnote>
  <w:endnote w:type="continuationSeparator" w:id="0">
    <w:p w14:paraId="35C732B7" w14:textId="77777777" w:rsidR="00CB2052" w:rsidRPr="00BF1107" w:rsidRDefault="00CB2052">
      <w:r w:rsidRPr="00BF11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23A3D" w14:textId="77777777" w:rsidR="00064002" w:rsidRPr="00BF11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784A" w14:textId="77777777" w:rsidR="00064002" w:rsidRPr="00BF11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B6712" w14:textId="77777777" w:rsidR="00064002" w:rsidRPr="00BF11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C22E2" w14:textId="77777777" w:rsidR="00CB2052" w:rsidRPr="00BF1107" w:rsidRDefault="00CB2052">
      <w:r w:rsidRPr="00BF1107">
        <w:separator/>
      </w:r>
    </w:p>
  </w:footnote>
  <w:footnote w:type="continuationSeparator" w:id="0">
    <w:p w14:paraId="3F25EE88" w14:textId="77777777" w:rsidR="00CB2052" w:rsidRPr="00BF1107" w:rsidRDefault="00CB2052">
      <w:r w:rsidRPr="00BF1107">
        <w:continuationSeparator/>
      </w:r>
    </w:p>
  </w:footnote>
  <w:footnote w:id="1">
    <w:p w14:paraId="6B263D1E" w14:textId="6172EA49" w:rsidR="009D2513" w:rsidRPr="00BF1107" w:rsidRDefault="009D2513" w:rsidP="00BF1107">
      <w:pPr>
        <w:pStyle w:val="FootnoteText"/>
        <w:ind w:left="567" w:hanging="567"/>
        <w:rPr>
          <w:sz w:val="24"/>
          <w:lang w:val="hr-HR"/>
        </w:rPr>
      </w:pPr>
      <w:r w:rsidRPr="00BF1107">
        <w:rPr>
          <w:rStyle w:val="FootnoteReference"/>
          <w:sz w:val="24"/>
          <w:lang w:val="hr-HR"/>
        </w:rPr>
        <w:footnoteRef/>
      </w:r>
      <w:r w:rsidR="00BF1107" w:rsidRPr="00BF1107">
        <w:rPr>
          <w:sz w:val="24"/>
          <w:lang w:val="hr-HR"/>
        </w:rPr>
        <w:t xml:space="preserve"> </w:t>
      </w:r>
      <w:r w:rsidR="00BF1107" w:rsidRPr="00BF1107">
        <w:rPr>
          <w:sz w:val="24"/>
          <w:lang w:val="hr-HR"/>
        </w:rPr>
        <w:tab/>
      </w:r>
      <w:r w:rsidRPr="00BF1107">
        <w:rPr>
          <w:sz w:val="24"/>
          <w:lang w:val="hr-HR"/>
        </w:rPr>
        <w:t xml:space="preserve">SL L 231, 30.6.2021., str. 159., ELI: </w:t>
      </w:r>
      <w:hyperlink r:id="rId1" w:history="1">
        <w:r w:rsidRPr="00B231E7">
          <w:rPr>
            <w:rStyle w:val="Hyperlink"/>
            <w:sz w:val="24"/>
            <w:lang w:val="hr-HR"/>
          </w:rPr>
          <w:t>http://data.europa.eu/eli/reg/2021/1060/oj</w:t>
        </w:r>
      </w:hyperlink>
      <w:r w:rsidR="00B231E7">
        <w:rPr>
          <w:sz w:val="24"/>
          <w:lang w:val="hr-HR"/>
        </w:rPr>
        <w:t>.</w:t>
      </w:r>
    </w:p>
  </w:footnote>
  <w:footnote w:id="2">
    <w:p w14:paraId="3503A27B" w14:textId="41800B83" w:rsidR="009D2513" w:rsidRPr="00BF1107" w:rsidRDefault="009D2513" w:rsidP="00BF1107">
      <w:pPr>
        <w:pStyle w:val="FootnoteText"/>
        <w:ind w:left="567" w:hanging="567"/>
        <w:rPr>
          <w:sz w:val="24"/>
          <w:lang w:val="hr-HR"/>
        </w:rPr>
      </w:pPr>
      <w:r w:rsidRPr="00BF1107">
        <w:rPr>
          <w:rStyle w:val="FootnoteReference"/>
          <w:sz w:val="24"/>
          <w:lang w:val="hr-HR"/>
        </w:rPr>
        <w:footnoteRef/>
      </w:r>
      <w:r w:rsidR="00BF1107" w:rsidRPr="00BF1107">
        <w:rPr>
          <w:sz w:val="24"/>
          <w:lang w:val="hr-HR"/>
        </w:rPr>
        <w:t xml:space="preserve"> </w:t>
      </w:r>
      <w:r w:rsidR="00BF1107" w:rsidRPr="00BF1107">
        <w:rPr>
          <w:sz w:val="24"/>
          <w:lang w:val="hr-HR"/>
        </w:rPr>
        <w:tab/>
      </w:r>
      <w:r w:rsidRPr="00BF1107">
        <w:rPr>
          <w:sz w:val="24"/>
          <w:lang w:val="hr-HR"/>
        </w:rPr>
        <w:t>COM(2025</w:t>
      </w:r>
      <w:r w:rsidR="002303CF">
        <w:rPr>
          <w:sz w:val="24"/>
          <w:lang w:val="hr-HR"/>
        </w:rPr>
        <w:t>)0</w:t>
      </w:r>
      <w:r w:rsidRPr="00BF1107">
        <w:rPr>
          <w:sz w:val="24"/>
          <w:lang w:val="hr-HR"/>
        </w:rPr>
        <w:t>123).</w:t>
      </w:r>
    </w:p>
  </w:footnote>
  <w:footnote w:id="3">
    <w:p w14:paraId="677D28D1" w14:textId="45DEB62D" w:rsidR="009D2513" w:rsidRPr="00BF1107" w:rsidRDefault="009D2513" w:rsidP="00BF1107">
      <w:pPr>
        <w:pStyle w:val="FootnoteText"/>
        <w:ind w:left="567" w:hanging="567"/>
        <w:rPr>
          <w:sz w:val="24"/>
          <w:lang w:val="hr-HR"/>
        </w:rPr>
      </w:pPr>
      <w:r w:rsidRPr="00BF1107">
        <w:rPr>
          <w:rStyle w:val="FootnoteReference"/>
          <w:sz w:val="24"/>
          <w:lang w:val="hr-HR"/>
        </w:rPr>
        <w:footnoteRef/>
      </w:r>
      <w:r w:rsidR="00BF1107" w:rsidRPr="00BF1107">
        <w:rPr>
          <w:sz w:val="24"/>
          <w:lang w:val="hr-HR"/>
        </w:rPr>
        <w:t xml:space="preserve"> </w:t>
      </w:r>
      <w:r w:rsidR="00BF1107" w:rsidRPr="00BF1107">
        <w:rPr>
          <w:sz w:val="24"/>
          <w:lang w:val="hr-HR"/>
        </w:rPr>
        <w:tab/>
      </w:r>
      <w:r w:rsidRPr="00BF1107">
        <w:rPr>
          <w:sz w:val="24"/>
          <w:lang w:val="hr-HR"/>
        </w:rPr>
        <w:t xml:space="preserve">Uredba (EU) 2025/1914 Europskog parlamenta i Vijeća od 18. rujna 2025. o izmjeni uredaba (EU) 2021/1058 i (EU) 2021/1056 u pogledu posebnih mjera za svladavanje strateških izazova u kontekstu preispitivanja u sredini programskog razdoblja (SL L, 2025/1914, 19.9.2025., ELI: </w:t>
      </w:r>
      <w:hyperlink r:id="rId2" w:history="1">
        <w:r w:rsidRPr="00B231E7">
          <w:rPr>
            <w:rStyle w:val="Hyperlink"/>
            <w:sz w:val="24"/>
            <w:lang w:val="hr-HR"/>
          </w:rPr>
          <w:t>http://data.europa.eu/eli/reg/2025/1914/oj</w:t>
        </w:r>
      </w:hyperlink>
      <w:r w:rsidRPr="00BF1107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E8500" w14:textId="77777777" w:rsidR="00064002" w:rsidRPr="00BF11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2758" w14:textId="77777777" w:rsidR="00064002" w:rsidRPr="00BF11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6CC7D" w14:textId="77777777" w:rsidR="00064002" w:rsidRPr="00BF11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9866095">
    <w:abstractNumId w:val="9"/>
  </w:num>
  <w:num w:numId="2" w16cid:durableId="308554038">
    <w:abstractNumId w:val="9"/>
  </w:num>
  <w:num w:numId="3" w16cid:durableId="1620333113">
    <w:abstractNumId w:val="7"/>
  </w:num>
  <w:num w:numId="4" w16cid:durableId="1484467277">
    <w:abstractNumId w:val="7"/>
  </w:num>
  <w:num w:numId="5" w16cid:durableId="2095054874">
    <w:abstractNumId w:val="6"/>
  </w:num>
  <w:num w:numId="6" w16cid:durableId="1278877213">
    <w:abstractNumId w:val="6"/>
  </w:num>
  <w:num w:numId="7" w16cid:durableId="926305366">
    <w:abstractNumId w:val="5"/>
  </w:num>
  <w:num w:numId="8" w16cid:durableId="237985130">
    <w:abstractNumId w:val="5"/>
  </w:num>
  <w:num w:numId="9" w16cid:durableId="1932658904">
    <w:abstractNumId w:val="4"/>
  </w:num>
  <w:num w:numId="10" w16cid:durableId="597104951">
    <w:abstractNumId w:val="4"/>
  </w:num>
  <w:num w:numId="11" w16cid:durableId="453641576">
    <w:abstractNumId w:val="8"/>
  </w:num>
  <w:num w:numId="12" w16cid:durableId="1002701300">
    <w:abstractNumId w:val="8"/>
  </w:num>
  <w:num w:numId="13" w16cid:durableId="2019307217">
    <w:abstractNumId w:val="3"/>
  </w:num>
  <w:num w:numId="14" w16cid:durableId="77409351">
    <w:abstractNumId w:val="3"/>
  </w:num>
  <w:num w:numId="15" w16cid:durableId="111945893">
    <w:abstractNumId w:val="2"/>
  </w:num>
  <w:num w:numId="16" w16cid:durableId="1507939159">
    <w:abstractNumId w:val="2"/>
  </w:num>
  <w:num w:numId="17" w16cid:durableId="993029009">
    <w:abstractNumId w:val="1"/>
  </w:num>
  <w:num w:numId="18" w16cid:durableId="506407788">
    <w:abstractNumId w:val="1"/>
  </w:num>
  <w:num w:numId="19" w16cid:durableId="1346319786">
    <w:abstractNumId w:val="0"/>
  </w:num>
  <w:num w:numId="20" w16cid:durableId="1215045380">
    <w:abstractNumId w:val="0"/>
  </w:num>
  <w:num w:numId="21" w16cid:durableId="461534137">
    <w:abstractNumId w:val="9"/>
  </w:num>
  <w:num w:numId="22" w16cid:durableId="816074551">
    <w:abstractNumId w:val="7"/>
  </w:num>
  <w:num w:numId="23" w16cid:durableId="756442069">
    <w:abstractNumId w:val="6"/>
  </w:num>
  <w:num w:numId="24" w16cid:durableId="1650016056">
    <w:abstractNumId w:val="5"/>
  </w:num>
  <w:num w:numId="25" w16cid:durableId="162549951">
    <w:abstractNumId w:val="4"/>
  </w:num>
  <w:num w:numId="26" w16cid:durableId="556362023">
    <w:abstractNumId w:val="8"/>
  </w:num>
  <w:num w:numId="27" w16cid:durableId="2112890241">
    <w:abstractNumId w:val="3"/>
  </w:num>
  <w:num w:numId="28" w16cid:durableId="1180701521">
    <w:abstractNumId w:val="2"/>
  </w:num>
  <w:num w:numId="29" w16cid:durableId="1263488818">
    <w:abstractNumId w:val="1"/>
  </w:num>
  <w:num w:numId="30" w16cid:durableId="1385564613">
    <w:abstractNumId w:val="0"/>
  </w:num>
  <w:num w:numId="31" w16cid:durableId="2088576177">
    <w:abstractNumId w:val="9"/>
  </w:num>
  <w:num w:numId="32" w16cid:durableId="1604025768">
    <w:abstractNumId w:val="7"/>
  </w:num>
  <w:num w:numId="33" w16cid:durableId="2021156953">
    <w:abstractNumId w:val="6"/>
  </w:num>
  <w:num w:numId="34" w16cid:durableId="634531440">
    <w:abstractNumId w:val="5"/>
  </w:num>
  <w:num w:numId="35" w16cid:durableId="425806445">
    <w:abstractNumId w:val="4"/>
  </w:num>
  <w:num w:numId="36" w16cid:durableId="252129796">
    <w:abstractNumId w:val="8"/>
  </w:num>
  <w:num w:numId="37" w16cid:durableId="385225651">
    <w:abstractNumId w:val="3"/>
  </w:num>
  <w:num w:numId="38" w16cid:durableId="1628245026">
    <w:abstractNumId w:val="2"/>
  </w:num>
  <w:num w:numId="39" w16cid:durableId="421226914">
    <w:abstractNumId w:val="1"/>
  </w:num>
  <w:num w:numId="40" w16cid:durableId="2099791397">
    <w:abstractNumId w:val="0"/>
  </w:num>
  <w:num w:numId="41" w16cid:durableId="501162408">
    <w:abstractNumId w:val="10"/>
  </w:num>
  <w:num w:numId="42" w16cid:durableId="1111629909">
    <w:abstractNumId w:val="10"/>
  </w:num>
  <w:num w:numId="43" w16cid:durableId="85149408">
    <w:abstractNumId w:val="10"/>
  </w:num>
  <w:num w:numId="44" w16cid:durableId="4736473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HR"/>
    <w:docVar w:name="dvnumam" w:val="0"/>
    <w:docVar w:name="dvpe" w:val="778.177"/>
    <w:docVar w:name="dvtitre" w:val="Odluka Europskog parlamenta od .... 2025. o neulaganju prigovora na Delegiranu uredbu Komisije od 22. rujna 2025. o izmjeni Priloga I. Uredbi (EU) 2021/1060 Europskog parlamenta i Vijeća u pogledu nomenklature za dimenzije i kodove za vrste intervencija za EFRR, ESF+, Kohezijski fond i FPT _x000d__x000a_(C(2025)06376 – 2025/2888(DEA))"/>
  </w:docVars>
  <w:rsids>
    <w:rsidRoot w:val="00CB205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03CF"/>
    <w:rsid w:val="002767FF"/>
    <w:rsid w:val="002B18FE"/>
    <w:rsid w:val="002B5493"/>
    <w:rsid w:val="00343214"/>
    <w:rsid w:val="00361C00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4E5676"/>
    <w:rsid w:val="0050519A"/>
    <w:rsid w:val="005072A1"/>
    <w:rsid w:val="00514517"/>
    <w:rsid w:val="00545827"/>
    <w:rsid w:val="00560270"/>
    <w:rsid w:val="005C2568"/>
    <w:rsid w:val="005F1B17"/>
    <w:rsid w:val="006037C0"/>
    <w:rsid w:val="00661F87"/>
    <w:rsid w:val="006631B6"/>
    <w:rsid w:val="006742D0"/>
    <w:rsid w:val="00680577"/>
    <w:rsid w:val="006B1E0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513"/>
    <w:rsid w:val="00A1687D"/>
    <w:rsid w:val="00A43E52"/>
    <w:rsid w:val="00A4678D"/>
    <w:rsid w:val="00A778C7"/>
    <w:rsid w:val="00A80618"/>
    <w:rsid w:val="00AB441E"/>
    <w:rsid w:val="00AB6293"/>
    <w:rsid w:val="00AB64B7"/>
    <w:rsid w:val="00AE0928"/>
    <w:rsid w:val="00AF3B82"/>
    <w:rsid w:val="00B12E95"/>
    <w:rsid w:val="00B22876"/>
    <w:rsid w:val="00B231E7"/>
    <w:rsid w:val="00B558F0"/>
    <w:rsid w:val="00BD48FE"/>
    <w:rsid w:val="00BD7BD8"/>
    <w:rsid w:val="00BE6ADC"/>
    <w:rsid w:val="00BF1107"/>
    <w:rsid w:val="00C05BFE"/>
    <w:rsid w:val="00C23CD4"/>
    <w:rsid w:val="00C61C0C"/>
    <w:rsid w:val="00C941CB"/>
    <w:rsid w:val="00CB2052"/>
    <w:rsid w:val="00CC2357"/>
    <w:rsid w:val="00CF071A"/>
    <w:rsid w:val="00D058B8"/>
    <w:rsid w:val="00D56C11"/>
    <w:rsid w:val="00D834A0"/>
    <w:rsid w:val="00D872DF"/>
    <w:rsid w:val="00D91E21"/>
    <w:rsid w:val="00DA7FCD"/>
    <w:rsid w:val="00E2443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615"/>
    <w:rsid w:val="00F2675B"/>
    <w:rsid w:val="00F4744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4FCAD"/>
  <w15:chartTrackingRefBased/>
  <w15:docId w15:val="{CF8ED3AB-3062-40B3-8804-04B38898B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2513"/>
    <w:pPr>
      <w:spacing w:before="480" w:after="240"/>
    </w:pPr>
  </w:style>
  <w:style w:type="paragraph" w:customStyle="1" w:styleId="NormalHanging12a">
    <w:name w:val="NormalHanging12a"/>
    <w:basedOn w:val="Normal"/>
    <w:rsid w:val="009D2513"/>
    <w:pPr>
      <w:spacing w:after="240"/>
      <w:ind w:left="567" w:hanging="567"/>
    </w:pPr>
  </w:style>
  <w:style w:type="character" w:styleId="Hyperlink">
    <w:name w:val="Hyperlink"/>
    <w:basedOn w:val="DefaultParagraphFont"/>
    <w:rsid w:val="00B231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31E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2443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ILLY_D</cp:lastModifiedBy>
  <cp:revision>3</cp:revision>
  <cp:lastPrinted>2004-11-19T15:42:00Z</cp:lastPrinted>
  <dcterms:created xsi:type="dcterms:W3CDTF">2025-10-23T08:00:00Z</dcterms:created>
  <dcterms:modified xsi:type="dcterms:W3CDTF">2026-01-28T11:56:00Z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P10_TA(2025)0243_</vt:lpwstr>
  </property>
  <property fmtid="{D5CDD505-2E9C-101B-9397-08002B2CF9AE}" pid="4" name="&lt;Type&gt;">
    <vt:lpwstr>RR</vt:lpwstr>
  </property>
</Properties>
</file>