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6F5A" w14:paraId="47F620A2" w14:textId="77777777" w:rsidTr="0010095E">
        <w:trPr>
          <w:trHeight w:hRule="exact" w:val="1418"/>
        </w:trPr>
        <w:tc>
          <w:tcPr>
            <w:tcW w:w="6804" w:type="dxa"/>
            <w:shd w:val="clear" w:color="auto" w:fill="auto"/>
            <w:vAlign w:val="center"/>
          </w:tcPr>
          <w:p w14:paraId="5DEAA268" w14:textId="3F7A876E" w:rsidR="00751A4A" w:rsidRPr="002F6F5A" w:rsidRDefault="009C666E" w:rsidP="0010095E">
            <w:pPr>
              <w:pStyle w:val="EPName"/>
            </w:pPr>
            <w:r w:rsidRPr="002F6F5A">
              <w:t>Parlamento europeo</w:t>
            </w:r>
          </w:p>
          <w:p w14:paraId="0D654640" w14:textId="77777777" w:rsidR="00751A4A" w:rsidRPr="002F6F5A" w:rsidRDefault="005F1B17" w:rsidP="005F1B17">
            <w:pPr>
              <w:pStyle w:val="EPTerm"/>
              <w:rPr>
                <w:rStyle w:val="HideTWBExt"/>
                <w:noProof w:val="0"/>
                <w:vanish w:val="0"/>
                <w:color w:val="auto"/>
              </w:rPr>
            </w:pPr>
            <w:r w:rsidRPr="002F6F5A">
              <w:t>2024</w:t>
            </w:r>
            <w:r w:rsidR="00817416" w:rsidRPr="002F6F5A">
              <w:t>-202</w:t>
            </w:r>
            <w:r w:rsidRPr="002F6F5A">
              <w:t>9</w:t>
            </w:r>
          </w:p>
        </w:tc>
        <w:tc>
          <w:tcPr>
            <w:tcW w:w="2268" w:type="dxa"/>
            <w:shd w:val="clear" w:color="auto" w:fill="auto"/>
          </w:tcPr>
          <w:p w14:paraId="0144D042" w14:textId="77777777" w:rsidR="00751A4A" w:rsidRPr="002F6F5A" w:rsidRDefault="00187494" w:rsidP="0010095E">
            <w:pPr>
              <w:pStyle w:val="EPLogo"/>
            </w:pPr>
            <w:r w:rsidRPr="002F6F5A">
              <w:rPr>
                <w:noProof/>
                <w:lang w:eastAsia="ja-JP"/>
              </w:rPr>
              <w:drawing>
                <wp:inline distT="0" distB="0" distL="0" distR="0" wp14:anchorId="66E8C1A1" wp14:editId="0A5939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4ECA95" w14:textId="77777777" w:rsidR="00D058B8" w:rsidRPr="002F6F5A" w:rsidRDefault="00D058B8" w:rsidP="004C5D52">
      <w:pPr>
        <w:pStyle w:val="LineTop"/>
      </w:pPr>
    </w:p>
    <w:p w14:paraId="11BE925E" w14:textId="543996B0" w:rsidR="00680577" w:rsidRPr="002F6F5A" w:rsidRDefault="009C666E" w:rsidP="00680577">
      <w:pPr>
        <w:pStyle w:val="EPBodyTA1"/>
      </w:pPr>
      <w:r w:rsidRPr="002F6F5A">
        <w:t>TESTI APPROVATI</w:t>
      </w:r>
    </w:p>
    <w:p w14:paraId="5701EAA0" w14:textId="77777777" w:rsidR="00D058B8" w:rsidRPr="002F6F5A" w:rsidRDefault="00D058B8" w:rsidP="00D058B8">
      <w:pPr>
        <w:pStyle w:val="LineBottom"/>
      </w:pPr>
    </w:p>
    <w:p w14:paraId="5DBF42F0" w14:textId="07A0BDC2" w:rsidR="009C666E" w:rsidRPr="002F6F5A" w:rsidRDefault="009C666E" w:rsidP="009C666E">
      <w:pPr>
        <w:pStyle w:val="ATHeading1"/>
      </w:pPr>
      <w:bookmarkStart w:id="0" w:name="TANumber"/>
      <w:r w:rsidRPr="002F6F5A">
        <w:t>P10_TA(2025)0</w:t>
      </w:r>
      <w:bookmarkEnd w:id="0"/>
      <w:r w:rsidR="002F6F5A" w:rsidRPr="002F6F5A">
        <w:t>243</w:t>
      </w:r>
    </w:p>
    <w:p w14:paraId="1FAB845B" w14:textId="74203D80" w:rsidR="009C666E" w:rsidRPr="002F6F5A" w:rsidRDefault="001E57FB" w:rsidP="009C666E">
      <w:pPr>
        <w:pStyle w:val="ATHeading2"/>
      </w:pPr>
      <w:r w:rsidRPr="002F6F5A">
        <w:t>Decisione di non sollevare obiezioni a un atto delegato: nomenclatura delle dimensioni e dei codici delle tipologie di intervento per il FESR, il FSE+, il Fondo di coesione e il JTF</w:t>
      </w:r>
    </w:p>
    <w:p w14:paraId="3CEEE5D5" w14:textId="77777777" w:rsidR="009C666E" w:rsidRPr="002F6F5A" w:rsidRDefault="009C666E" w:rsidP="009C666E">
      <w:pPr>
        <w:rPr>
          <w:i/>
          <w:vanish/>
        </w:rPr>
      </w:pPr>
      <w:r w:rsidRPr="002F6F5A">
        <w:rPr>
          <w:i/>
        </w:rPr>
        <w:fldChar w:fldCharType="begin"/>
      </w:r>
      <w:r w:rsidRPr="002F6F5A">
        <w:rPr>
          <w:i/>
        </w:rPr>
        <w:instrText xml:space="preserve"> TC"(</w:instrText>
      </w:r>
      <w:bookmarkStart w:id="1" w:name="DocNumber"/>
      <w:r w:rsidRPr="002F6F5A">
        <w:rPr>
          <w:i/>
        </w:rPr>
        <w:instrText>B10-0460/2025</w:instrText>
      </w:r>
      <w:bookmarkEnd w:id="1"/>
      <w:r w:rsidRPr="002F6F5A">
        <w:rPr>
          <w:i/>
        </w:rPr>
        <w:instrText xml:space="preserve">)"\l3 \n&gt; \* MERGEFORMAT </w:instrText>
      </w:r>
      <w:r w:rsidRPr="002F6F5A">
        <w:rPr>
          <w:i/>
        </w:rPr>
        <w:fldChar w:fldCharType="end"/>
      </w:r>
    </w:p>
    <w:p w14:paraId="12D0027C" w14:textId="77777777" w:rsidR="009C666E" w:rsidRPr="002F6F5A" w:rsidRDefault="009C666E" w:rsidP="009C666E">
      <w:pPr>
        <w:rPr>
          <w:vanish/>
        </w:rPr>
      </w:pPr>
      <w:bookmarkStart w:id="2" w:name="PE"/>
      <w:r w:rsidRPr="002F6F5A">
        <w:rPr>
          <w:vanish/>
        </w:rPr>
        <w:t>PE778.177</w:t>
      </w:r>
      <w:bookmarkEnd w:id="2"/>
    </w:p>
    <w:p w14:paraId="731A1B40" w14:textId="57BE1F4C" w:rsidR="009C666E" w:rsidRPr="002F6F5A" w:rsidRDefault="009C666E" w:rsidP="001E57FB">
      <w:pPr>
        <w:pStyle w:val="ATHeading3"/>
      </w:pPr>
      <w:bookmarkStart w:id="3" w:name="Sujet"/>
      <w:r w:rsidRPr="002F6F5A">
        <w:t xml:space="preserve">Decisione del Parlamento europeo di non sollevare obiezioni al regolamento delegato della Commissione, del 22 settembre 2025, che modifica l'allegato I del regolamento (UE) 2021/1060 del Parlamento europeo e del Consiglio per quanto riguarda la nomenclatura delle dimensioni e dei codici delle tipologie di intervento per il FESR, il FSE+, il Fondo di coesione e il JTF </w:t>
      </w:r>
      <w:bookmarkStart w:id="4" w:name="References"/>
      <w:r w:rsidRPr="002F6F5A">
        <w:t>(C(2025)06376 – 2025/2888(DEA))</w:t>
      </w:r>
      <w:bookmarkEnd w:id="4"/>
    </w:p>
    <w:p w14:paraId="67E581B4" w14:textId="77777777" w:rsidR="00F114F2" w:rsidRPr="002F6F5A" w:rsidRDefault="00F114F2" w:rsidP="00F114F2">
      <w:pPr>
        <w:pStyle w:val="EPComma"/>
        <w:rPr>
          <w:i/>
        </w:rPr>
      </w:pPr>
      <w:bookmarkStart w:id="5" w:name="TextBodyBegin"/>
      <w:bookmarkEnd w:id="3"/>
      <w:bookmarkEnd w:id="5"/>
      <w:r w:rsidRPr="002F6F5A">
        <w:rPr>
          <w:i/>
        </w:rPr>
        <w:t>Il Parlamento europeo,</w:t>
      </w:r>
    </w:p>
    <w:p w14:paraId="6AADB1E0" w14:textId="4FA6759A" w:rsidR="00F114F2" w:rsidRPr="002F6F5A" w:rsidRDefault="00F114F2" w:rsidP="00F114F2">
      <w:pPr>
        <w:pStyle w:val="NormalHanging12a"/>
      </w:pPr>
      <w:r w:rsidRPr="002F6F5A">
        <w:t>–</w:t>
      </w:r>
      <w:r w:rsidRPr="002F6F5A">
        <w:tab/>
        <w:t>visto il regolamento delegato della Commissione C(2025)06376,</w:t>
      </w:r>
    </w:p>
    <w:p w14:paraId="248DD643" w14:textId="77777777" w:rsidR="00F114F2" w:rsidRPr="002F6F5A" w:rsidRDefault="00F114F2" w:rsidP="00F114F2">
      <w:pPr>
        <w:pStyle w:val="NormalHanging12a"/>
      </w:pPr>
      <w:r w:rsidRPr="002F6F5A">
        <w:t>–</w:t>
      </w:r>
      <w:r w:rsidRPr="002F6F5A">
        <w:tab/>
        <w:t>vista la lettera in data 22 settembre 2025 della Commissione con cui quest'ultima chiede al Parlamento di dichiarare che non solleverà obiezioni al regolamento delegato,</w:t>
      </w:r>
    </w:p>
    <w:p w14:paraId="706193CA" w14:textId="3FFA8377" w:rsidR="00F114F2" w:rsidRPr="002F6F5A" w:rsidRDefault="00F114F2" w:rsidP="00F114F2">
      <w:pPr>
        <w:pStyle w:val="NormalHanging12a"/>
      </w:pPr>
      <w:r w:rsidRPr="002F6F5A">
        <w:t>–</w:t>
      </w:r>
      <w:r w:rsidRPr="002F6F5A">
        <w:tab/>
        <w:t xml:space="preserve">vista la lettera in data </w:t>
      </w:r>
      <w:r w:rsidR="001E57FB" w:rsidRPr="002F6F5A">
        <w:t xml:space="preserve">14 ottobre 2025 </w:t>
      </w:r>
      <w:r w:rsidRPr="002F6F5A">
        <w:t>della commissione per lo sviluppo regionale al presidente della Conferenza dei presidenti di commissione,</w:t>
      </w:r>
    </w:p>
    <w:p w14:paraId="6A6FA936" w14:textId="77777777" w:rsidR="00F114F2" w:rsidRPr="002F6F5A" w:rsidRDefault="00F114F2" w:rsidP="00F114F2">
      <w:pPr>
        <w:pStyle w:val="NormalHanging12a"/>
      </w:pPr>
      <w:r w:rsidRPr="002F6F5A">
        <w:t>–</w:t>
      </w:r>
      <w:r w:rsidRPr="002F6F5A">
        <w:tab/>
        <w:t>visto l'articolo 290 del trattato sul funzionamento dell'Unione europea,</w:t>
      </w:r>
    </w:p>
    <w:p w14:paraId="58BB6E22" w14:textId="77777777" w:rsidR="00F114F2" w:rsidRPr="002F6F5A" w:rsidRDefault="00F114F2" w:rsidP="00F114F2">
      <w:pPr>
        <w:pStyle w:val="NormalHanging12a"/>
      </w:pPr>
      <w:r w:rsidRPr="002F6F5A">
        <w:t>–</w:t>
      </w:r>
      <w:r w:rsidRPr="002F6F5A">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2F6F5A">
        <w:rPr>
          <w:vertAlign w:val="superscript"/>
        </w:rPr>
        <w:footnoteReference w:id="1"/>
      </w:r>
      <w:r w:rsidRPr="002F6F5A">
        <w:t>, in particolare l'articolo 113 e l'articolo 114, paragrafo 6,</w:t>
      </w:r>
    </w:p>
    <w:p w14:paraId="297CEF4F" w14:textId="77777777" w:rsidR="00F114F2" w:rsidRPr="002F6F5A" w:rsidRDefault="00F114F2" w:rsidP="00F114F2">
      <w:pPr>
        <w:pStyle w:val="NormalHanging12a"/>
      </w:pPr>
      <w:r w:rsidRPr="002F6F5A">
        <w:t>–</w:t>
      </w:r>
      <w:r w:rsidRPr="002F6F5A">
        <w:tab/>
        <w:t>visto l'articolo 114, paragrafo 6, del suo regolamento,</w:t>
      </w:r>
    </w:p>
    <w:p w14:paraId="38F58530" w14:textId="77777777" w:rsidR="00F114F2" w:rsidRPr="002F6F5A" w:rsidRDefault="00F114F2" w:rsidP="00F114F2">
      <w:pPr>
        <w:pStyle w:val="NormalHanging12a"/>
      </w:pPr>
      <w:r w:rsidRPr="002F6F5A">
        <w:t>–</w:t>
      </w:r>
      <w:r w:rsidRPr="002F6F5A">
        <w:tab/>
        <w:t>vista la raccomandazione di decisione della commissione per lo sviluppo regionale,</w:t>
      </w:r>
    </w:p>
    <w:p w14:paraId="443E3137" w14:textId="0746CDD8" w:rsidR="00FC18A4" w:rsidRPr="002F6F5A" w:rsidRDefault="00FC18A4" w:rsidP="002F6F5A">
      <w:pPr>
        <w:pStyle w:val="NormalHanging12a"/>
        <w:widowControl/>
      </w:pPr>
      <w:r w:rsidRPr="002F6F5A">
        <w:lastRenderedPageBreak/>
        <w:t>–</w:t>
      </w:r>
      <w:r w:rsidRPr="002F6F5A">
        <w:tab/>
        <w:t>visto che non è stata sollevata alcuna obiezione nel termine previsto all'articolo 114, paragrafo 6, terzo e quarto trattino, del suo regolamento, che arrivava a scadenza il 21 ottobre 2025,</w:t>
      </w:r>
    </w:p>
    <w:p w14:paraId="3E0353F6" w14:textId="77777777" w:rsidR="00F114F2" w:rsidRPr="002F6F5A" w:rsidRDefault="00F114F2" w:rsidP="00F114F2">
      <w:pPr>
        <w:pStyle w:val="NormalHanging12a"/>
      </w:pPr>
      <w:r w:rsidRPr="002F6F5A">
        <w:t>A.</w:t>
      </w:r>
      <w:r w:rsidRPr="002F6F5A">
        <w:tab/>
        <w:t>considerando che, al fine di consentire agli Stati membri di effettuare una riprogrammazione significativa nel contesto del riesame intermedio e concentrare le risorse sulle nuove priorità strategiche dell'Unione di cui al regolamento (UE) 2021/1060, il 4 aprile 2025 la Commissione ha presentato una richiesta di applicazione della procedura d'urgenza a norma dell'articolo 170 del regolamento del Parlamento europeo alla sua proposta di regolamento che modifica i regolamenti (UE) 2021/1058 e (UE) 2021/1056 per quanto riguarda misure per affrontare le sfide strategiche nel contesto del riesame intermedio</w:t>
      </w:r>
      <w:r w:rsidRPr="002F6F5A">
        <w:rPr>
          <w:vertAlign w:val="superscript"/>
        </w:rPr>
        <w:footnoteReference w:id="2"/>
      </w:r>
      <w:r w:rsidRPr="002F6F5A">
        <w:t>; che il 9 aprile 2025 la Commissione ha presentato tale proposta alla riunione della commissione per lo sviluppo regionale;</w:t>
      </w:r>
    </w:p>
    <w:p w14:paraId="20B8CFD2" w14:textId="77777777" w:rsidR="00F114F2" w:rsidRPr="002F6F5A" w:rsidRDefault="00F114F2" w:rsidP="00F114F2">
      <w:pPr>
        <w:pStyle w:val="NormalHanging12a"/>
      </w:pPr>
      <w:r w:rsidRPr="002F6F5A">
        <w:t>B.</w:t>
      </w:r>
      <w:r w:rsidRPr="002F6F5A">
        <w:tab/>
        <w:t>considerando che, nella riunione del 5 maggio 2025, la commissione per lo sviluppo regionale ha deciso di sostenere la richiesta di applicazione di una procedura d'urgenza a norma dell'articolo 170, paragrafo 5, del suo regolamento, il che ha portato all'adozione del regolamento (UE) 2025/1914 del Parlamento europeo e del Consiglio</w:t>
      </w:r>
      <w:r w:rsidRPr="002F6F5A">
        <w:rPr>
          <w:vertAlign w:val="superscript"/>
        </w:rPr>
        <w:footnoteReference w:id="3"/>
      </w:r>
      <w:r w:rsidRPr="002F6F5A">
        <w:t>;</w:t>
      </w:r>
    </w:p>
    <w:p w14:paraId="6D0981C1" w14:textId="06B2780C" w:rsidR="00F114F2" w:rsidRPr="002F6F5A" w:rsidRDefault="00F114F2" w:rsidP="00F114F2">
      <w:pPr>
        <w:pStyle w:val="NormalHanging12a"/>
      </w:pPr>
      <w:r w:rsidRPr="002F6F5A">
        <w:t>C.</w:t>
      </w:r>
      <w:r w:rsidRPr="002F6F5A">
        <w:tab/>
        <w:t>considerando che il regolamento delegato della Commissione è necessario per garantire l'allineamento e la coerenza tra il regolamento (UE) 2021/1060 e i regolamenti specifici per fondo (regolamenti FESR/Fondo di coesione, FSE+ e JTF) al fine di garantire che i nuovi e modificati obiettivi specifici introdotti a norma del regolamento (UE) 2025/1914 possano essere attuati aggiungendo i corrispondenti settori di intervento nell'allegato I del regolamento (UE) 2021/1060 e di consentirne l'utilizzo nell'attuazione e nella rendicontazione dei programmi;</w:t>
      </w:r>
    </w:p>
    <w:p w14:paraId="20C3BA7B" w14:textId="77777777" w:rsidR="00F114F2" w:rsidRPr="002F6F5A" w:rsidRDefault="00F114F2" w:rsidP="00F114F2">
      <w:pPr>
        <w:pStyle w:val="NormalHanging12a"/>
      </w:pPr>
      <w:r w:rsidRPr="002F6F5A">
        <w:t>1.</w:t>
      </w:r>
      <w:r w:rsidRPr="002F6F5A">
        <w:tab/>
        <w:t>dichiara di non sollevare obiezioni al regolamento delegato;</w:t>
      </w:r>
    </w:p>
    <w:p w14:paraId="08A9FE9C" w14:textId="6EC2662D" w:rsidR="00E365E1" w:rsidRPr="002F6F5A" w:rsidRDefault="00F114F2" w:rsidP="001E57FB">
      <w:pPr>
        <w:pStyle w:val="NormalHanging12a"/>
        <w:rPr>
          <w:lang w:eastAsia="fr-FR"/>
        </w:rPr>
      </w:pPr>
      <w:r w:rsidRPr="002F6F5A">
        <w:t>2.</w:t>
      </w:r>
      <w:r w:rsidRPr="002F6F5A">
        <w:tab/>
        <w:t>incarica la sua Presidente di trasmettere la presente decisione al Consiglio e alla Commissione</w:t>
      </w:r>
    </w:p>
    <w:sectPr w:rsidR="00E365E1" w:rsidRPr="002F6F5A" w:rsidSect="00A619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156CF" w14:textId="77777777" w:rsidR="009C666E" w:rsidRPr="00A61988" w:rsidRDefault="009C666E">
      <w:r w:rsidRPr="00A61988">
        <w:separator/>
      </w:r>
    </w:p>
  </w:endnote>
  <w:endnote w:type="continuationSeparator" w:id="0">
    <w:p w14:paraId="5B9C06D9" w14:textId="77777777" w:rsidR="009C666E" w:rsidRPr="00A61988" w:rsidRDefault="009C666E">
      <w:r w:rsidRPr="00A619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1FAF" w14:textId="77777777" w:rsidR="00064002" w:rsidRPr="00A619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BF872" w14:textId="77777777" w:rsidR="00064002" w:rsidRPr="00A619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BCF86" w14:textId="77777777" w:rsidR="00064002" w:rsidRPr="00A619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FFB50" w14:textId="77777777" w:rsidR="009C666E" w:rsidRPr="00A61988" w:rsidRDefault="009C666E">
      <w:r w:rsidRPr="00A61988">
        <w:separator/>
      </w:r>
    </w:p>
  </w:footnote>
  <w:footnote w:type="continuationSeparator" w:id="0">
    <w:p w14:paraId="5637D2C0" w14:textId="77777777" w:rsidR="009C666E" w:rsidRPr="00A61988" w:rsidRDefault="009C666E">
      <w:r w:rsidRPr="00A61988">
        <w:continuationSeparator/>
      </w:r>
    </w:p>
  </w:footnote>
  <w:footnote w:id="1">
    <w:p w14:paraId="0A4AD3EE" w14:textId="411DA397" w:rsidR="00F114F2" w:rsidRPr="002F6F5A" w:rsidRDefault="00F114F2" w:rsidP="00A61988">
      <w:pPr>
        <w:pStyle w:val="FootnoteText"/>
        <w:ind w:left="567" w:hanging="567"/>
        <w:rPr>
          <w:sz w:val="24"/>
          <w:lang w:val="pt-PT"/>
        </w:rPr>
      </w:pPr>
      <w:r w:rsidRPr="002F6F5A">
        <w:rPr>
          <w:rStyle w:val="FootnoteReference"/>
          <w:sz w:val="24"/>
          <w:lang w:val="it-IT"/>
        </w:rPr>
        <w:footnoteRef/>
      </w:r>
      <w:r w:rsidR="00A61988" w:rsidRPr="002F6F5A">
        <w:rPr>
          <w:sz w:val="24"/>
          <w:lang w:val="pt-PT"/>
        </w:rPr>
        <w:t xml:space="preserve"> </w:t>
      </w:r>
      <w:r w:rsidR="00A61988" w:rsidRPr="002F6F5A">
        <w:rPr>
          <w:sz w:val="24"/>
          <w:lang w:val="pt-PT"/>
        </w:rPr>
        <w:tab/>
      </w:r>
      <w:r w:rsidRPr="002F6F5A">
        <w:rPr>
          <w:sz w:val="24"/>
          <w:lang w:val="pt-PT"/>
        </w:rPr>
        <w:t xml:space="preserve">GU L 231 </w:t>
      </w:r>
      <w:proofErr w:type="spellStart"/>
      <w:r w:rsidRPr="002F6F5A">
        <w:rPr>
          <w:sz w:val="24"/>
          <w:lang w:val="pt-PT"/>
        </w:rPr>
        <w:t>del</w:t>
      </w:r>
      <w:proofErr w:type="spellEnd"/>
      <w:r w:rsidRPr="002F6F5A">
        <w:rPr>
          <w:sz w:val="24"/>
          <w:lang w:val="pt-PT"/>
        </w:rPr>
        <w:t xml:space="preserve"> 30.6.2021, </w:t>
      </w:r>
      <w:proofErr w:type="spellStart"/>
      <w:r w:rsidRPr="002F6F5A">
        <w:rPr>
          <w:sz w:val="24"/>
          <w:lang w:val="pt-PT"/>
        </w:rPr>
        <w:t>pag</w:t>
      </w:r>
      <w:proofErr w:type="spellEnd"/>
      <w:r w:rsidRPr="002F6F5A">
        <w:rPr>
          <w:sz w:val="24"/>
          <w:lang w:val="pt-PT"/>
        </w:rPr>
        <w:t xml:space="preserve">. 159, ELI: </w:t>
      </w:r>
      <w:hyperlink r:id="rId1" w:history="1">
        <w:r w:rsidRPr="002F6F5A">
          <w:rPr>
            <w:rStyle w:val="Hyperlink"/>
            <w:sz w:val="24"/>
            <w:lang w:val="pt-PT"/>
          </w:rPr>
          <w:t>http://data.europa.eu/eli/reg/2021/1060/oj</w:t>
        </w:r>
      </w:hyperlink>
      <w:r w:rsidRPr="002F6F5A">
        <w:rPr>
          <w:sz w:val="24"/>
          <w:lang w:val="pt-PT"/>
        </w:rPr>
        <w:t>.</w:t>
      </w:r>
    </w:p>
  </w:footnote>
  <w:footnote w:id="2">
    <w:p w14:paraId="73B0FDF7" w14:textId="1A80C12B" w:rsidR="00F114F2" w:rsidRPr="00FD506C" w:rsidRDefault="00F114F2" w:rsidP="00A61988">
      <w:pPr>
        <w:pStyle w:val="FootnoteText"/>
        <w:ind w:left="567" w:hanging="567"/>
        <w:rPr>
          <w:sz w:val="24"/>
          <w:lang w:val="pt-PT"/>
        </w:rPr>
      </w:pPr>
      <w:r w:rsidRPr="002F6F5A">
        <w:rPr>
          <w:rStyle w:val="FootnoteReference"/>
          <w:sz w:val="24"/>
          <w:lang w:val="it-IT"/>
        </w:rPr>
        <w:footnoteRef/>
      </w:r>
      <w:r w:rsidR="00A61988" w:rsidRPr="002F6F5A">
        <w:rPr>
          <w:sz w:val="24"/>
          <w:lang w:val="pt-PT"/>
        </w:rPr>
        <w:t xml:space="preserve"> </w:t>
      </w:r>
      <w:r w:rsidR="00A61988" w:rsidRPr="002F6F5A">
        <w:rPr>
          <w:sz w:val="24"/>
          <w:lang w:val="pt-PT"/>
        </w:rPr>
        <w:tab/>
      </w:r>
      <w:r w:rsidRPr="002F6F5A">
        <w:rPr>
          <w:sz w:val="24"/>
          <w:lang w:val="pt-PT"/>
        </w:rPr>
        <w:t>COM(2025</w:t>
      </w:r>
      <w:r w:rsidR="00FD506C">
        <w:rPr>
          <w:sz w:val="24"/>
          <w:lang w:val="pt-PT"/>
        </w:rPr>
        <w:t>)0</w:t>
      </w:r>
      <w:r w:rsidRPr="002F6F5A">
        <w:rPr>
          <w:sz w:val="24"/>
          <w:lang w:val="pt-PT"/>
        </w:rPr>
        <w:t>123).</w:t>
      </w:r>
    </w:p>
  </w:footnote>
  <w:footnote w:id="3">
    <w:p w14:paraId="680BE8E2" w14:textId="75B8C073" w:rsidR="00F114F2" w:rsidRPr="00A61988" w:rsidRDefault="00F114F2" w:rsidP="00A61988">
      <w:pPr>
        <w:pStyle w:val="FootnoteText"/>
        <w:ind w:left="567" w:hanging="567"/>
        <w:rPr>
          <w:sz w:val="24"/>
          <w:lang w:val="it-IT"/>
        </w:rPr>
      </w:pPr>
      <w:r w:rsidRPr="002F6F5A">
        <w:rPr>
          <w:rStyle w:val="FootnoteReference"/>
          <w:sz w:val="24"/>
          <w:lang w:val="it-IT"/>
        </w:rPr>
        <w:footnoteRef/>
      </w:r>
      <w:r w:rsidR="00A61988" w:rsidRPr="002F6F5A">
        <w:rPr>
          <w:sz w:val="24"/>
          <w:lang w:val="it-IT"/>
        </w:rPr>
        <w:t xml:space="preserve"> </w:t>
      </w:r>
      <w:r w:rsidR="00A61988" w:rsidRPr="002F6F5A">
        <w:rPr>
          <w:sz w:val="24"/>
          <w:lang w:val="it-IT"/>
        </w:rPr>
        <w:tab/>
      </w:r>
      <w:r w:rsidRPr="002F6F5A">
        <w:rPr>
          <w:sz w:val="24"/>
          <w:lang w:val="it-IT"/>
        </w:rPr>
        <w:t xml:space="preserve">Regolamento (UE) 2025/1914 del Parlamento europeo e del Consiglio, del 18 settembre 2025, che modifica i regolamenti (UE) 2021/1058 e (UE) 2021/1056 per quanto riguarda misure specifiche per affrontare le sfide strategiche nel contesto del riesame intermedio (GU L, 2025/1914, 19.9.2025, ELI: </w:t>
      </w:r>
      <w:hyperlink r:id="rId2" w:history="1">
        <w:r w:rsidRPr="002F6F5A">
          <w:rPr>
            <w:rStyle w:val="Hyperlink"/>
            <w:sz w:val="24"/>
            <w:lang w:val="it-IT"/>
          </w:rPr>
          <w:t>http://data.europa.eu/eli/reg/2025/1914/oj</w:t>
        </w:r>
      </w:hyperlink>
      <w:r w:rsidRPr="002F6F5A">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D3920" w14:textId="77777777" w:rsidR="00064002" w:rsidRPr="00A619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D556" w14:textId="77777777" w:rsidR="00064002" w:rsidRPr="00A619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21405" w14:textId="77777777" w:rsidR="00064002" w:rsidRPr="00A619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4948783">
    <w:abstractNumId w:val="9"/>
  </w:num>
  <w:num w:numId="2" w16cid:durableId="1934821429">
    <w:abstractNumId w:val="9"/>
  </w:num>
  <w:num w:numId="3" w16cid:durableId="1095327911">
    <w:abstractNumId w:val="7"/>
  </w:num>
  <w:num w:numId="4" w16cid:durableId="1291596591">
    <w:abstractNumId w:val="7"/>
  </w:num>
  <w:num w:numId="5" w16cid:durableId="307636334">
    <w:abstractNumId w:val="6"/>
  </w:num>
  <w:num w:numId="6" w16cid:durableId="2000188099">
    <w:abstractNumId w:val="6"/>
  </w:num>
  <w:num w:numId="7" w16cid:durableId="1365325114">
    <w:abstractNumId w:val="5"/>
  </w:num>
  <w:num w:numId="8" w16cid:durableId="491222005">
    <w:abstractNumId w:val="5"/>
  </w:num>
  <w:num w:numId="9" w16cid:durableId="193883978">
    <w:abstractNumId w:val="4"/>
  </w:num>
  <w:num w:numId="10" w16cid:durableId="1612930810">
    <w:abstractNumId w:val="4"/>
  </w:num>
  <w:num w:numId="11" w16cid:durableId="687216794">
    <w:abstractNumId w:val="8"/>
  </w:num>
  <w:num w:numId="12" w16cid:durableId="1089080623">
    <w:abstractNumId w:val="8"/>
  </w:num>
  <w:num w:numId="13" w16cid:durableId="1883250002">
    <w:abstractNumId w:val="3"/>
  </w:num>
  <w:num w:numId="14" w16cid:durableId="1541359484">
    <w:abstractNumId w:val="3"/>
  </w:num>
  <w:num w:numId="15" w16cid:durableId="169293776">
    <w:abstractNumId w:val="2"/>
  </w:num>
  <w:num w:numId="16" w16cid:durableId="519317601">
    <w:abstractNumId w:val="2"/>
  </w:num>
  <w:num w:numId="17" w16cid:durableId="541137259">
    <w:abstractNumId w:val="1"/>
  </w:num>
  <w:num w:numId="18" w16cid:durableId="543639796">
    <w:abstractNumId w:val="1"/>
  </w:num>
  <w:num w:numId="19" w16cid:durableId="1199702977">
    <w:abstractNumId w:val="0"/>
  </w:num>
  <w:num w:numId="20" w16cid:durableId="1584412220">
    <w:abstractNumId w:val="0"/>
  </w:num>
  <w:num w:numId="21" w16cid:durableId="1537962577">
    <w:abstractNumId w:val="9"/>
  </w:num>
  <w:num w:numId="22" w16cid:durableId="87436051">
    <w:abstractNumId w:val="7"/>
  </w:num>
  <w:num w:numId="23" w16cid:durableId="123620013">
    <w:abstractNumId w:val="6"/>
  </w:num>
  <w:num w:numId="24" w16cid:durableId="982663456">
    <w:abstractNumId w:val="5"/>
  </w:num>
  <w:num w:numId="25" w16cid:durableId="73210347">
    <w:abstractNumId w:val="4"/>
  </w:num>
  <w:num w:numId="26" w16cid:durableId="1263606665">
    <w:abstractNumId w:val="8"/>
  </w:num>
  <w:num w:numId="27" w16cid:durableId="1484930592">
    <w:abstractNumId w:val="3"/>
  </w:num>
  <w:num w:numId="28" w16cid:durableId="1706641569">
    <w:abstractNumId w:val="2"/>
  </w:num>
  <w:num w:numId="29" w16cid:durableId="82840477">
    <w:abstractNumId w:val="1"/>
  </w:num>
  <w:num w:numId="30" w16cid:durableId="86730261">
    <w:abstractNumId w:val="0"/>
  </w:num>
  <w:num w:numId="31" w16cid:durableId="42827744">
    <w:abstractNumId w:val="9"/>
  </w:num>
  <w:num w:numId="32" w16cid:durableId="351802598">
    <w:abstractNumId w:val="7"/>
  </w:num>
  <w:num w:numId="33" w16cid:durableId="760371706">
    <w:abstractNumId w:val="6"/>
  </w:num>
  <w:num w:numId="34" w16cid:durableId="12264867">
    <w:abstractNumId w:val="5"/>
  </w:num>
  <w:num w:numId="35" w16cid:durableId="393505943">
    <w:abstractNumId w:val="4"/>
  </w:num>
  <w:num w:numId="36" w16cid:durableId="1190527130">
    <w:abstractNumId w:val="8"/>
  </w:num>
  <w:num w:numId="37" w16cid:durableId="1012343281">
    <w:abstractNumId w:val="3"/>
  </w:num>
  <w:num w:numId="38" w16cid:durableId="1866863923">
    <w:abstractNumId w:val="2"/>
  </w:num>
  <w:num w:numId="39" w16cid:durableId="1635256302">
    <w:abstractNumId w:val="1"/>
  </w:num>
  <w:num w:numId="40" w16cid:durableId="1432361329">
    <w:abstractNumId w:val="0"/>
  </w:num>
  <w:num w:numId="41" w16cid:durableId="2064596847">
    <w:abstractNumId w:val="10"/>
  </w:num>
  <w:num w:numId="42" w16cid:durableId="233508772">
    <w:abstractNumId w:val="10"/>
  </w:num>
  <w:num w:numId="43" w16cid:durableId="1525901452">
    <w:abstractNumId w:val="10"/>
  </w:num>
  <w:num w:numId="44" w16cid:durableId="156964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60/2025"/>
    <w:docVar w:name="dvlangue" w:val="IT"/>
    <w:docVar w:name="dvnumam" w:val="0"/>
    <w:docVar w:name="dvpe" w:val="778.177"/>
    <w:docVar w:name="dvtitre" w:val="Decisione del Parlamento europeo del ... ottobre 2025 di non sollevare obiezioni al regolamento delegato della Commissione, del 22 settembre 2025, che modifica l'allegato I del regolamento (UE) 2021/1060 del Parlamento europeo e del Consiglio per quanto riguarda la nomenclatura delle dimensioni e dei codici delle tipologie di intervento per il FESR, il FSE+, il Fondo di coesione e il JTF _x000d__x000a_(C(2025)06376 – 2025/2888(DEA))"/>
  </w:docVars>
  <w:rsids>
    <w:rsidRoot w:val="009C666E"/>
    <w:rsid w:val="00002272"/>
    <w:rsid w:val="00064002"/>
    <w:rsid w:val="000677B9"/>
    <w:rsid w:val="000831BA"/>
    <w:rsid w:val="000A42CC"/>
    <w:rsid w:val="000E7DD9"/>
    <w:rsid w:val="0010095E"/>
    <w:rsid w:val="00125B37"/>
    <w:rsid w:val="00187494"/>
    <w:rsid w:val="001E57FB"/>
    <w:rsid w:val="001F32AE"/>
    <w:rsid w:val="002767FF"/>
    <w:rsid w:val="002B18FE"/>
    <w:rsid w:val="002B5493"/>
    <w:rsid w:val="002F6F5A"/>
    <w:rsid w:val="00343214"/>
    <w:rsid w:val="00361C00"/>
    <w:rsid w:val="00395FA1"/>
    <w:rsid w:val="003E15D4"/>
    <w:rsid w:val="00411CCE"/>
    <w:rsid w:val="00413962"/>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1E9"/>
    <w:rsid w:val="008840E5"/>
    <w:rsid w:val="00887B3E"/>
    <w:rsid w:val="008C2AC6"/>
    <w:rsid w:val="00930C23"/>
    <w:rsid w:val="0093193B"/>
    <w:rsid w:val="009509D8"/>
    <w:rsid w:val="00950B64"/>
    <w:rsid w:val="00981893"/>
    <w:rsid w:val="009C666E"/>
    <w:rsid w:val="00A1687D"/>
    <w:rsid w:val="00A43E52"/>
    <w:rsid w:val="00A4678D"/>
    <w:rsid w:val="00A6198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B78"/>
    <w:rsid w:val="00F04346"/>
    <w:rsid w:val="00F075DC"/>
    <w:rsid w:val="00F114F2"/>
    <w:rsid w:val="00F149E9"/>
    <w:rsid w:val="00F5134D"/>
    <w:rsid w:val="00F74202"/>
    <w:rsid w:val="00F87713"/>
    <w:rsid w:val="00FB4360"/>
    <w:rsid w:val="00FC18A4"/>
    <w:rsid w:val="00FD0C70"/>
    <w:rsid w:val="00FD506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861E7"/>
  <w15:chartTrackingRefBased/>
  <w15:docId w15:val="{19E69E1D-B584-4C54-BB26-C9E3ACA44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14F2"/>
    <w:pPr>
      <w:spacing w:before="480" w:after="240"/>
    </w:pPr>
  </w:style>
  <w:style w:type="paragraph" w:customStyle="1" w:styleId="NormalHanging12a">
    <w:name w:val="NormalHanging12a"/>
    <w:basedOn w:val="Normal"/>
    <w:rsid w:val="00F114F2"/>
    <w:pPr>
      <w:spacing w:after="240"/>
      <w:ind w:left="567" w:hanging="567"/>
    </w:pPr>
  </w:style>
  <w:style w:type="paragraph" w:styleId="Revision">
    <w:name w:val="Revision"/>
    <w:hidden/>
    <w:uiPriority w:val="99"/>
    <w:semiHidden/>
    <w:rsid w:val="001E57FB"/>
    <w:rPr>
      <w:sz w:val="24"/>
      <w:lang w:val="it-IT"/>
    </w:rPr>
  </w:style>
  <w:style w:type="character" w:styleId="Hyperlink">
    <w:name w:val="Hyperlink"/>
    <w:basedOn w:val="DefaultParagraphFont"/>
    <w:rsid w:val="001E57FB"/>
    <w:rPr>
      <w:color w:val="0563C1" w:themeColor="hyperlink"/>
      <w:u w:val="single"/>
    </w:rPr>
  </w:style>
  <w:style w:type="character" w:styleId="UnresolvedMention">
    <w:name w:val="Unresolved Mention"/>
    <w:basedOn w:val="DefaultParagraphFont"/>
    <w:uiPriority w:val="99"/>
    <w:semiHidden/>
    <w:unhideWhenUsed/>
    <w:rsid w:val="001E5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914/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568</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ILLY_D</cp:lastModifiedBy>
  <cp:revision>5</cp:revision>
  <cp:lastPrinted>2004-11-19T15:42:00Z</cp:lastPrinted>
  <dcterms:created xsi:type="dcterms:W3CDTF">2025-10-20T12:48:00Z</dcterms:created>
  <dcterms:modified xsi:type="dcterms:W3CDTF">2026-01-28T11:57:00Z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B10-0460/2025</vt:lpwstr>
  </property>
  <property fmtid="{D5CDD505-2E9C-101B-9397-08002B2CF9AE}" pid="4" name="&lt;Type&gt;">
    <vt:lpwstr>RR</vt:lpwstr>
  </property>
</Properties>
</file>