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C25EF" w14:paraId="71BC0871" w14:textId="77777777" w:rsidTr="0010095E">
        <w:trPr>
          <w:trHeight w:hRule="exact" w:val="1418"/>
        </w:trPr>
        <w:tc>
          <w:tcPr>
            <w:tcW w:w="6804" w:type="dxa"/>
            <w:shd w:val="clear" w:color="auto" w:fill="auto"/>
            <w:vAlign w:val="center"/>
          </w:tcPr>
          <w:p w14:paraId="4A2D890F" w14:textId="77777777" w:rsidR="00751A4A" w:rsidRPr="00CC25EF" w:rsidRDefault="00536DD0" w:rsidP="0010095E">
            <w:pPr>
              <w:pStyle w:val="EPName"/>
            </w:pPr>
            <w:r w:rsidRPr="00CC25EF">
              <w:t>Eiropas Parlaments</w:t>
            </w:r>
          </w:p>
          <w:p w14:paraId="4FEFDA8B" w14:textId="77777777" w:rsidR="00751A4A" w:rsidRPr="00CC25EF" w:rsidRDefault="005F1B17" w:rsidP="005F1B17">
            <w:pPr>
              <w:pStyle w:val="EPTerm"/>
              <w:rPr>
                <w:rStyle w:val="HideTWBExt"/>
                <w:noProof w:val="0"/>
                <w:vanish w:val="0"/>
                <w:color w:val="auto"/>
              </w:rPr>
            </w:pPr>
            <w:r w:rsidRPr="00CC25EF">
              <w:t>2024</w:t>
            </w:r>
            <w:r w:rsidR="00817416" w:rsidRPr="00CC25EF">
              <w:t>-202</w:t>
            </w:r>
            <w:r w:rsidRPr="00CC25EF">
              <w:t>9</w:t>
            </w:r>
          </w:p>
        </w:tc>
        <w:tc>
          <w:tcPr>
            <w:tcW w:w="2268" w:type="dxa"/>
            <w:shd w:val="clear" w:color="auto" w:fill="auto"/>
          </w:tcPr>
          <w:p w14:paraId="3F9FD505" w14:textId="77777777" w:rsidR="00751A4A" w:rsidRPr="00CC25EF" w:rsidRDefault="00187494" w:rsidP="0010095E">
            <w:pPr>
              <w:pStyle w:val="EPLogo"/>
            </w:pPr>
            <w:r w:rsidRPr="00CC25EF">
              <w:rPr>
                <w:noProof/>
                <w:lang w:eastAsia="ja-JP"/>
              </w:rPr>
              <w:drawing>
                <wp:inline distT="0" distB="0" distL="0" distR="0" wp14:anchorId="7BE0184E" wp14:editId="5F11737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59CB8E8" w14:textId="77777777" w:rsidR="00D058B8" w:rsidRPr="00CC25EF" w:rsidRDefault="00D058B8" w:rsidP="004C5D52">
      <w:pPr>
        <w:pStyle w:val="LineTop"/>
      </w:pPr>
    </w:p>
    <w:p w14:paraId="786E7ECF" w14:textId="77777777" w:rsidR="00680577" w:rsidRPr="00CC25EF" w:rsidRDefault="00536DD0" w:rsidP="00680577">
      <w:pPr>
        <w:pStyle w:val="EPBodyTA1"/>
      </w:pPr>
      <w:r w:rsidRPr="00CC25EF">
        <w:t>PIEŅEMTIE TEKSTI</w:t>
      </w:r>
    </w:p>
    <w:p w14:paraId="4203C5EF" w14:textId="77777777" w:rsidR="00D058B8" w:rsidRPr="00CC25EF" w:rsidRDefault="00D058B8" w:rsidP="00D058B8">
      <w:pPr>
        <w:pStyle w:val="LineBottom"/>
      </w:pPr>
    </w:p>
    <w:p w14:paraId="25CD29AF" w14:textId="77335679" w:rsidR="00536DD0" w:rsidRPr="00CC25EF" w:rsidRDefault="00536DD0" w:rsidP="00536DD0">
      <w:pPr>
        <w:pStyle w:val="ATHeading1"/>
      </w:pPr>
      <w:bookmarkStart w:id="0" w:name="TANumber"/>
      <w:r w:rsidRPr="00CC25EF">
        <w:t>P10_TA(2025)0</w:t>
      </w:r>
      <w:r w:rsidR="00CC25EF" w:rsidRPr="00CC25EF">
        <w:t>243</w:t>
      </w:r>
      <w:bookmarkEnd w:id="0"/>
    </w:p>
    <w:p w14:paraId="4AC4D978" w14:textId="468F9835" w:rsidR="00536DD0" w:rsidRPr="00CC25EF" w:rsidRDefault="00203A0C" w:rsidP="00536DD0">
      <w:pPr>
        <w:pStyle w:val="ATHeading2"/>
      </w:pPr>
      <w:bookmarkStart w:id="1" w:name="title"/>
      <w:r w:rsidRPr="00CC25EF">
        <w:t xml:space="preserve">Iebildumu </w:t>
      </w:r>
      <w:r w:rsidR="00C326F7" w:rsidRPr="00CC25EF">
        <w:t xml:space="preserve">neizteikšana </w:t>
      </w:r>
      <w:r w:rsidRPr="00CC25EF">
        <w:t>pret deleģēto aktu:</w:t>
      </w:r>
      <w:r w:rsidR="009A79D7" w:rsidRPr="00CC25EF">
        <w:t xml:space="preserve"> ERAF, ESF+, Kohēzijas fonda un TPF intervences veidu dimensij</w:t>
      </w:r>
      <w:r w:rsidR="000169EA">
        <w:t>a</w:t>
      </w:r>
      <w:r w:rsidR="009A79D7" w:rsidRPr="00CC25EF">
        <w:t xml:space="preserve"> un kodu nomenklatūr</w:t>
      </w:r>
      <w:bookmarkEnd w:id="1"/>
      <w:r w:rsidR="000169EA">
        <w:t>a</w:t>
      </w:r>
    </w:p>
    <w:p w14:paraId="7CD7A196" w14:textId="77777777" w:rsidR="00536DD0" w:rsidRPr="00CC25EF" w:rsidRDefault="00536DD0" w:rsidP="00536DD0">
      <w:pPr>
        <w:rPr>
          <w:i/>
          <w:vanish/>
        </w:rPr>
      </w:pPr>
      <w:r w:rsidRPr="00CC25EF">
        <w:rPr>
          <w:i/>
        </w:rPr>
        <w:fldChar w:fldCharType="begin"/>
      </w:r>
      <w:r w:rsidRPr="00CC25EF">
        <w:rPr>
          <w:i/>
        </w:rPr>
        <w:instrText xml:space="preserve"> TC"(</w:instrText>
      </w:r>
      <w:bookmarkStart w:id="2" w:name="DocNumber"/>
      <w:r w:rsidRPr="00CC25EF">
        <w:rPr>
          <w:i/>
        </w:rPr>
        <w:instrText>B10-0460/2025</w:instrText>
      </w:r>
      <w:bookmarkEnd w:id="2"/>
      <w:r w:rsidRPr="00CC25EF">
        <w:rPr>
          <w:i/>
        </w:rPr>
        <w:instrText xml:space="preserve">)"\l3 \n&gt; \* MERGEFORMAT </w:instrText>
      </w:r>
      <w:r w:rsidRPr="00CC25EF">
        <w:rPr>
          <w:i/>
        </w:rPr>
        <w:fldChar w:fldCharType="end"/>
      </w:r>
    </w:p>
    <w:p w14:paraId="775F0541" w14:textId="77777777" w:rsidR="00536DD0" w:rsidRPr="00CC25EF" w:rsidRDefault="00536DD0" w:rsidP="00536DD0">
      <w:pPr>
        <w:rPr>
          <w:vanish/>
        </w:rPr>
      </w:pPr>
      <w:bookmarkStart w:id="3" w:name="PE"/>
      <w:r w:rsidRPr="00CC25EF">
        <w:rPr>
          <w:vanish/>
        </w:rPr>
        <w:t>PE778.177</w:t>
      </w:r>
      <w:bookmarkEnd w:id="3"/>
    </w:p>
    <w:p w14:paraId="135981EE" w14:textId="47B1883C" w:rsidR="00536DD0" w:rsidRPr="00CC25EF" w:rsidRDefault="00536DD0" w:rsidP="00536DD0">
      <w:pPr>
        <w:pStyle w:val="ATHeading3"/>
      </w:pPr>
      <w:bookmarkStart w:id="4" w:name="Sujet"/>
      <w:r w:rsidRPr="00CC25EF">
        <w:t xml:space="preserve">Eiropas Parlamenta lēmums par iebildumu neizteikšanu pret Komisijas deleģēto regulu (2025. gada 22. septembris), ar ko Eiropas Parlamenta un Padomes Regulas (ES) 2021/1060 I pielikumu groza attiecībā uz ERAF, ESF+, Kohēzijas fonda un TPF intervences veidu dimensiju un kodu nomenklatūru  </w:t>
      </w:r>
      <w:bookmarkStart w:id="5" w:name="References"/>
      <w:r w:rsidRPr="00CC25EF">
        <w:t>(C(2025)06376 – 2025/2888(DEA))</w:t>
      </w:r>
      <w:bookmarkEnd w:id="5"/>
    </w:p>
    <w:p w14:paraId="145ED90F" w14:textId="77777777" w:rsidR="0043061B" w:rsidRPr="00CC25EF" w:rsidRDefault="0043061B" w:rsidP="0043061B">
      <w:pPr>
        <w:pStyle w:val="EPComma"/>
        <w:rPr>
          <w:i/>
        </w:rPr>
      </w:pPr>
      <w:bookmarkStart w:id="6" w:name="TextBodyBegin"/>
      <w:bookmarkEnd w:id="4"/>
      <w:bookmarkEnd w:id="6"/>
      <w:r w:rsidRPr="00CC25EF">
        <w:rPr>
          <w:i/>
        </w:rPr>
        <w:t>Eiropas Parlaments,</w:t>
      </w:r>
    </w:p>
    <w:p w14:paraId="15B9D258" w14:textId="12FCB118" w:rsidR="0043061B" w:rsidRPr="00CC25EF" w:rsidRDefault="0043061B" w:rsidP="0043061B">
      <w:pPr>
        <w:pStyle w:val="NormalHanging12a"/>
      </w:pPr>
      <w:r w:rsidRPr="00CC25EF">
        <w:t>–</w:t>
      </w:r>
      <w:r w:rsidRPr="00CC25EF">
        <w:tab/>
        <w:t xml:space="preserve">ņemot vērā Komisijas Deleģēto regulu </w:t>
      </w:r>
      <w:r w:rsidR="009A79D7" w:rsidRPr="00CC25EF">
        <w:t>(</w:t>
      </w:r>
      <w:r w:rsidRPr="00CC25EF">
        <w:t>C(2025)06376</w:t>
      </w:r>
      <w:r w:rsidR="009A79D7" w:rsidRPr="00CC25EF">
        <w:t>)</w:t>
      </w:r>
      <w:r w:rsidRPr="00CC25EF">
        <w:t>,</w:t>
      </w:r>
    </w:p>
    <w:p w14:paraId="14C72ECC" w14:textId="77777777" w:rsidR="0043061B" w:rsidRPr="00CC25EF" w:rsidRDefault="0043061B" w:rsidP="0043061B">
      <w:pPr>
        <w:pStyle w:val="NormalHanging12a"/>
      </w:pPr>
      <w:r w:rsidRPr="00CC25EF">
        <w:t>–</w:t>
      </w:r>
      <w:r w:rsidRPr="00CC25EF">
        <w:tab/>
        <w:t>ņemot vērā Komisijas 2025. gada 22. septembra vēstuli, kurā tā lūdz paziņot, ka Parlaments neizteiks iebildumus pret deleģēto regulu,</w:t>
      </w:r>
    </w:p>
    <w:p w14:paraId="385AFDC2" w14:textId="5FD4F66C" w:rsidR="0043061B" w:rsidRPr="00CC25EF" w:rsidRDefault="0043061B" w:rsidP="0043061B">
      <w:pPr>
        <w:pStyle w:val="NormalHanging12a"/>
      </w:pPr>
      <w:r w:rsidRPr="00CC25EF">
        <w:t>–</w:t>
      </w:r>
      <w:r w:rsidRPr="00CC25EF">
        <w:tab/>
        <w:t xml:space="preserve">ņemot vērā Reģionālās attīstības komitejas </w:t>
      </w:r>
      <w:r w:rsidR="00203A0C" w:rsidRPr="00CC25EF">
        <w:t xml:space="preserve">2025. gada 14. oktobra </w:t>
      </w:r>
      <w:r w:rsidRPr="00CC25EF">
        <w:t>vēstuli Komiteju priekšsēdētāju konferences priekšsēdētājam,</w:t>
      </w:r>
    </w:p>
    <w:p w14:paraId="15C5D76B" w14:textId="77777777" w:rsidR="0043061B" w:rsidRPr="00CC25EF" w:rsidRDefault="0043061B" w:rsidP="0043061B">
      <w:pPr>
        <w:pStyle w:val="NormalHanging12a"/>
      </w:pPr>
      <w:r w:rsidRPr="00CC25EF">
        <w:t>–</w:t>
      </w:r>
      <w:r w:rsidRPr="00CC25EF">
        <w:tab/>
        <w:t>ņemot vērā Līguma par Eiropas Savienības darbību 290. pantu,</w:t>
      </w:r>
    </w:p>
    <w:p w14:paraId="61E5D27A" w14:textId="77777777" w:rsidR="0043061B" w:rsidRPr="00CC25EF" w:rsidRDefault="0043061B" w:rsidP="0043061B">
      <w:pPr>
        <w:pStyle w:val="NormalHanging12a"/>
      </w:pPr>
      <w:r w:rsidRPr="00CC25EF">
        <w:t>–</w:t>
      </w:r>
      <w:r w:rsidRPr="00CC25EF">
        <w:tab/>
        <w:t>ņemot vērā Eiropas Parlamenta un Padomes Regulu (ES) 2021/1060 (2021. gada 24. jūnijs),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r w:rsidRPr="00CC25EF">
        <w:rPr>
          <w:vertAlign w:val="superscript"/>
        </w:rPr>
        <w:footnoteReference w:id="1"/>
      </w:r>
      <w:r w:rsidRPr="00CC25EF">
        <w:t>, un jo īpaši tās 113. pantu un 114. panta 6. punktu,</w:t>
      </w:r>
    </w:p>
    <w:p w14:paraId="48C86B69" w14:textId="77777777" w:rsidR="0043061B" w:rsidRPr="00CC25EF" w:rsidRDefault="0043061B" w:rsidP="0043061B">
      <w:pPr>
        <w:pStyle w:val="NormalHanging12a"/>
      </w:pPr>
      <w:r w:rsidRPr="00CC25EF">
        <w:t>–</w:t>
      </w:r>
      <w:r w:rsidRPr="00CC25EF">
        <w:tab/>
        <w:t>ņemot vērā Reglamenta 114. panta 6. punktu,</w:t>
      </w:r>
    </w:p>
    <w:p w14:paraId="4BCD73DC" w14:textId="77777777" w:rsidR="0043061B" w:rsidRPr="00CC25EF" w:rsidRDefault="0043061B" w:rsidP="0043061B">
      <w:pPr>
        <w:pStyle w:val="NormalHanging12a"/>
      </w:pPr>
      <w:r w:rsidRPr="00CC25EF">
        <w:t>–</w:t>
      </w:r>
      <w:r w:rsidRPr="00CC25EF">
        <w:tab/>
        <w:t>ņemot vērā Reģionālās attīstības komitejas ieteikumu lēmumam,</w:t>
      </w:r>
    </w:p>
    <w:p w14:paraId="3648688C" w14:textId="57F865F1" w:rsidR="00C326F7" w:rsidRPr="00CC25EF" w:rsidRDefault="00C326F7" w:rsidP="0043061B">
      <w:pPr>
        <w:pStyle w:val="NormalHanging12a"/>
      </w:pPr>
      <w:r w:rsidRPr="00CC25EF">
        <w:t>–</w:t>
      </w:r>
      <w:r w:rsidRPr="00CC25EF">
        <w:tab/>
        <w:t>ņemot vērā to, ka netika izteikti iebildumi Reglamenta 114. panta 6. punkta trešajā un ceturtajā ievilkumā noteiktajā termiņā, kurš beidzās 2025. gada 21. oktobrī,</w:t>
      </w:r>
    </w:p>
    <w:p w14:paraId="23E29B29" w14:textId="77777777" w:rsidR="0043061B" w:rsidRPr="00CC25EF" w:rsidRDefault="0043061B" w:rsidP="0043061B">
      <w:pPr>
        <w:pStyle w:val="NormalHanging12a"/>
      </w:pPr>
      <w:r w:rsidRPr="00CC25EF">
        <w:t>A.</w:t>
      </w:r>
      <w:r w:rsidRPr="00CC25EF">
        <w:tab/>
        <w:t xml:space="preserve">tā kā ir jānodrošina iespēja dalībvalstīm vidusposma pārskatīšanas kontekstā veikt </w:t>
      </w:r>
      <w:r w:rsidRPr="00CC25EF">
        <w:lastRenderedPageBreak/>
        <w:t>jēgpilnu pārplānošanu un koncentrēt resursus uz Regulā (ES) 2021/1060 noteiktajām jaunajām stratēģiskajām Savienības prioritātēm, Komisija saskaņā ar Eiropas Parlamenta Reglamenta 170. pantu 2025. gada 4. aprīlī iesniedza pieprasījumu piemērot steidzamības procedūru savam priekšlikumam regulai, ar ko attiecībā uz īpašiem pasākumiem stratēģisku problēmu risināšanai vidusposma pārskatīšanas kontekstā groza Regulas (ES) 2021/1058 un (ES) 2021/1056</w:t>
      </w:r>
      <w:r w:rsidRPr="00CC25EF">
        <w:rPr>
          <w:vertAlign w:val="superscript"/>
        </w:rPr>
        <w:footnoteReference w:id="2"/>
      </w:r>
      <w:r w:rsidRPr="00CC25EF">
        <w:t>; tā kā Komisija minēto priekšlikumu izklāstīja Reģionālās attīstības komitejas 2025. gada 9. aprīļa sanāksmē;</w:t>
      </w:r>
    </w:p>
    <w:p w14:paraId="47673E60" w14:textId="77777777" w:rsidR="0043061B" w:rsidRPr="00CC25EF" w:rsidRDefault="0043061B" w:rsidP="0043061B">
      <w:pPr>
        <w:pStyle w:val="NormalHanging12a"/>
      </w:pPr>
      <w:r w:rsidRPr="00CC25EF">
        <w:t>B.</w:t>
      </w:r>
      <w:r w:rsidRPr="00CC25EF">
        <w:tab/>
        <w:t>tā kā Reģionālās attīstības komiteja 2025. gada 5. maija sanāksmē nolēma atbalstīt pieprasījumu un saskaņā ar Reglamenta 170. panta 5. punktu piemērot steidzamības procedūru, kā rezultātā tika pieņemta Eiropas Parlamenta un Padomes Regula (ES) 2025/1914</w:t>
      </w:r>
      <w:r w:rsidRPr="00CC25EF">
        <w:rPr>
          <w:vertAlign w:val="superscript"/>
        </w:rPr>
        <w:footnoteReference w:id="3"/>
      </w:r>
      <w:r w:rsidRPr="00CC25EF">
        <w:t>,</w:t>
      </w:r>
    </w:p>
    <w:p w14:paraId="5ED0B17B" w14:textId="0E53FDAB" w:rsidR="0043061B" w:rsidRPr="00CC25EF" w:rsidRDefault="0043061B" w:rsidP="0043061B">
      <w:pPr>
        <w:pStyle w:val="NormalHanging12a"/>
      </w:pPr>
      <w:r w:rsidRPr="00CC25EF">
        <w:t>C.</w:t>
      </w:r>
      <w:r w:rsidRPr="00CC25EF">
        <w:tab/>
        <w:t>tā kā Komisijas Deleģētā regula ir vajadzīga, lai nodrošinātu saskaņotību un konsekvenci starp Regulu (ES) 2021/1060 un konkrētus fondus reglamentējošām regulām (ERAF/Kohēzijas fonda, ESF+ un TPF regulām) un atbilstīgi Regulai (ES) 2025/1914 spētu īstenot grozītos un jaunieviestos konkrētos mērķus, ko panāktu, Regulas (ES) 2021/1060 I pielikumam pievienojot attiecīgas intervences jomas, un līdz ar to tās varētu izmantot programmu īstenošanā un ziņošanā par izpildi,</w:t>
      </w:r>
    </w:p>
    <w:p w14:paraId="073595E7" w14:textId="77777777" w:rsidR="0043061B" w:rsidRPr="00CC25EF" w:rsidRDefault="0043061B" w:rsidP="0043061B">
      <w:pPr>
        <w:pStyle w:val="NormalHanging12a"/>
      </w:pPr>
      <w:r w:rsidRPr="00CC25EF">
        <w:t>1.</w:t>
      </w:r>
      <w:r w:rsidRPr="00CC25EF">
        <w:tab/>
        <w:t>paziņo, ka tas neizsaka iebildumus pret deleģēto regulu;</w:t>
      </w:r>
    </w:p>
    <w:p w14:paraId="5EC95ACD" w14:textId="4D131289" w:rsidR="00E365E1" w:rsidRPr="00CC25EF" w:rsidRDefault="0043061B" w:rsidP="00203A0C">
      <w:pPr>
        <w:ind w:left="567" w:hanging="567"/>
        <w:rPr>
          <w:lang w:eastAsia="fr-FR"/>
        </w:rPr>
      </w:pPr>
      <w:r w:rsidRPr="00CC25EF">
        <w:t>2.</w:t>
      </w:r>
      <w:r w:rsidRPr="00CC25EF">
        <w:tab/>
        <w:t>uzdod priekšsēdētājai šo lēmumu nosūtīt Padomei un Komisijai.</w:t>
      </w:r>
    </w:p>
    <w:sectPr w:rsidR="00E365E1" w:rsidRPr="00CC25EF" w:rsidSect="000E63F4">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64372E" w14:textId="77777777" w:rsidR="00536DD0" w:rsidRPr="000E63F4" w:rsidRDefault="00536DD0">
      <w:r w:rsidRPr="000E63F4">
        <w:separator/>
      </w:r>
    </w:p>
  </w:endnote>
  <w:endnote w:type="continuationSeparator" w:id="0">
    <w:p w14:paraId="2636AE9F" w14:textId="77777777" w:rsidR="00536DD0" w:rsidRPr="000E63F4" w:rsidRDefault="00536DD0">
      <w:r w:rsidRPr="000E63F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1BC90B" w14:textId="77777777" w:rsidR="00064002" w:rsidRPr="000E63F4"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A587B2" w14:textId="77777777" w:rsidR="00064002" w:rsidRPr="000E63F4"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8A8799" w14:textId="77777777" w:rsidR="00064002" w:rsidRPr="000E63F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CEC721" w14:textId="77777777" w:rsidR="00536DD0" w:rsidRPr="000E63F4" w:rsidRDefault="00536DD0">
      <w:r w:rsidRPr="000E63F4">
        <w:separator/>
      </w:r>
    </w:p>
  </w:footnote>
  <w:footnote w:type="continuationSeparator" w:id="0">
    <w:p w14:paraId="4FE15170" w14:textId="77777777" w:rsidR="00536DD0" w:rsidRPr="000E63F4" w:rsidRDefault="00536DD0">
      <w:r w:rsidRPr="000E63F4">
        <w:continuationSeparator/>
      </w:r>
    </w:p>
  </w:footnote>
  <w:footnote w:id="1">
    <w:p w14:paraId="62A4F289" w14:textId="48667BCB" w:rsidR="0043061B" w:rsidRPr="000E63F4" w:rsidRDefault="0043061B" w:rsidP="000E63F4">
      <w:pPr>
        <w:pStyle w:val="FootnoteText"/>
        <w:ind w:left="567" w:hanging="567"/>
        <w:rPr>
          <w:sz w:val="24"/>
          <w:lang w:val="lv-LV"/>
        </w:rPr>
      </w:pPr>
      <w:r w:rsidRPr="000E63F4">
        <w:rPr>
          <w:rStyle w:val="FootnoteReference"/>
          <w:sz w:val="24"/>
          <w:lang w:val="lv-LV"/>
        </w:rPr>
        <w:footnoteRef/>
      </w:r>
      <w:r w:rsidR="000E63F4" w:rsidRPr="000E63F4">
        <w:rPr>
          <w:sz w:val="24"/>
          <w:lang w:val="lv-LV"/>
        </w:rPr>
        <w:t xml:space="preserve"> </w:t>
      </w:r>
      <w:r w:rsidR="000E63F4" w:rsidRPr="000E63F4">
        <w:rPr>
          <w:sz w:val="24"/>
          <w:lang w:val="lv-LV"/>
        </w:rPr>
        <w:tab/>
      </w:r>
      <w:r w:rsidRPr="000E63F4">
        <w:rPr>
          <w:sz w:val="24"/>
          <w:lang w:val="lv-LV"/>
        </w:rPr>
        <w:t xml:space="preserve">OV L 231, 30.6.2021., 159. lpp., ELI: </w:t>
      </w:r>
      <w:hyperlink r:id="rId1" w:history="1">
        <w:r w:rsidRPr="00203A0C">
          <w:rPr>
            <w:rStyle w:val="Hyperlink"/>
            <w:sz w:val="24"/>
            <w:lang w:val="lv-LV"/>
          </w:rPr>
          <w:t>http://data.europa.eu/eli/reg/2021/1060/oj</w:t>
        </w:r>
      </w:hyperlink>
      <w:r w:rsidR="00203A0C">
        <w:rPr>
          <w:sz w:val="24"/>
          <w:lang w:val="lv-LV"/>
        </w:rPr>
        <w:t>.</w:t>
      </w:r>
    </w:p>
  </w:footnote>
  <w:footnote w:id="2">
    <w:p w14:paraId="6CF9683B" w14:textId="78491A3E" w:rsidR="0043061B" w:rsidRPr="000E63F4" w:rsidRDefault="0043061B" w:rsidP="000E63F4">
      <w:pPr>
        <w:pStyle w:val="FootnoteText"/>
        <w:ind w:left="567" w:hanging="567"/>
        <w:rPr>
          <w:sz w:val="24"/>
          <w:lang w:val="lv-LV"/>
        </w:rPr>
      </w:pPr>
      <w:r w:rsidRPr="000E63F4">
        <w:rPr>
          <w:rStyle w:val="FootnoteReference"/>
          <w:sz w:val="24"/>
          <w:lang w:val="lv-LV"/>
        </w:rPr>
        <w:footnoteRef/>
      </w:r>
      <w:r w:rsidR="000E63F4" w:rsidRPr="000E63F4">
        <w:rPr>
          <w:sz w:val="24"/>
          <w:lang w:val="lv-LV"/>
        </w:rPr>
        <w:t xml:space="preserve"> </w:t>
      </w:r>
      <w:r w:rsidR="000E63F4" w:rsidRPr="000E63F4">
        <w:rPr>
          <w:sz w:val="24"/>
          <w:lang w:val="lv-LV"/>
        </w:rPr>
        <w:tab/>
      </w:r>
      <w:r w:rsidRPr="000E63F4">
        <w:rPr>
          <w:sz w:val="24"/>
          <w:lang w:val="lv-LV"/>
        </w:rPr>
        <w:t>COM(2025/</w:t>
      </w:r>
      <w:r w:rsidR="00F94B64">
        <w:rPr>
          <w:sz w:val="24"/>
          <w:lang w:val="lv-LV"/>
        </w:rPr>
        <w:t>0</w:t>
      </w:r>
      <w:r w:rsidRPr="000E63F4">
        <w:rPr>
          <w:sz w:val="24"/>
          <w:lang w:val="lv-LV"/>
        </w:rPr>
        <w:t>123) final.</w:t>
      </w:r>
    </w:p>
  </w:footnote>
  <w:footnote w:id="3">
    <w:p w14:paraId="37207FF1" w14:textId="1138C328" w:rsidR="0043061B" w:rsidRPr="000E63F4" w:rsidRDefault="0043061B" w:rsidP="000E63F4">
      <w:pPr>
        <w:pStyle w:val="FootnoteText"/>
        <w:ind w:left="567" w:hanging="567"/>
        <w:rPr>
          <w:sz w:val="24"/>
          <w:lang w:val="lv-LV"/>
        </w:rPr>
      </w:pPr>
      <w:r w:rsidRPr="000E63F4">
        <w:rPr>
          <w:rStyle w:val="FootnoteReference"/>
          <w:sz w:val="24"/>
          <w:lang w:val="lv-LV"/>
        </w:rPr>
        <w:footnoteRef/>
      </w:r>
      <w:r w:rsidR="000E63F4" w:rsidRPr="000E63F4">
        <w:rPr>
          <w:sz w:val="24"/>
          <w:lang w:val="lv-LV"/>
        </w:rPr>
        <w:t xml:space="preserve"> </w:t>
      </w:r>
      <w:r w:rsidR="000E63F4" w:rsidRPr="000E63F4">
        <w:rPr>
          <w:sz w:val="24"/>
          <w:lang w:val="lv-LV"/>
        </w:rPr>
        <w:tab/>
      </w:r>
      <w:r w:rsidRPr="000E63F4">
        <w:rPr>
          <w:sz w:val="24"/>
          <w:lang w:val="lv-LV"/>
        </w:rPr>
        <w:t xml:space="preserve">Eiropas Parlamenta un Padomes Regula (ES) 2025/1914 (2025. gada 18. septembris), ar ko groza Regulas (ES) 2021/1058 un (ES) 2021/1056 attiecībā uz īpašiem pasākumiem stratēģisku problēmu risināšanai vidusposma pārskatīšanas kontekstā (OV L, 2025/1914, 19.9.2025., ELI: </w:t>
      </w:r>
      <w:hyperlink r:id="rId2" w:history="1">
        <w:r w:rsidRPr="00203A0C">
          <w:rPr>
            <w:rStyle w:val="Hyperlink"/>
            <w:sz w:val="24"/>
            <w:lang w:val="lv-LV"/>
          </w:rPr>
          <w:t>http://data.europa.eu/eli/reg/2025/1914/oj</w:t>
        </w:r>
      </w:hyperlink>
      <w:r w:rsidRPr="000E63F4">
        <w:rPr>
          <w:sz w:val="24"/>
          <w:lang w:val="lv-LV"/>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16B8D0" w14:textId="77777777" w:rsidR="00064002" w:rsidRPr="000E63F4"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1CB167" w14:textId="77777777" w:rsidR="00064002" w:rsidRPr="000E63F4"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449E9B" w14:textId="77777777" w:rsidR="00064002" w:rsidRPr="000E63F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786465932">
    <w:abstractNumId w:val="9"/>
  </w:num>
  <w:num w:numId="2" w16cid:durableId="625890729">
    <w:abstractNumId w:val="9"/>
  </w:num>
  <w:num w:numId="3" w16cid:durableId="1041855221">
    <w:abstractNumId w:val="7"/>
  </w:num>
  <w:num w:numId="4" w16cid:durableId="438180925">
    <w:abstractNumId w:val="7"/>
  </w:num>
  <w:num w:numId="5" w16cid:durableId="462886639">
    <w:abstractNumId w:val="6"/>
  </w:num>
  <w:num w:numId="6" w16cid:durableId="1368606757">
    <w:abstractNumId w:val="6"/>
  </w:num>
  <w:num w:numId="7" w16cid:durableId="1453130501">
    <w:abstractNumId w:val="5"/>
  </w:num>
  <w:num w:numId="8" w16cid:durableId="1766414833">
    <w:abstractNumId w:val="5"/>
  </w:num>
  <w:num w:numId="9" w16cid:durableId="1708723909">
    <w:abstractNumId w:val="4"/>
  </w:num>
  <w:num w:numId="10" w16cid:durableId="2041276081">
    <w:abstractNumId w:val="4"/>
  </w:num>
  <w:num w:numId="11" w16cid:durableId="1767576177">
    <w:abstractNumId w:val="8"/>
  </w:num>
  <w:num w:numId="12" w16cid:durableId="362095007">
    <w:abstractNumId w:val="8"/>
  </w:num>
  <w:num w:numId="13" w16cid:durableId="1575625609">
    <w:abstractNumId w:val="3"/>
  </w:num>
  <w:num w:numId="14" w16cid:durableId="884410870">
    <w:abstractNumId w:val="3"/>
  </w:num>
  <w:num w:numId="15" w16cid:durableId="1806510030">
    <w:abstractNumId w:val="2"/>
  </w:num>
  <w:num w:numId="16" w16cid:durableId="14429235">
    <w:abstractNumId w:val="2"/>
  </w:num>
  <w:num w:numId="17" w16cid:durableId="842161180">
    <w:abstractNumId w:val="1"/>
  </w:num>
  <w:num w:numId="18" w16cid:durableId="492063688">
    <w:abstractNumId w:val="1"/>
  </w:num>
  <w:num w:numId="19" w16cid:durableId="1248617062">
    <w:abstractNumId w:val="0"/>
  </w:num>
  <w:num w:numId="20" w16cid:durableId="1742099282">
    <w:abstractNumId w:val="0"/>
  </w:num>
  <w:num w:numId="21" w16cid:durableId="208953170">
    <w:abstractNumId w:val="9"/>
  </w:num>
  <w:num w:numId="22" w16cid:durableId="85156510">
    <w:abstractNumId w:val="7"/>
  </w:num>
  <w:num w:numId="23" w16cid:durableId="2108035266">
    <w:abstractNumId w:val="6"/>
  </w:num>
  <w:num w:numId="24" w16cid:durableId="1935474981">
    <w:abstractNumId w:val="5"/>
  </w:num>
  <w:num w:numId="25" w16cid:durableId="13505865">
    <w:abstractNumId w:val="4"/>
  </w:num>
  <w:num w:numId="26" w16cid:durableId="414084822">
    <w:abstractNumId w:val="8"/>
  </w:num>
  <w:num w:numId="27" w16cid:durableId="1953826354">
    <w:abstractNumId w:val="3"/>
  </w:num>
  <w:num w:numId="28" w16cid:durableId="119308015">
    <w:abstractNumId w:val="2"/>
  </w:num>
  <w:num w:numId="29" w16cid:durableId="915475794">
    <w:abstractNumId w:val="1"/>
  </w:num>
  <w:num w:numId="30" w16cid:durableId="352998150">
    <w:abstractNumId w:val="0"/>
  </w:num>
  <w:num w:numId="31" w16cid:durableId="962881097">
    <w:abstractNumId w:val="9"/>
  </w:num>
  <w:num w:numId="32" w16cid:durableId="1086263263">
    <w:abstractNumId w:val="7"/>
  </w:num>
  <w:num w:numId="33" w16cid:durableId="1700662451">
    <w:abstractNumId w:val="6"/>
  </w:num>
  <w:num w:numId="34" w16cid:durableId="476339905">
    <w:abstractNumId w:val="5"/>
  </w:num>
  <w:num w:numId="35" w16cid:durableId="815075757">
    <w:abstractNumId w:val="4"/>
  </w:num>
  <w:num w:numId="36" w16cid:durableId="1889797748">
    <w:abstractNumId w:val="8"/>
  </w:num>
  <w:num w:numId="37" w16cid:durableId="273369370">
    <w:abstractNumId w:val="3"/>
  </w:num>
  <w:num w:numId="38" w16cid:durableId="18893284">
    <w:abstractNumId w:val="2"/>
  </w:num>
  <w:num w:numId="39" w16cid:durableId="1520583744">
    <w:abstractNumId w:val="1"/>
  </w:num>
  <w:num w:numId="40" w16cid:durableId="1037588507">
    <w:abstractNumId w:val="0"/>
  </w:num>
  <w:num w:numId="41" w16cid:durableId="1990397990">
    <w:abstractNumId w:val="10"/>
  </w:num>
  <w:num w:numId="42" w16cid:durableId="1077551088">
    <w:abstractNumId w:val="10"/>
  </w:num>
  <w:num w:numId="43" w16cid:durableId="1474911444">
    <w:abstractNumId w:val="10"/>
  </w:num>
  <w:num w:numId="44" w16cid:durableId="128581722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460/2025"/>
    <w:docVar w:name="dvlangue" w:val="LV"/>
    <w:docVar w:name="dvnumam" w:val="0"/>
    <w:docVar w:name="dvpe" w:val="778.177"/>
    <w:docVar w:name="dvtitre" w:val="Eiropas Parlamenta 2025. gada XX. XXX lēmums par iebildumu neizteikšanu pret Komisijas deleģēto regulu (2025. gada 22. septembris), ar ko Eiropas Parlamenta un Padomes Regulas (ES) 2021/1060 I pielikumu groza attiecībā uz ERAF, ESF+, Kohēzijas fonda un TPF intervences veidu dimensiju un kodu nomenklatūru _x000d__x000a_(C(2025)06376 – 2025/2888(DEA))"/>
  </w:docVars>
  <w:rsids>
    <w:rsidRoot w:val="00536DD0"/>
    <w:rsid w:val="00002272"/>
    <w:rsid w:val="000169EA"/>
    <w:rsid w:val="00064002"/>
    <w:rsid w:val="000677B9"/>
    <w:rsid w:val="000831BA"/>
    <w:rsid w:val="000A42CC"/>
    <w:rsid w:val="000E63F4"/>
    <w:rsid w:val="000E7DD9"/>
    <w:rsid w:val="001003B9"/>
    <w:rsid w:val="0010095E"/>
    <w:rsid w:val="00125B37"/>
    <w:rsid w:val="00187494"/>
    <w:rsid w:val="001F32AE"/>
    <w:rsid w:val="00203A0C"/>
    <w:rsid w:val="002767FF"/>
    <w:rsid w:val="002B18FE"/>
    <w:rsid w:val="002B5493"/>
    <w:rsid w:val="00327721"/>
    <w:rsid w:val="00343214"/>
    <w:rsid w:val="00361C00"/>
    <w:rsid w:val="00395FA1"/>
    <w:rsid w:val="003E15D4"/>
    <w:rsid w:val="00411CCE"/>
    <w:rsid w:val="0041666E"/>
    <w:rsid w:val="00421060"/>
    <w:rsid w:val="0043061B"/>
    <w:rsid w:val="00471C19"/>
    <w:rsid w:val="004867E3"/>
    <w:rsid w:val="00494A28"/>
    <w:rsid w:val="004C0004"/>
    <w:rsid w:val="004C2CE7"/>
    <w:rsid w:val="004C5D52"/>
    <w:rsid w:val="0050519A"/>
    <w:rsid w:val="005072A1"/>
    <w:rsid w:val="00514517"/>
    <w:rsid w:val="00536DD0"/>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4F62"/>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A79D7"/>
    <w:rsid w:val="00A1687D"/>
    <w:rsid w:val="00A43E52"/>
    <w:rsid w:val="00A4678D"/>
    <w:rsid w:val="00A778C7"/>
    <w:rsid w:val="00AB441E"/>
    <w:rsid w:val="00AB6293"/>
    <w:rsid w:val="00AE0928"/>
    <w:rsid w:val="00AF3B82"/>
    <w:rsid w:val="00B12E95"/>
    <w:rsid w:val="00B22876"/>
    <w:rsid w:val="00B558F0"/>
    <w:rsid w:val="00B82B67"/>
    <w:rsid w:val="00BD48FE"/>
    <w:rsid w:val="00BD7BD8"/>
    <w:rsid w:val="00BE6ADC"/>
    <w:rsid w:val="00C05BFE"/>
    <w:rsid w:val="00C104AF"/>
    <w:rsid w:val="00C23CD4"/>
    <w:rsid w:val="00C326F7"/>
    <w:rsid w:val="00C61C0C"/>
    <w:rsid w:val="00C941CB"/>
    <w:rsid w:val="00CC2357"/>
    <w:rsid w:val="00CC25EF"/>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94B64"/>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604244"/>
  <w15:chartTrackingRefBased/>
  <w15:docId w15:val="{32E03214-4485-42E3-973B-E6654519C0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43061B"/>
    <w:pPr>
      <w:spacing w:before="480" w:after="240"/>
    </w:pPr>
  </w:style>
  <w:style w:type="paragraph" w:customStyle="1" w:styleId="NormalBold">
    <w:name w:val="NormalBold"/>
    <w:basedOn w:val="Normal"/>
    <w:rsid w:val="0043061B"/>
    <w:rPr>
      <w:b/>
    </w:rPr>
  </w:style>
  <w:style w:type="paragraph" w:customStyle="1" w:styleId="NormalHanging12a">
    <w:name w:val="NormalHanging12a"/>
    <w:basedOn w:val="Normal"/>
    <w:rsid w:val="0043061B"/>
    <w:pPr>
      <w:spacing w:after="240"/>
      <w:ind w:left="567" w:hanging="567"/>
    </w:pPr>
  </w:style>
  <w:style w:type="character" w:styleId="Hyperlink">
    <w:name w:val="Hyperlink"/>
    <w:basedOn w:val="DefaultParagraphFont"/>
    <w:rsid w:val="00203A0C"/>
    <w:rPr>
      <w:color w:val="0563C1" w:themeColor="hyperlink"/>
      <w:u w:val="single"/>
    </w:rPr>
  </w:style>
  <w:style w:type="character" w:styleId="UnresolvedMention">
    <w:name w:val="Unresolved Mention"/>
    <w:basedOn w:val="DefaultParagraphFont"/>
    <w:uiPriority w:val="99"/>
    <w:semiHidden/>
    <w:unhideWhenUsed/>
    <w:rsid w:val="00203A0C"/>
    <w:rPr>
      <w:color w:val="605E5C"/>
      <w:shd w:val="clear" w:color="auto" w:fill="E1DFDD"/>
    </w:rPr>
  </w:style>
  <w:style w:type="paragraph" w:styleId="Revision">
    <w:name w:val="Revision"/>
    <w:hidden/>
    <w:uiPriority w:val="99"/>
    <w:semiHidden/>
    <w:rsid w:val="00203A0C"/>
    <w:rPr>
      <w:sz w:val="24"/>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reg/2025/1914/oj" TargetMode="External"/><Relationship Id="rId1" Type="http://schemas.openxmlformats.org/officeDocument/2006/relationships/hyperlink" Target="http://data.europa.eu/eli/reg/2021/1060/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427</Words>
  <Characters>2861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PESA Karina</dc:creator>
  <cp:keywords/>
  <cp:lastModifiedBy>KRASTINA-DAMIANAKI Liga</cp:lastModifiedBy>
  <cp:revision>2</cp:revision>
  <cp:lastPrinted>2004-11-19T15:42:00Z</cp:lastPrinted>
  <dcterms:created xsi:type="dcterms:W3CDTF">2025-11-24T17:46:00Z</dcterms:created>
  <dcterms:modified xsi:type="dcterms:W3CDTF">2025-11-24T17:46:00Z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P10_TA(2025)0243_</vt:lpwstr>
  </property>
  <property fmtid="{D5CDD505-2E9C-101B-9397-08002B2CF9AE}" pid="4" name="&lt;Type&gt;">
    <vt:lpwstr>RR</vt:lpwstr>
  </property>
</Properties>
</file>