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199A" w14:paraId="165785A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9FF9CD" w14:textId="77777777" w:rsidR="00751A4A" w:rsidRPr="00B8199A" w:rsidRDefault="005A0BE8" w:rsidP="0010095E">
            <w:pPr>
              <w:pStyle w:val="EPName"/>
            </w:pPr>
            <w:r w:rsidRPr="00B8199A">
              <w:t>Parlament Europejski</w:t>
            </w:r>
          </w:p>
          <w:p w14:paraId="3C3F19D2" w14:textId="77777777" w:rsidR="00751A4A" w:rsidRPr="00B819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199A">
              <w:t>2024</w:t>
            </w:r>
            <w:r w:rsidR="00817416" w:rsidRPr="00B8199A">
              <w:t>-202</w:t>
            </w:r>
            <w:r w:rsidRPr="00B8199A">
              <w:t>9</w:t>
            </w:r>
          </w:p>
        </w:tc>
        <w:tc>
          <w:tcPr>
            <w:tcW w:w="2268" w:type="dxa"/>
            <w:shd w:val="clear" w:color="auto" w:fill="auto"/>
          </w:tcPr>
          <w:p w14:paraId="5BCE59CA" w14:textId="77777777" w:rsidR="00751A4A" w:rsidRPr="00B8199A" w:rsidRDefault="00187494" w:rsidP="0010095E">
            <w:pPr>
              <w:pStyle w:val="EPLogo"/>
            </w:pPr>
            <w:r w:rsidRPr="00B8199A">
              <w:rPr>
                <w:noProof/>
                <w:lang w:eastAsia="ja-JP"/>
              </w:rPr>
              <w:drawing>
                <wp:inline distT="0" distB="0" distL="0" distR="0" wp14:anchorId="6F95CA57" wp14:editId="60806FD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B0423F" w14:textId="77777777" w:rsidR="00D058B8" w:rsidRPr="00B8199A" w:rsidRDefault="00D058B8" w:rsidP="004C5D52">
      <w:pPr>
        <w:pStyle w:val="LineTop"/>
      </w:pPr>
    </w:p>
    <w:p w14:paraId="22EA4328" w14:textId="77777777" w:rsidR="00680577" w:rsidRPr="00B8199A" w:rsidRDefault="005A0BE8" w:rsidP="00680577">
      <w:pPr>
        <w:pStyle w:val="EPBodyTA1"/>
      </w:pPr>
      <w:r w:rsidRPr="00B8199A">
        <w:t>TEKSTY PRZYJĘTE</w:t>
      </w:r>
    </w:p>
    <w:p w14:paraId="101F07F6" w14:textId="77777777" w:rsidR="00D058B8" w:rsidRPr="00B8199A" w:rsidRDefault="00D058B8" w:rsidP="00D058B8">
      <w:pPr>
        <w:pStyle w:val="LineBottom"/>
      </w:pPr>
    </w:p>
    <w:p w14:paraId="11812536" w14:textId="1D4F6117" w:rsidR="005A0BE8" w:rsidRPr="00B8199A" w:rsidRDefault="005A0BE8" w:rsidP="005A0BE8">
      <w:pPr>
        <w:pStyle w:val="ATHeading1"/>
      </w:pPr>
      <w:bookmarkStart w:id="0" w:name="TANumber"/>
      <w:r w:rsidRPr="00B8199A">
        <w:t>P10_</w:t>
      </w:r>
      <w:proofErr w:type="gramStart"/>
      <w:r w:rsidRPr="00B8199A">
        <w:t>TA(</w:t>
      </w:r>
      <w:proofErr w:type="gramEnd"/>
      <w:r w:rsidRPr="00B8199A">
        <w:t>2025)0</w:t>
      </w:r>
      <w:bookmarkEnd w:id="0"/>
      <w:r w:rsidR="0064685C">
        <w:t>243</w:t>
      </w:r>
    </w:p>
    <w:p w14:paraId="227D4EFA" w14:textId="66AD5392" w:rsidR="005A0BE8" w:rsidRPr="00B8199A" w:rsidRDefault="0027322D" w:rsidP="005A0BE8">
      <w:pPr>
        <w:pStyle w:val="ATHeading2"/>
      </w:pPr>
      <w:r>
        <w:t>Brak</w:t>
      </w:r>
      <w:r w:rsidR="0028499A" w:rsidRPr="00B8199A">
        <w:t xml:space="preserve"> sprzeciwu wobec </w:t>
      </w:r>
      <w:r>
        <w:t>aktu</w:t>
      </w:r>
      <w:r w:rsidR="0028499A" w:rsidRPr="00B8199A">
        <w:t xml:space="preserve"> delegowanego</w:t>
      </w:r>
      <w:r w:rsidR="0028499A">
        <w:t xml:space="preserve">: </w:t>
      </w:r>
      <w:r w:rsidR="0028499A" w:rsidRPr="00B8199A">
        <w:t>nomenklatur</w:t>
      </w:r>
      <w:r w:rsidR="0028499A">
        <w:t>a</w:t>
      </w:r>
      <w:r w:rsidR="0028499A" w:rsidRPr="00B8199A">
        <w:t xml:space="preserve"> wymiarów i kodów rodzajów interwencji w ramach EFRR, EFS+, Funduszu Spójności i FST</w:t>
      </w:r>
    </w:p>
    <w:p w14:paraId="3C4B95CD" w14:textId="77777777" w:rsidR="005A0BE8" w:rsidRPr="00B8199A" w:rsidRDefault="005A0BE8" w:rsidP="005A0BE8">
      <w:pPr>
        <w:rPr>
          <w:i/>
          <w:vanish/>
        </w:rPr>
      </w:pPr>
      <w:r w:rsidRPr="00B8199A">
        <w:rPr>
          <w:i/>
        </w:rPr>
        <w:fldChar w:fldCharType="begin"/>
      </w:r>
      <w:r w:rsidRPr="00B8199A">
        <w:rPr>
          <w:i/>
        </w:rPr>
        <w:instrText xml:space="preserve"> TC"(</w:instrText>
      </w:r>
      <w:bookmarkStart w:id="1" w:name="DocNumber"/>
      <w:r w:rsidRPr="00B8199A">
        <w:rPr>
          <w:i/>
        </w:rPr>
        <w:instrText>B10-0460/2025</w:instrText>
      </w:r>
      <w:bookmarkEnd w:id="1"/>
      <w:r w:rsidRPr="00B8199A">
        <w:rPr>
          <w:i/>
        </w:rPr>
        <w:instrText xml:space="preserve">)"\l3 \n&gt; \* MERGEFORMAT </w:instrText>
      </w:r>
      <w:r w:rsidRPr="00B8199A">
        <w:rPr>
          <w:i/>
        </w:rPr>
        <w:fldChar w:fldCharType="end"/>
      </w:r>
    </w:p>
    <w:p w14:paraId="3ABEB02A" w14:textId="77777777" w:rsidR="005A0BE8" w:rsidRPr="00B8199A" w:rsidRDefault="005A0BE8" w:rsidP="005A0BE8">
      <w:pPr>
        <w:rPr>
          <w:vanish/>
        </w:rPr>
      </w:pPr>
      <w:bookmarkStart w:id="2" w:name="PE"/>
      <w:r w:rsidRPr="00B8199A">
        <w:rPr>
          <w:vanish/>
        </w:rPr>
        <w:t>PE778.177</w:t>
      </w:r>
      <w:bookmarkEnd w:id="2"/>
    </w:p>
    <w:p w14:paraId="40791B2B" w14:textId="747CD481" w:rsidR="005A0BE8" w:rsidRPr="00B8199A" w:rsidRDefault="005A0BE8" w:rsidP="005A0BE8">
      <w:pPr>
        <w:pStyle w:val="ATHeading3"/>
      </w:pPr>
      <w:bookmarkStart w:id="3" w:name="Sujet"/>
      <w:r w:rsidRPr="00B8199A">
        <w:t xml:space="preserve">Decyzja Parlamentu Europejskiego w sprawie niewyrażania sprzeciwu wobec rozporządzenia delegowanego Komisji z dnia 22 września 2025 r. zmieniającego załącznik I do rozporządzenia Parlamentu Europejskiego i Rady (UE) 2021/1060 w odniesieniu do nomenklatury wymiarów i kodów rodzajów interwencji w ramach EFRR, EFS+, Funduszu Spójności i FST </w:t>
      </w:r>
      <w:bookmarkStart w:id="4" w:name="References"/>
      <w:r w:rsidRPr="00B8199A">
        <w:t>(</w:t>
      </w:r>
      <w:proofErr w:type="gramStart"/>
      <w:r w:rsidRPr="00B8199A">
        <w:t>C(</w:t>
      </w:r>
      <w:proofErr w:type="gramEnd"/>
      <w:r w:rsidRPr="00B8199A">
        <w:t>2025)06376 – 2025/2888(DEA))</w:t>
      </w:r>
      <w:bookmarkEnd w:id="4"/>
    </w:p>
    <w:p w14:paraId="4D40FF65" w14:textId="77777777" w:rsidR="00001FBF" w:rsidRPr="00B8199A" w:rsidRDefault="00001FBF" w:rsidP="00001FBF">
      <w:pPr>
        <w:pStyle w:val="EPComma"/>
        <w:rPr>
          <w:i/>
        </w:rPr>
      </w:pPr>
      <w:bookmarkStart w:id="5" w:name="TextBodyBegin"/>
      <w:bookmarkEnd w:id="3"/>
      <w:bookmarkEnd w:id="5"/>
      <w:r w:rsidRPr="00B8199A">
        <w:rPr>
          <w:i/>
        </w:rPr>
        <w:t>Parlament Europejski,</w:t>
      </w:r>
    </w:p>
    <w:p w14:paraId="5192A67F" w14:textId="7DE6E0DD" w:rsidR="00001FBF" w:rsidRPr="00B8199A" w:rsidRDefault="00001FBF" w:rsidP="00001FBF">
      <w:pPr>
        <w:pStyle w:val="NormalHanging12a"/>
      </w:pPr>
      <w:r w:rsidRPr="00B8199A">
        <w:t>–</w:t>
      </w:r>
      <w:r w:rsidRPr="00B8199A">
        <w:tab/>
        <w:t xml:space="preserve">uwzględniając rozporządzenie delegowane Komisji </w:t>
      </w:r>
      <w:r w:rsidR="00440E84">
        <w:t>(</w:t>
      </w:r>
      <w:proofErr w:type="gramStart"/>
      <w:r w:rsidRPr="00B8199A">
        <w:t>C(</w:t>
      </w:r>
      <w:proofErr w:type="gramEnd"/>
      <w:r w:rsidRPr="00B8199A">
        <w:t>2025)06376</w:t>
      </w:r>
      <w:r w:rsidR="00440E84">
        <w:t>)</w:t>
      </w:r>
      <w:r w:rsidRPr="00B8199A">
        <w:t>,</w:t>
      </w:r>
    </w:p>
    <w:p w14:paraId="020A4A0E" w14:textId="77777777" w:rsidR="00001FBF" w:rsidRPr="00B8199A" w:rsidRDefault="00001FBF" w:rsidP="00001FBF">
      <w:pPr>
        <w:pStyle w:val="NormalHanging12a"/>
      </w:pPr>
      <w:r w:rsidRPr="00B8199A">
        <w:t>–</w:t>
      </w:r>
      <w:r w:rsidRPr="00B8199A">
        <w:tab/>
        <w:t>uwzględniając pismo Komisji z dnia 22 września 2025 r., w którym Komisja zwraca się do Parlamentu o oświadczenie, że nie wyraża on sprzeciwu wobec rozporządzenia delegowanego,</w:t>
      </w:r>
    </w:p>
    <w:p w14:paraId="5FC7AE7C" w14:textId="14871E7F" w:rsidR="00001FBF" w:rsidRPr="00B8199A" w:rsidRDefault="00001FBF" w:rsidP="00001FBF">
      <w:pPr>
        <w:pStyle w:val="NormalHanging12a"/>
      </w:pPr>
      <w:r w:rsidRPr="00B8199A">
        <w:t>–</w:t>
      </w:r>
      <w:r w:rsidRPr="00B8199A">
        <w:tab/>
        <w:t xml:space="preserve">uwzględniając pismo Komisji Rozwoju Regionalnego z dnia </w:t>
      </w:r>
      <w:r w:rsidR="0028499A">
        <w:t>14 października 2025 r.</w:t>
      </w:r>
      <w:r w:rsidRPr="00B8199A">
        <w:t xml:space="preserve"> skierowane do przewodniczącego Konferencji Przewodniczących Komisji,</w:t>
      </w:r>
    </w:p>
    <w:p w14:paraId="0A7DBC1F" w14:textId="77777777" w:rsidR="00001FBF" w:rsidRPr="00B8199A" w:rsidRDefault="00001FBF" w:rsidP="00001FBF">
      <w:pPr>
        <w:pStyle w:val="NormalHanging12a"/>
      </w:pPr>
      <w:r w:rsidRPr="00B8199A">
        <w:t>–</w:t>
      </w:r>
      <w:r w:rsidRPr="00B8199A">
        <w:tab/>
        <w:t>uwzględniając art. 290 Traktatu o funkcjonowaniu Unii Europejskiej,</w:t>
      </w:r>
    </w:p>
    <w:p w14:paraId="14A6990D" w14:textId="77777777" w:rsidR="00001FBF" w:rsidRPr="00B8199A" w:rsidRDefault="00001FBF" w:rsidP="00001FBF">
      <w:pPr>
        <w:pStyle w:val="NormalHanging12a"/>
      </w:pPr>
      <w:r w:rsidRPr="00B8199A">
        <w:t>–</w:t>
      </w:r>
      <w:r w:rsidRPr="00B8199A">
        <w:tab/>
        <w:t>uwzględniając rozporządzenie Parlamentu Europejskiego i Rady (UE) 2021/1060 z dnia 24 czerwca 2021 r. ustanawiające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</w:t>
      </w:r>
      <w:r w:rsidRPr="00B8199A">
        <w:rPr>
          <w:vertAlign w:val="superscript"/>
        </w:rPr>
        <w:footnoteReference w:id="1"/>
      </w:r>
      <w:r w:rsidRPr="00B8199A">
        <w:t>, w szczególności jego art. 113 i art. 114 ust. 6,</w:t>
      </w:r>
    </w:p>
    <w:p w14:paraId="564A4C81" w14:textId="77777777" w:rsidR="00001FBF" w:rsidRPr="00B8199A" w:rsidRDefault="00001FBF" w:rsidP="00001FBF">
      <w:pPr>
        <w:pStyle w:val="NormalHanging12a"/>
      </w:pPr>
      <w:r w:rsidRPr="00B8199A">
        <w:t>–</w:t>
      </w:r>
      <w:r w:rsidRPr="00B8199A">
        <w:tab/>
        <w:t>uwzględniając art. 114 ust. 6 Regulaminu,</w:t>
      </w:r>
    </w:p>
    <w:p w14:paraId="7B65E752" w14:textId="77777777" w:rsidR="00001FBF" w:rsidRDefault="00001FBF" w:rsidP="00001FBF">
      <w:pPr>
        <w:pStyle w:val="NormalHanging12a"/>
      </w:pPr>
      <w:r w:rsidRPr="00B8199A">
        <w:lastRenderedPageBreak/>
        <w:t>–</w:t>
      </w:r>
      <w:r w:rsidRPr="00B8199A">
        <w:tab/>
        <w:t>uwzględniając zalecenie Komisji Rozwoju Regionalnego dotyczące decyzji,</w:t>
      </w:r>
    </w:p>
    <w:p w14:paraId="3B505074" w14:textId="70A3B299" w:rsidR="00A90218" w:rsidRPr="00B8199A" w:rsidRDefault="00A90218" w:rsidP="00001FBF">
      <w:pPr>
        <w:pStyle w:val="NormalHanging12a"/>
      </w:pPr>
      <w:r w:rsidRPr="00A90218">
        <w:t>–</w:t>
      </w:r>
      <w:r>
        <w:tab/>
      </w:r>
      <w:r w:rsidRPr="00A90218">
        <w:t xml:space="preserve">uwzględniając brak sprzeciwów zgłoszonych w terminie określonym w art. 114 ust. 6 </w:t>
      </w:r>
      <w:proofErr w:type="spellStart"/>
      <w:r w:rsidRPr="00A90218">
        <w:t>tiret</w:t>
      </w:r>
      <w:proofErr w:type="spellEnd"/>
      <w:r w:rsidRPr="00A90218">
        <w:t xml:space="preserve"> trzecie i czwarte Regulaminu, który upłynął w dniu </w:t>
      </w:r>
      <w:r>
        <w:t>21</w:t>
      </w:r>
      <w:r w:rsidRPr="00A90218">
        <w:t xml:space="preserve"> </w:t>
      </w:r>
      <w:r>
        <w:t>października</w:t>
      </w:r>
      <w:r w:rsidRPr="00A90218">
        <w:t xml:space="preserve"> 2025 r.,</w:t>
      </w:r>
    </w:p>
    <w:p w14:paraId="0F683BAA" w14:textId="77777777" w:rsidR="00001FBF" w:rsidRPr="00B8199A" w:rsidRDefault="00001FBF" w:rsidP="00001FBF">
      <w:pPr>
        <w:pStyle w:val="NormalHanging12a"/>
      </w:pPr>
      <w:r w:rsidRPr="00B8199A">
        <w:t>A.</w:t>
      </w:r>
      <w:r w:rsidRPr="00B8199A">
        <w:tab/>
        <w:t>mając na uwadze, że aby umożliwić państwom członkowskim przeprowadzenie istotnego przeprogramowania w kontekście przeglądu śródokresowego i skoncentrowanie zasobów na nowych strategicznych priorytetach Unii określonych w rozporządzeniu (UE) 2021/1060, w dniu 4 kwietnia 2025 r. Komisja wniosła o zastosowanie trybu pilnego zgodnie z art. 170 Regulaminu Parlamentu Europejskiego do jej wniosku dotyczącego rozporządzenia zmieniającego rozporządzenia (UE) 2021/1058 i (UE) 2021/1056 w odniesieniu do środków szczególnych mających na celu sprostanie strategicznym wyzwaniom w kontekście przeglądu śródokresowego</w:t>
      </w:r>
      <w:r w:rsidRPr="00B8199A">
        <w:rPr>
          <w:vertAlign w:val="superscript"/>
        </w:rPr>
        <w:footnoteReference w:id="2"/>
      </w:r>
      <w:r w:rsidRPr="00B8199A">
        <w:t>; mając na uwadze, że Komisja przedstawiła ten wniosek na posiedzeniu Komisji Rozwoju Regionalnego w dniu 9 kwietnia 2025 r.;</w:t>
      </w:r>
    </w:p>
    <w:p w14:paraId="2CC59A70" w14:textId="77777777" w:rsidR="00001FBF" w:rsidRPr="00B8199A" w:rsidRDefault="00001FBF" w:rsidP="00001FBF">
      <w:pPr>
        <w:pStyle w:val="NormalHanging12a"/>
      </w:pPr>
      <w:r w:rsidRPr="00B8199A">
        <w:t>B.</w:t>
      </w:r>
      <w:r w:rsidRPr="00B8199A">
        <w:tab/>
        <w:t>mając na uwadze, że na posiedzeniu w dniu 5 maja 2025 r. Komisja Rozwoju Regionalnego postanowiła poprzeć wniosek o zastosowanie trybu pilnego zgodnie z art. 170 ust. 5 Regulaminu, co doprowadziło do przyjęcia rozporządzenia Parlamentu Europejskiego i Rady (UE) 2025/1914</w:t>
      </w:r>
      <w:r w:rsidRPr="00B8199A">
        <w:rPr>
          <w:vertAlign w:val="superscript"/>
        </w:rPr>
        <w:footnoteReference w:id="3"/>
      </w:r>
      <w:r w:rsidRPr="00B8199A">
        <w:t>,</w:t>
      </w:r>
    </w:p>
    <w:p w14:paraId="33C27E93" w14:textId="58EFB359" w:rsidR="00001FBF" w:rsidRPr="00B8199A" w:rsidRDefault="00001FBF" w:rsidP="00001FBF">
      <w:pPr>
        <w:pStyle w:val="NormalHanging12a"/>
      </w:pPr>
      <w:r w:rsidRPr="00B8199A">
        <w:t>C.</w:t>
      </w:r>
      <w:r w:rsidRPr="00B8199A">
        <w:tab/>
        <w:t>mając na uwadze, że rozporządzenie delegowane Komisji jest niezbędne do zapewnienia zgodności i spójności między rozporządzeniem (UE) 2021/1060 a rozporządzeniami dotyczącymi poszczególnych funduszy (rozporządzeniami w sprawie EFRR/Funduszu Spójności, EFS+ i FST), tak aby zmienione i nowo wprowadzone cele szczegółowe na podstawie rozporządzenia (UE) 2025/1914 można było realizować przez dodanie odpowiednich zakresów interwencji w załączniku I do rozporządzenia (UE) 2021/1060 oraz aby umożliwić ich wykorzystanie w realizacji programu i sprawozdawczości;</w:t>
      </w:r>
    </w:p>
    <w:p w14:paraId="477E969B" w14:textId="77777777" w:rsidR="00001FBF" w:rsidRPr="00B8199A" w:rsidRDefault="00001FBF" w:rsidP="00001FBF">
      <w:pPr>
        <w:pStyle w:val="NormalHanging12a"/>
      </w:pPr>
      <w:r w:rsidRPr="00B8199A">
        <w:t>1.</w:t>
      </w:r>
      <w:r w:rsidRPr="00B8199A">
        <w:tab/>
        <w:t>oświadcza, że nie wyraża sprzeciwu wobec rozporządzenia delegowanego;</w:t>
      </w:r>
    </w:p>
    <w:p w14:paraId="5E64A3E7" w14:textId="544EF4D1" w:rsidR="00B8199A" w:rsidRPr="00B8199A" w:rsidRDefault="00001FBF" w:rsidP="00B8199A">
      <w:pPr>
        <w:pStyle w:val="NormalHanging12a"/>
        <w:rPr>
          <w:lang w:eastAsia="fr-FR"/>
        </w:rPr>
      </w:pPr>
      <w:r w:rsidRPr="00B8199A">
        <w:t>2.</w:t>
      </w:r>
      <w:r w:rsidRPr="00B8199A">
        <w:tab/>
        <w:t>zobowiązuje swoją przewodniczącą do przekazania niniejszej decyzji Radzie i Komisji.</w:t>
      </w:r>
    </w:p>
    <w:p w14:paraId="1B2FC79D" w14:textId="1E35452B" w:rsidR="00E365E1" w:rsidRPr="00B8199A" w:rsidRDefault="00E365E1" w:rsidP="00001FBF">
      <w:pPr>
        <w:rPr>
          <w:lang w:eastAsia="fr-FR"/>
        </w:rPr>
      </w:pPr>
    </w:p>
    <w:sectPr w:rsidR="00E365E1" w:rsidRPr="00B8199A" w:rsidSect="00B819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78AB6" w14:textId="77777777" w:rsidR="005A0BE8" w:rsidRPr="00B8199A" w:rsidRDefault="005A0BE8">
      <w:r w:rsidRPr="00B8199A">
        <w:separator/>
      </w:r>
    </w:p>
  </w:endnote>
  <w:endnote w:type="continuationSeparator" w:id="0">
    <w:p w14:paraId="74645F9C" w14:textId="77777777" w:rsidR="005A0BE8" w:rsidRPr="00B8199A" w:rsidRDefault="005A0BE8">
      <w:r w:rsidRPr="00B819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76B53" w14:textId="77777777" w:rsidR="00064002" w:rsidRPr="00B819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AEC7B" w14:textId="77777777" w:rsidR="00064002" w:rsidRPr="00B819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1A823" w14:textId="77777777" w:rsidR="00064002" w:rsidRPr="00B819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F3B5F" w14:textId="77777777" w:rsidR="005A0BE8" w:rsidRPr="00B8199A" w:rsidRDefault="005A0BE8">
      <w:r w:rsidRPr="00B8199A">
        <w:separator/>
      </w:r>
    </w:p>
  </w:footnote>
  <w:footnote w:type="continuationSeparator" w:id="0">
    <w:p w14:paraId="472659D3" w14:textId="77777777" w:rsidR="005A0BE8" w:rsidRPr="00B8199A" w:rsidRDefault="005A0BE8">
      <w:r w:rsidRPr="00B8199A">
        <w:continuationSeparator/>
      </w:r>
    </w:p>
  </w:footnote>
  <w:footnote w:id="1">
    <w:p w14:paraId="123B62CD" w14:textId="59639B5F" w:rsidR="00001FBF" w:rsidRPr="00B8199A" w:rsidRDefault="00001FBF" w:rsidP="00B8199A">
      <w:pPr>
        <w:pStyle w:val="FootnoteText"/>
        <w:ind w:left="567" w:hanging="567"/>
        <w:rPr>
          <w:sz w:val="24"/>
          <w:lang w:val="pl-PL"/>
        </w:rPr>
      </w:pPr>
      <w:r w:rsidRPr="00B8199A">
        <w:rPr>
          <w:rStyle w:val="FootnoteReference"/>
          <w:sz w:val="24"/>
          <w:lang w:val="pl-PL"/>
        </w:rPr>
        <w:footnoteRef/>
      </w:r>
      <w:r w:rsidR="00B8199A" w:rsidRPr="00B8199A">
        <w:rPr>
          <w:sz w:val="24"/>
          <w:lang w:val="pl-PL"/>
        </w:rPr>
        <w:t xml:space="preserve"> </w:t>
      </w:r>
      <w:r w:rsidR="00B8199A" w:rsidRPr="00B8199A">
        <w:rPr>
          <w:sz w:val="24"/>
          <w:lang w:val="pl-PL"/>
        </w:rPr>
        <w:tab/>
      </w:r>
      <w:r w:rsidRPr="00B8199A">
        <w:rPr>
          <w:sz w:val="24"/>
          <w:lang w:val="pl-PL"/>
        </w:rPr>
        <w:t xml:space="preserve">Dz.U. L 231 z </w:t>
      </w:r>
      <w:proofErr w:type="gramStart"/>
      <w:r w:rsidRPr="00B8199A">
        <w:rPr>
          <w:sz w:val="24"/>
          <w:lang w:val="pl-PL"/>
        </w:rPr>
        <w:t>30.6.2021</w:t>
      </w:r>
      <w:proofErr w:type="gramEnd"/>
      <w:r w:rsidRPr="00B8199A">
        <w:rPr>
          <w:sz w:val="24"/>
          <w:lang w:val="pl-PL"/>
        </w:rPr>
        <w:t xml:space="preserve">, s. 159, ELI: </w:t>
      </w:r>
      <w:hyperlink r:id="rId1" w:history="1">
        <w:r w:rsidR="0028499A" w:rsidRPr="00440E84">
          <w:rPr>
            <w:rStyle w:val="Hyperlink"/>
            <w:sz w:val="24"/>
            <w:lang w:val="pl-PL"/>
          </w:rPr>
          <w:t>http://data.europa.eu/eli/reg/2021/1060/oj</w:t>
        </w:r>
      </w:hyperlink>
      <w:r w:rsidR="0028499A" w:rsidRPr="00440E84">
        <w:rPr>
          <w:sz w:val="24"/>
          <w:lang w:val="pl-PL"/>
        </w:rPr>
        <w:t>.</w:t>
      </w:r>
    </w:p>
  </w:footnote>
  <w:footnote w:id="2">
    <w:p w14:paraId="0B4A0667" w14:textId="3CC4FD95" w:rsidR="00001FBF" w:rsidRPr="00B8199A" w:rsidRDefault="00001FBF" w:rsidP="00B8199A">
      <w:pPr>
        <w:pStyle w:val="FootnoteText"/>
        <w:ind w:left="567" w:hanging="567"/>
        <w:rPr>
          <w:sz w:val="24"/>
          <w:lang w:val="pl-PL"/>
        </w:rPr>
      </w:pPr>
      <w:r w:rsidRPr="00B8199A">
        <w:rPr>
          <w:rStyle w:val="FootnoteReference"/>
          <w:sz w:val="24"/>
          <w:lang w:val="pl-PL"/>
        </w:rPr>
        <w:footnoteRef/>
      </w:r>
      <w:r w:rsidR="00B8199A" w:rsidRPr="00B8199A">
        <w:rPr>
          <w:sz w:val="24"/>
          <w:lang w:val="pl-PL"/>
        </w:rPr>
        <w:t xml:space="preserve"> </w:t>
      </w:r>
      <w:r w:rsidR="00B8199A" w:rsidRPr="00B8199A">
        <w:rPr>
          <w:sz w:val="24"/>
          <w:lang w:val="pl-PL"/>
        </w:rPr>
        <w:tab/>
      </w:r>
      <w:r w:rsidRPr="00B8199A">
        <w:rPr>
          <w:sz w:val="24"/>
          <w:lang w:val="pl-PL"/>
        </w:rPr>
        <w:t>COM(2025</w:t>
      </w:r>
      <w:r w:rsidR="00101C91">
        <w:rPr>
          <w:sz w:val="24"/>
          <w:lang w:val="pl-PL"/>
        </w:rPr>
        <w:t>)0</w:t>
      </w:r>
      <w:r w:rsidRPr="00B8199A">
        <w:rPr>
          <w:sz w:val="24"/>
          <w:lang w:val="pl-PL"/>
        </w:rPr>
        <w:t xml:space="preserve">123 </w:t>
      </w:r>
      <w:proofErr w:type="spellStart"/>
      <w:r w:rsidRPr="00B8199A">
        <w:rPr>
          <w:sz w:val="24"/>
          <w:lang w:val="pl-PL"/>
        </w:rPr>
        <w:t>final</w:t>
      </w:r>
      <w:proofErr w:type="spellEnd"/>
      <w:r w:rsidRPr="00B8199A">
        <w:rPr>
          <w:sz w:val="24"/>
          <w:lang w:val="pl-PL"/>
        </w:rPr>
        <w:t>.</w:t>
      </w:r>
    </w:p>
  </w:footnote>
  <w:footnote w:id="3">
    <w:p w14:paraId="31E44C2D" w14:textId="315E2798" w:rsidR="00001FBF" w:rsidRPr="00B8199A" w:rsidRDefault="00001FBF" w:rsidP="00B8199A">
      <w:pPr>
        <w:pStyle w:val="FootnoteText"/>
        <w:ind w:left="567" w:hanging="567"/>
        <w:rPr>
          <w:sz w:val="24"/>
          <w:lang w:val="pl-PL"/>
        </w:rPr>
      </w:pPr>
      <w:r w:rsidRPr="00B8199A">
        <w:rPr>
          <w:rStyle w:val="FootnoteReference"/>
          <w:sz w:val="24"/>
          <w:lang w:val="pl-PL"/>
        </w:rPr>
        <w:footnoteRef/>
      </w:r>
      <w:r w:rsidR="00B8199A" w:rsidRPr="00B8199A">
        <w:rPr>
          <w:sz w:val="24"/>
          <w:lang w:val="pl-PL"/>
        </w:rPr>
        <w:t xml:space="preserve"> </w:t>
      </w:r>
      <w:r w:rsidR="00B8199A" w:rsidRPr="00B8199A">
        <w:rPr>
          <w:sz w:val="24"/>
          <w:lang w:val="pl-PL"/>
        </w:rPr>
        <w:tab/>
      </w:r>
      <w:r w:rsidRPr="00B8199A">
        <w:rPr>
          <w:sz w:val="24"/>
          <w:lang w:val="pl-PL"/>
        </w:rPr>
        <w:t xml:space="preserve">Rozporządzenie Parlamentu Europejskiego i Rady (UE) 2025/1914 z dnia 18 września 2025 r. w sprawie zmiany rozporządzeń (UE) 2021/1058 i (UE) 2021/1056 w odniesieniu do środków szczególnych mających na celu sprostanie strategicznym wyzwaniom w kontekście przeglądu śródokresowego (Dz.U. L, 2025/1914, </w:t>
      </w:r>
      <w:proofErr w:type="gramStart"/>
      <w:r w:rsidRPr="00B8199A">
        <w:rPr>
          <w:sz w:val="24"/>
          <w:lang w:val="pl-PL"/>
        </w:rPr>
        <w:t>19.9.2025</w:t>
      </w:r>
      <w:proofErr w:type="gramEnd"/>
      <w:r w:rsidRPr="00B8199A">
        <w:rPr>
          <w:sz w:val="24"/>
          <w:lang w:val="pl-PL"/>
        </w:rPr>
        <w:t xml:space="preserve">, ELI: </w:t>
      </w:r>
      <w:hyperlink r:id="rId2" w:history="1">
        <w:r w:rsidR="0028499A" w:rsidRPr="00440E84">
          <w:rPr>
            <w:rStyle w:val="Hyperlink"/>
            <w:sz w:val="24"/>
            <w:lang w:val="pl-PL"/>
          </w:rPr>
          <w:t>http://data.europa.eu/eli/reg/2025/1914/oj</w:t>
        </w:r>
      </w:hyperlink>
      <w:r w:rsidRPr="00B8199A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D929F" w14:textId="77777777" w:rsidR="00064002" w:rsidRPr="00B819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D44A1" w14:textId="77777777" w:rsidR="00064002" w:rsidRPr="00B819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7D26C" w14:textId="77777777" w:rsidR="00064002" w:rsidRPr="00B819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75145942">
    <w:abstractNumId w:val="9"/>
  </w:num>
  <w:num w:numId="2" w16cid:durableId="1006447047">
    <w:abstractNumId w:val="9"/>
  </w:num>
  <w:num w:numId="3" w16cid:durableId="1996490694">
    <w:abstractNumId w:val="7"/>
  </w:num>
  <w:num w:numId="4" w16cid:durableId="914361167">
    <w:abstractNumId w:val="7"/>
  </w:num>
  <w:num w:numId="5" w16cid:durableId="1349213851">
    <w:abstractNumId w:val="6"/>
  </w:num>
  <w:num w:numId="6" w16cid:durableId="2113550823">
    <w:abstractNumId w:val="6"/>
  </w:num>
  <w:num w:numId="7" w16cid:durableId="1646662853">
    <w:abstractNumId w:val="5"/>
  </w:num>
  <w:num w:numId="8" w16cid:durableId="1199973492">
    <w:abstractNumId w:val="5"/>
  </w:num>
  <w:num w:numId="9" w16cid:durableId="414785267">
    <w:abstractNumId w:val="4"/>
  </w:num>
  <w:num w:numId="10" w16cid:durableId="1168322818">
    <w:abstractNumId w:val="4"/>
  </w:num>
  <w:num w:numId="11" w16cid:durableId="267735807">
    <w:abstractNumId w:val="8"/>
  </w:num>
  <w:num w:numId="12" w16cid:durableId="1976988816">
    <w:abstractNumId w:val="8"/>
  </w:num>
  <w:num w:numId="13" w16cid:durableId="588658358">
    <w:abstractNumId w:val="3"/>
  </w:num>
  <w:num w:numId="14" w16cid:durableId="318579279">
    <w:abstractNumId w:val="3"/>
  </w:num>
  <w:num w:numId="15" w16cid:durableId="997657884">
    <w:abstractNumId w:val="2"/>
  </w:num>
  <w:num w:numId="16" w16cid:durableId="1418214090">
    <w:abstractNumId w:val="2"/>
  </w:num>
  <w:num w:numId="17" w16cid:durableId="1195733317">
    <w:abstractNumId w:val="1"/>
  </w:num>
  <w:num w:numId="18" w16cid:durableId="1773621484">
    <w:abstractNumId w:val="1"/>
  </w:num>
  <w:num w:numId="19" w16cid:durableId="1302420866">
    <w:abstractNumId w:val="0"/>
  </w:num>
  <w:num w:numId="20" w16cid:durableId="1714230241">
    <w:abstractNumId w:val="0"/>
  </w:num>
  <w:num w:numId="21" w16cid:durableId="1050113472">
    <w:abstractNumId w:val="9"/>
  </w:num>
  <w:num w:numId="22" w16cid:durableId="2071807241">
    <w:abstractNumId w:val="7"/>
  </w:num>
  <w:num w:numId="23" w16cid:durableId="715200347">
    <w:abstractNumId w:val="6"/>
  </w:num>
  <w:num w:numId="24" w16cid:durableId="976030896">
    <w:abstractNumId w:val="5"/>
  </w:num>
  <w:num w:numId="25" w16cid:durableId="661087605">
    <w:abstractNumId w:val="4"/>
  </w:num>
  <w:num w:numId="26" w16cid:durableId="1287152490">
    <w:abstractNumId w:val="8"/>
  </w:num>
  <w:num w:numId="27" w16cid:durableId="2117484862">
    <w:abstractNumId w:val="3"/>
  </w:num>
  <w:num w:numId="28" w16cid:durableId="1958097223">
    <w:abstractNumId w:val="2"/>
  </w:num>
  <w:num w:numId="29" w16cid:durableId="1458450863">
    <w:abstractNumId w:val="1"/>
  </w:num>
  <w:num w:numId="30" w16cid:durableId="1199508047">
    <w:abstractNumId w:val="0"/>
  </w:num>
  <w:num w:numId="31" w16cid:durableId="1423725489">
    <w:abstractNumId w:val="9"/>
  </w:num>
  <w:num w:numId="32" w16cid:durableId="1672179774">
    <w:abstractNumId w:val="7"/>
  </w:num>
  <w:num w:numId="33" w16cid:durableId="1632054887">
    <w:abstractNumId w:val="6"/>
  </w:num>
  <w:num w:numId="34" w16cid:durableId="119493533">
    <w:abstractNumId w:val="5"/>
  </w:num>
  <w:num w:numId="35" w16cid:durableId="938832421">
    <w:abstractNumId w:val="4"/>
  </w:num>
  <w:num w:numId="36" w16cid:durableId="127282364">
    <w:abstractNumId w:val="8"/>
  </w:num>
  <w:num w:numId="37" w16cid:durableId="1833258339">
    <w:abstractNumId w:val="3"/>
  </w:num>
  <w:num w:numId="38" w16cid:durableId="141317374">
    <w:abstractNumId w:val="2"/>
  </w:num>
  <w:num w:numId="39" w16cid:durableId="1421104843">
    <w:abstractNumId w:val="1"/>
  </w:num>
  <w:num w:numId="40" w16cid:durableId="1365904419">
    <w:abstractNumId w:val="0"/>
  </w:num>
  <w:num w:numId="41" w16cid:durableId="898829833">
    <w:abstractNumId w:val="10"/>
  </w:num>
  <w:num w:numId="42" w16cid:durableId="1047536306">
    <w:abstractNumId w:val="10"/>
  </w:num>
  <w:num w:numId="43" w16cid:durableId="27219482">
    <w:abstractNumId w:val="10"/>
  </w:num>
  <w:num w:numId="44" w16cid:durableId="21032127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60/2025"/>
    <w:docVar w:name="dvlangue" w:val="PL"/>
    <w:docVar w:name="dvnumam" w:val="0"/>
    <w:docVar w:name="dvpe" w:val="778.177"/>
    <w:docVar w:name="dvtitre" w:val="Decyzja Parlamentu Europejskiego z dnia  2025 r. w sprawie niewyrażania sprzeciwu wobec rozporządzenia delegowanego Komisji z dnia 22 września 2025 r. zmieniającego załącznik I do rozporządzenia Parlamentu Europejskiego i Rady (UE) 2021/1060 w odniesieniu do nomenklatury wymiarów i kodów rodzajów interwencji w ramach EFRR, EFS+, Funduszu Spójności i FST _x000d__x000a_(C(2025)06376 – 2025/2888(DEA))"/>
  </w:docVars>
  <w:rsids>
    <w:rsidRoot w:val="005A0BE8"/>
    <w:rsid w:val="00001FBF"/>
    <w:rsid w:val="00002272"/>
    <w:rsid w:val="00064002"/>
    <w:rsid w:val="000677B9"/>
    <w:rsid w:val="000831BA"/>
    <w:rsid w:val="000A42CC"/>
    <w:rsid w:val="000E7DD9"/>
    <w:rsid w:val="0010095E"/>
    <w:rsid w:val="00101C91"/>
    <w:rsid w:val="00125B37"/>
    <w:rsid w:val="00187494"/>
    <w:rsid w:val="001F32AE"/>
    <w:rsid w:val="0027322D"/>
    <w:rsid w:val="002767FF"/>
    <w:rsid w:val="0028499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0E84"/>
    <w:rsid w:val="00471C19"/>
    <w:rsid w:val="004867E3"/>
    <w:rsid w:val="00494A28"/>
    <w:rsid w:val="004B4415"/>
    <w:rsid w:val="004C0004"/>
    <w:rsid w:val="004C5D52"/>
    <w:rsid w:val="0050519A"/>
    <w:rsid w:val="005072A1"/>
    <w:rsid w:val="00514517"/>
    <w:rsid w:val="00545827"/>
    <w:rsid w:val="00560270"/>
    <w:rsid w:val="005A0BE8"/>
    <w:rsid w:val="005C2568"/>
    <w:rsid w:val="005F1B17"/>
    <w:rsid w:val="006037C0"/>
    <w:rsid w:val="0064685C"/>
    <w:rsid w:val="006631B6"/>
    <w:rsid w:val="00680577"/>
    <w:rsid w:val="006F74FA"/>
    <w:rsid w:val="00731ADD"/>
    <w:rsid w:val="00734777"/>
    <w:rsid w:val="00745EE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0218"/>
    <w:rsid w:val="00AB441E"/>
    <w:rsid w:val="00AB6293"/>
    <w:rsid w:val="00AE0928"/>
    <w:rsid w:val="00AF3B82"/>
    <w:rsid w:val="00B12E95"/>
    <w:rsid w:val="00B22876"/>
    <w:rsid w:val="00B558F0"/>
    <w:rsid w:val="00B8199A"/>
    <w:rsid w:val="00BD48FE"/>
    <w:rsid w:val="00BD7BD8"/>
    <w:rsid w:val="00BE6ADC"/>
    <w:rsid w:val="00C05BFE"/>
    <w:rsid w:val="00C06A1B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7A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C46060"/>
  <w15:chartTrackingRefBased/>
  <w15:docId w15:val="{08C42A63-1143-43A4-BA40-BDA2C6415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01FBF"/>
    <w:pPr>
      <w:spacing w:before="480" w:after="240"/>
    </w:pPr>
  </w:style>
  <w:style w:type="paragraph" w:customStyle="1" w:styleId="NormalHanging12a">
    <w:name w:val="NormalHanging12a"/>
    <w:basedOn w:val="Normal"/>
    <w:rsid w:val="00001FBF"/>
    <w:pPr>
      <w:spacing w:after="240"/>
      <w:ind w:left="567" w:hanging="567"/>
    </w:pPr>
  </w:style>
  <w:style w:type="character" w:styleId="Hyperlink">
    <w:name w:val="Hyperlink"/>
    <w:basedOn w:val="DefaultParagraphFont"/>
    <w:rsid w:val="002849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5/1914/oj" TargetMode="External"/><Relationship Id="rId1" Type="http://schemas.openxmlformats.org/officeDocument/2006/relationships/hyperlink" Target="http://data.europa.eu/eli/reg/2021/10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3309</Characters>
  <Application>Microsoft Office Word</Application>
  <DocSecurity>0</DocSecurity>
  <Lines>143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2025-11-25T06:51:00Z</dcterms:created>
  <dcterms:modified xsi:type="dcterms:W3CDTF">2025-11-25T06:51:00Z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B10-0460/2025</vt:lpwstr>
  </property>
  <property fmtid="{D5CDD505-2E9C-101B-9397-08002B2CF9AE}" pid="4" name="&lt;Type&gt;">
    <vt:lpwstr>RR</vt:lpwstr>
  </property>
</Properties>
</file>