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9175E" w14:paraId="0FAEBE4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BC382F3" w14:textId="5A362F92" w:rsidR="00751A4A" w:rsidRPr="00C9175E" w:rsidRDefault="004202C6" w:rsidP="0010095E">
            <w:pPr>
              <w:pStyle w:val="EPName"/>
            </w:pPr>
            <w:r w:rsidRPr="00C9175E">
              <w:t xml:space="preserve">Parlamento </w:t>
            </w:r>
            <w:proofErr w:type="gramStart"/>
            <w:r w:rsidRPr="00C9175E">
              <w:t>Europeu</w:t>
            </w:r>
            <w:proofErr w:type="gramEnd"/>
          </w:p>
          <w:p w14:paraId="56837340" w14:textId="77777777" w:rsidR="00751A4A" w:rsidRPr="00C9175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9175E">
              <w:t>2024</w:t>
            </w:r>
            <w:r w:rsidR="00817416" w:rsidRPr="00C9175E">
              <w:t>-202</w:t>
            </w:r>
            <w:r w:rsidRPr="00C9175E">
              <w:t>9</w:t>
            </w:r>
          </w:p>
        </w:tc>
        <w:tc>
          <w:tcPr>
            <w:tcW w:w="2268" w:type="dxa"/>
            <w:shd w:val="clear" w:color="auto" w:fill="auto"/>
          </w:tcPr>
          <w:p w14:paraId="0BE94953" w14:textId="77777777" w:rsidR="00751A4A" w:rsidRPr="00C9175E" w:rsidRDefault="00187494" w:rsidP="0010095E">
            <w:pPr>
              <w:pStyle w:val="EPLogo"/>
            </w:pPr>
            <w:r w:rsidRPr="00C9175E">
              <w:rPr>
                <w:noProof/>
                <w:lang w:eastAsia="ja-JP"/>
              </w:rPr>
              <w:drawing>
                <wp:inline distT="0" distB="0" distL="0" distR="0" wp14:anchorId="7CA6FA54" wp14:editId="2CDE5E6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C6B4C9" w14:textId="77777777" w:rsidR="00D058B8" w:rsidRPr="00C9175E" w:rsidRDefault="00D058B8" w:rsidP="004C5D52">
      <w:pPr>
        <w:pStyle w:val="LineTop"/>
      </w:pPr>
    </w:p>
    <w:p w14:paraId="0B125AB0" w14:textId="072FA530" w:rsidR="00680577" w:rsidRPr="00C9175E" w:rsidRDefault="004202C6" w:rsidP="00680577">
      <w:pPr>
        <w:pStyle w:val="EPBodyTA1"/>
      </w:pPr>
      <w:r w:rsidRPr="00C9175E">
        <w:t>TEXTOS APROVADOS</w:t>
      </w:r>
    </w:p>
    <w:p w14:paraId="5A2DD958" w14:textId="77777777" w:rsidR="00D058B8" w:rsidRPr="00C9175E" w:rsidRDefault="00D058B8" w:rsidP="00D058B8">
      <w:pPr>
        <w:pStyle w:val="LineBottom"/>
      </w:pPr>
    </w:p>
    <w:p w14:paraId="7B8B480C" w14:textId="5AF9556C" w:rsidR="004202C6" w:rsidRPr="00C9175E" w:rsidRDefault="004202C6" w:rsidP="004202C6">
      <w:pPr>
        <w:pStyle w:val="ATHeading1"/>
      </w:pPr>
      <w:bookmarkStart w:id="0" w:name="TANumber"/>
      <w:r w:rsidRPr="00C9175E">
        <w:t>P10_TA(2025)</w:t>
      </w:r>
      <w:bookmarkEnd w:id="0"/>
      <w:r w:rsidR="00125CAA" w:rsidRPr="00C9175E">
        <w:t>0243</w:t>
      </w:r>
    </w:p>
    <w:p w14:paraId="5D4C774F" w14:textId="142A41B6" w:rsidR="004202C6" w:rsidRPr="00C9175E" w:rsidRDefault="00921B0E" w:rsidP="004202C6">
      <w:pPr>
        <w:pStyle w:val="ATHeading2"/>
      </w:pPr>
      <w:bookmarkStart w:id="1" w:name="title"/>
      <w:r w:rsidRPr="00C9175E">
        <w:t xml:space="preserve">Não objeção a um ato delegado: Nomenclatura </w:t>
      </w:r>
      <w:r w:rsidR="004202C6" w:rsidRPr="00C9175E">
        <w:t>das dimensões e dos códigos dos tipos de intervenção do FEDER, do FSE+, do Fundo de Coesão e do FTJ</w:t>
      </w:r>
      <w:bookmarkEnd w:id="1"/>
    </w:p>
    <w:p w14:paraId="08AAEC94" w14:textId="77777777" w:rsidR="004202C6" w:rsidRPr="00C9175E" w:rsidRDefault="004202C6" w:rsidP="004202C6">
      <w:pPr>
        <w:rPr>
          <w:i/>
          <w:vanish/>
        </w:rPr>
      </w:pPr>
      <w:r w:rsidRPr="00C9175E">
        <w:rPr>
          <w:i/>
        </w:rPr>
        <w:fldChar w:fldCharType="begin"/>
      </w:r>
      <w:r w:rsidRPr="00C9175E">
        <w:rPr>
          <w:i/>
        </w:rPr>
        <w:instrText xml:space="preserve"> TC"(</w:instrText>
      </w:r>
      <w:bookmarkStart w:id="2" w:name="DocNumber"/>
      <w:r w:rsidRPr="00C9175E">
        <w:rPr>
          <w:i/>
        </w:rPr>
        <w:instrText>B10-0460/2025</w:instrText>
      </w:r>
      <w:bookmarkEnd w:id="2"/>
      <w:r w:rsidRPr="00C9175E">
        <w:rPr>
          <w:i/>
        </w:rPr>
        <w:instrText xml:space="preserve">)"\l3 \n&gt; \* MERGEFORMAT </w:instrText>
      </w:r>
      <w:r w:rsidRPr="00C9175E">
        <w:rPr>
          <w:i/>
        </w:rPr>
        <w:fldChar w:fldCharType="end"/>
      </w:r>
    </w:p>
    <w:p w14:paraId="6AC503D4" w14:textId="77777777" w:rsidR="004202C6" w:rsidRPr="00C9175E" w:rsidRDefault="004202C6" w:rsidP="004202C6">
      <w:pPr>
        <w:rPr>
          <w:vanish/>
        </w:rPr>
      </w:pPr>
      <w:bookmarkStart w:id="3" w:name="PE"/>
      <w:r w:rsidRPr="00C9175E">
        <w:rPr>
          <w:vanish/>
        </w:rPr>
        <w:t>PE778.177</w:t>
      </w:r>
      <w:bookmarkEnd w:id="3"/>
    </w:p>
    <w:p w14:paraId="37C5EEAF" w14:textId="468E5C47" w:rsidR="004202C6" w:rsidRPr="00C9175E" w:rsidRDefault="004202C6" w:rsidP="004202C6">
      <w:pPr>
        <w:pStyle w:val="ATHeading3"/>
      </w:pPr>
      <w:bookmarkStart w:id="4" w:name="Sujet"/>
      <w:r w:rsidRPr="00C9175E">
        <w:t xml:space="preserve">Decisão do Parlamento Europeu referente à não formulação de objeções ao Regulamento Delegado da Comissão, de 22 de setembro de 2025, que altera o anexo I do Regulamento (UE) 2021/1060 do Parlamento Europeu e do Conselho no que diz respeito à nomenclatura das dimensões e dos códigos dos tipos de intervenção do FEDER, do FSE+, do Fundo de Coesão e do FTJ </w:t>
      </w:r>
      <w:bookmarkStart w:id="5" w:name="References"/>
      <w:r w:rsidRPr="00C9175E">
        <w:t>(C(2025)06376 – 2025/2888(DEA))</w:t>
      </w:r>
      <w:bookmarkEnd w:id="5"/>
    </w:p>
    <w:p w14:paraId="02D24CAF" w14:textId="77777777" w:rsidR="00B34105" w:rsidRPr="00C9175E" w:rsidRDefault="00B34105" w:rsidP="00B34105">
      <w:pPr>
        <w:pStyle w:val="EPComma"/>
        <w:rPr>
          <w:i/>
        </w:rPr>
      </w:pPr>
      <w:bookmarkStart w:id="6" w:name="TextBodyBegin"/>
      <w:bookmarkEnd w:id="4"/>
      <w:bookmarkEnd w:id="6"/>
      <w:r w:rsidRPr="00C9175E">
        <w:rPr>
          <w:i/>
        </w:rPr>
        <w:t>O Parlamento Europeu,</w:t>
      </w:r>
    </w:p>
    <w:p w14:paraId="58D490EB" w14:textId="592F4D33" w:rsidR="00B34105" w:rsidRPr="00C9175E" w:rsidRDefault="00B34105" w:rsidP="00B34105">
      <w:pPr>
        <w:pStyle w:val="NormalHanging12a"/>
      </w:pPr>
      <w:r w:rsidRPr="00C9175E">
        <w:t>–</w:t>
      </w:r>
      <w:r w:rsidRPr="00C9175E">
        <w:tab/>
        <w:t xml:space="preserve">Tendo em conta o Regulamento Delegado </w:t>
      </w:r>
      <w:r w:rsidR="00921B0E" w:rsidRPr="00C9175E">
        <w:t>(</w:t>
      </w:r>
      <w:r w:rsidRPr="00C9175E">
        <w:t>C(2025)06376</w:t>
      </w:r>
      <w:r w:rsidR="00921B0E" w:rsidRPr="00C9175E">
        <w:t>)</w:t>
      </w:r>
      <w:r w:rsidRPr="00C9175E">
        <w:t xml:space="preserve"> da Comissão,</w:t>
      </w:r>
    </w:p>
    <w:p w14:paraId="6DC85BD1" w14:textId="77777777" w:rsidR="00B34105" w:rsidRPr="00C9175E" w:rsidRDefault="00B34105" w:rsidP="00B34105">
      <w:pPr>
        <w:pStyle w:val="NormalHanging12a"/>
      </w:pPr>
      <w:r w:rsidRPr="00C9175E">
        <w:t>–</w:t>
      </w:r>
      <w:r w:rsidRPr="00C9175E">
        <w:tab/>
        <w:t>Tendo em conta a carta da Comissão, de 22 de setembro de 2025, em que esta solicita ao Parlamento que declare que não formulará objeções ao regulamento delegado,</w:t>
      </w:r>
    </w:p>
    <w:p w14:paraId="3A77469B" w14:textId="06B193B1" w:rsidR="00B34105" w:rsidRPr="00C9175E" w:rsidRDefault="00B34105" w:rsidP="00B34105">
      <w:pPr>
        <w:pStyle w:val="NormalHanging12a"/>
      </w:pPr>
      <w:r w:rsidRPr="00C9175E">
        <w:t>–</w:t>
      </w:r>
      <w:r w:rsidRPr="00C9175E">
        <w:tab/>
        <w:t xml:space="preserve">Tendo em conta a carta da Comissão do Desenvolvimento Regional ao presidente da Conferência dos Presidentes das Comissões, de </w:t>
      </w:r>
      <w:r w:rsidR="00921B0E" w:rsidRPr="00C9175E">
        <w:t>14 de outubro de 2025</w:t>
      </w:r>
      <w:r w:rsidRPr="00C9175E">
        <w:t>,</w:t>
      </w:r>
    </w:p>
    <w:p w14:paraId="0CDC6E85" w14:textId="77777777" w:rsidR="00B34105" w:rsidRPr="00C9175E" w:rsidRDefault="00B34105" w:rsidP="00B34105">
      <w:pPr>
        <w:pStyle w:val="NormalHanging12a"/>
      </w:pPr>
      <w:r w:rsidRPr="00C9175E">
        <w:t>–</w:t>
      </w:r>
      <w:r w:rsidRPr="00C9175E">
        <w:tab/>
        <w:t>Tendo em conta o artigo 290.º do Tratado sobre o Funcionamento da União Europeia,</w:t>
      </w:r>
    </w:p>
    <w:p w14:paraId="7F889F5B" w14:textId="77777777" w:rsidR="00B34105" w:rsidRPr="00C9175E" w:rsidRDefault="00B34105" w:rsidP="00B34105">
      <w:pPr>
        <w:pStyle w:val="NormalHanging12a"/>
      </w:pPr>
      <w:r w:rsidRPr="00C9175E">
        <w:t>–</w:t>
      </w:r>
      <w:r w:rsidRPr="00C9175E">
        <w:tab/>
        <w:t>Tendo em conta o Regulamento (UE) 2021/1060 do Parlamento Europeu e do Conselho, de 24 de junho de 2021, que estabelece disposições comuns relativas ao Fundo Europeu de Desenvolvimento Regional, ao Fundo Social Europeu Mais, ao Fundo de Coesão, ao Fundo para uma Transição Justa e ao Fundo Europeu dos Assuntos Marítimos, das Pescas e da Aquicultura e regras financeiras aplicáveis a esses fundos e ao Fundo para o Asilo, a Migração e a Integração, ao Fundo para a Segurança Interna e ao Instrumento de Apoio Financeiro à Gestão das Fronteiras e à Política de Vistos</w:t>
      </w:r>
      <w:r w:rsidRPr="00C9175E">
        <w:rPr>
          <w:vertAlign w:val="superscript"/>
        </w:rPr>
        <w:footnoteReference w:id="1"/>
      </w:r>
      <w:r w:rsidRPr="00C9175E">
        <w:t>, nomeadamente o artigo 113.º e o artigo114.º, n.º 6,</w:t>
      </w:r>
    </w:p>
    <w:p w14:paraId="37566B5B" w14:textId="77777777" w:rsidR="00B34105" w:rsidRPr="00C9175E" w:rsidRDefault="00B34105" w:rsidP="00B34105">
      <w:pPr>
        <w:pStyle w:val="NormalHanging12a"/>
      </w:pPr>
      <w:r w:rsidRPr="00C9175E">
        <w:t>–</w:t>
      </w:r>
      <w:r w:rsidRPr="00C9175E">
        <w:tab/>
        <w:t>Tendo em conta o artigo 114.º, n.º 6, do seu Regimento,</w:t>
      </w:r>
    </w:p>
    <w:p w14:paraId="0961614C" w14:textId="77777777" w:rsidR="00B34105" w:rsidRPr="00C9175E" w:rsidRDefault="00B34105" w:rsidP="00B34105">
      <w:pPr>
        <w:pStyle w:val="NormalHanging12a"/>
      </w:pPr>
      <w:r w:rsidRPr="00C9175E">
        <w:t>–</w:t>
      </w:r>
      <w:r w:rsidRPr="00C9175E">
        <w:tab/>
        <w:t>Tendo em conta a recomendação de decisão da Comissão do Desenvolvimento Regional,</w:t>
      </w:r>
    </w:p>
    <w:p w14:paraId="1C9A03B5" w14:textId="282176E4" w:rsidR="00921B0E" w:rsidRPr="00C9175E" w:rsidRDefault="00921B0E" w:rsidP="00B34105">
      <w:pPr>
        <w:pStyle w:val="NormalHanging12a"/>
      </w:pPr>
      <w:r w:rsidRPr="00C9175E">
        <w:t>–</w:t>
      </w:r>
      <w:r w:rsidRPr="00C9175E">
        <w:tab/>
        <w:t xml:space="preserve">Tendo em conta que não foram formuladas objeções no prazo fixado no artigo 114.º, n.º 6, terceiro e quarto travessões, do seu Regimento, que expirou em 21 de outubro </w:t>
      </w:r>
      <w:r w:rsidRPr="00C9175E">
        <w:lastRenderedPageBreak/>
        <w:t>de 2025,</w:t>
      </w:r>
    </w:p>
    <w:p w14:paraId="77DE4EE9" w14:textId="5BC1D19B" w:rsidR="00B34105" w:rsidRPr="00C9175E" w:rsidRDefault="00B34105" w:rsidP="00B34105">
      <w:pPr>
        <w:pStyle w:val="NormalHanging12a"/>
      </w:pPr>
      <w:r w:rsidRPr="00C9175E">
        <w:t>A.</w:t>
      </w:r>
      <w:r w:rsidRPr="00C9175E">
        <w:tab/>
        <w:t>Considerando que, a fim de permitir que os Estados</w:t>
      </w:r>
      <w:r w:rsidRPr="00C9175E">
        <w:noBreakHyphen/>
        <w:t>Membros procedam a uma reprogramação significativa no contexto da revisão intercalar e de concentrar os recursos nas novas prioridades estratégicas da União, estabelecidas no Regulamento (UE) 2021/1060, a Comissão apresentou, em 4 de abril de 2025, um pedido para aplicar o processo de urgência, em conformidade com o artigo 170.º do Regimento do Parlamento Europeu, à sua proposta de regulamento que altera os Regulamentos (UE) 2021/1058 e (UE) 2021/1056 no respeitante a medidas específicas para fazer face a desafios estratégicos no contexto da revisão intercalar</w:t>
      </w:r>
      <w:r w:rsidRPr="00C9175E">
        <w:rPr>
          <w:vertAlign w:val="superscript"/>
        </w:rPr>
        <w:footnoteReference w:id="2"/>
      </w:r>
      <w:r w:rsidR="00F102E8" w:rsidRPr="00C9175E">
        <w:t>; considerando que</w:t>
      </w:r>
      <w:r w:rsidRPr="00C9175E">
        <w:t xml:space="preserve"> a Comissão apresentou essa proposta na reunião da Comissão do Desenvolvimento Regional de 9 de abril de 2025;</w:t>
      </w:r>
    </w:p>
    <w:p w14:paraId="26864A97" w14:textId="77777777" w:rsidR="00B34105" w:rsidRPr="00C9175E" w:rsidRDefault="00B34105" w:rsidP="00B34105">
      <w:pPr>
        <w:pStyle w:val="NormalHanging12a"/>
      </w:pPr>
      <w:r w:rsidRPr="00C9175E">
        <w:t>B.</w:t>
      </w:r>
      <w:r w:rsidRPr="00C9175E">
        <w:tab/>
        <w:t>Considerando que, na sua reunião de 5 de maio de 2025, a Comissão do Desenvolvimento Regional decidiu apoiar o pedido de aplicação de um processo de urgência, nos termos do artigo 170.º, n.º 5, do seu Regimento, que conduziu à adoção do Regulamento (UE) 2025/1914 do Parlamento Europeu e do Conselho</w:t>
      </w:r>
      <w:r w:rsidRPr="00C9175E">
        <w:rPr>
          <w:vertAlign w:val="superscript"/>
        </w:rPr>
        <w:footnoteReference w:id="3"/>
      </w:r>
      <w:r w:rsidRPr="00C9175E">
        <w:t>,</w:t>
      </w:r>
    </w:p>
    <w:p w14:paraId="08E845C5" w14:textId="359301E6" w:rsidR="00B34105" w:rsidRPr="00C9175E" w:rsidRDefault="00B34105" w:rsidP="00B34105">
      <w:pPr>
        <w:pStyle w:val="NormalHanging12a"/>
      </w:pPr>
      <w:r w:rsidRPr="00C9175E">
        <w:t>C.</w:t>
      </w:r>
      <w:r w:rsidRPr="00C9175E">
        <w:tab/>
        <w:t>Considerando que o Regulamento Delegado da Comissão é necessário para assegurar o alinhamento e a coerência entre o Regulamento (UE) 2021/1060 e os regulamentos específicos dos fundos (Regulamentos FEDER/Fundo de Coesão, FSE+ e FTJ), com o objetivo de assegurar que os objetivos específicos alterados e recentemente introduzidos nos termos do Regulamento (UE) 2025/1914 possam ser executados através do aditamento dos domínios de intervenção correspondentes no anexo I do Regulamento (UE) 2021/1060 e permitir a sua utilização na execução e comunicação de informações do programa;</w:t>
      </w:r>
    </w:p>
    <w:p w14:paraId="51C951E9" w14:textId="77777777" w:rsidR="00B34105" w:rsidRPr="00C9175E" w:rsidRDefault="00B34105" w:rsidP="00B34105">
      <w:pPr>
        <w:pStyle w:val="NormalHanging12a"/>
      </w:pPr>
      <w:r w:rsidRPr="00C9175E">
        <w:t>1.</w:t>
      </w:r>
      <w:r w:rsidRPr="00C9175E">
        <w:tab/>
        <w:t>Declara não formular objeções ao regulamento delegado;</w:t>
      </w:r>
    </w:p>
    <w:p w14:paraId="58A03D07" w14:textId="0F8BB2EA" w:rsidR="004A005E" w:rsidRPr="00C9175E" w:rsidRDefault="00B34105" w:rsidP="004A005E">
      <w:pPr>
        <w:pStyle w:val="NormalHanging12a"/>
        <w:rPr>
          <w:lang w:eastAsia="fr-FR"/>
        </w:rPr>
      </w:pPr>
      <w:r w:rsidRPr="00C9175E">
        <w:t>2.</w:t>
      </w:r>
      <w:r w:rsidRPr="00C9175E">
        <w:tab/>
        <w:t xml:space="preserve">Encarrega a sua Presidente de transmitir a presente decisão </w:t>
      </w:r>
      <w:r w:rsidR="004A005E" w:rsidRPr="00C9175E">
        <w:t>ao Conselho e à Comissão.</w:t>
      </w:r>
    </w:p>
    <w:sectPr w:rsidR="004A005E" w:rsidRPr="00C9175E" w:rsidSect="004A00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F6FCE" w14:textId="77777777" w:rsidR="004202C6" w:rsidRPr="004A005E" w:rsidRDefault="004202C6">
      <w:r w:rsidRPr="004A005E">
        <w:separator/>
      </w:r>
    </w:p>
  </w:endnote>
  <w:endnote w:type="continuationSeparator" w:id="0">
    <w:p w14:paraId="2739ACF8" w14:textId="77777777" w:rsidR="004202C6" w:rsidRPr="004A005E" w:rsidRDefault="004202C6">
      <w:r w:rsidRPr="004A005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94209" w14:textId="77777777" w:rsidR="00064002" w:rsidRPr="004A005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76C6C" w14:textId="77777777" w:rsidR="00064002" w:rsidRPr="004A005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4790C" w14:textId="77777777" w:rsidR="00064002" w:rsidRPr="004A005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A684E" w14:textId="77777777" w:rsidR="004202C6" w:rsidRPr="004A005E" w:rsidRDefault="004202C6">
      <w:r w:rsidRPr="004A005E">
        <w:separator/>
      </w:r>
    </w:p>
  </w:footnote>
  <w:footnote w:type="continuationSeparator" w:id="0">
    <w:p w14:paraId="61A20C32" w14:textId="77777777" w:rsidR="004202C6" w:rsidRPr="004A005E" w:rsidRDefault="004202C6">
      <w:r w:rsidRPr="004A005E">
        <w:continuationSeparator/>
      </w:r>
    </w:p>
  </w:footnote>
  <w:footnote w:id="1">
    <w:p w14:paraId="694C846C" w14:textId="7A17851C" w:rsidR="00B34105" w:rsidRPr="004A005E" w:rsidRDefault="00B34105" w:rsidP="004A005E">
      <w:pPr>
        <w:pStyle w:val="FootnoteText"/>
        <w:ind w:left="567" w:hanging="567"/>
        <w:rPr>
          <w:sz w:val="24"/>
          <w:lang w:val="pt-PT"/>
        </w:rPr>
      </w:pPr>
      <w:r w:rsidRPr="004A005E">
        <w:rPr>
          <w:rStyle w:val="FootnoteReference"/>
          <w:sz w:val="24"/>
          <w:lang w:val="pt-PT"/>
        </w:rPr>
        <w:footnoteRef/>
      </w:r>
      <w:r w:rsidR="004A005E" w:rsidRPr="004A005E">
        <w:rPr>
          <w:sz w:val="24"/>
          <w:lang w:val="pt-PT"/>
        </w:rPr>
        <w:t xml:space="preserve"> </w:t>
      </w:r>
      <w:r w:rsidR="004A005E" w:rsidRPr="004A005E">
        <w:rPr>
          <w:sz w:val="24"/>
          <w:lang w:val="pt-PT"/>
        </w:rPr>
        <w:tab/>
      </w:r>
      <w:r w:rsidRPr="004A005E">
        <w:rPr>
          <w:sz w:val="24"/>
          <w:lang w:val="pt-PT"/>
        </w:rPr>
        <w:t xml:space="preserve">JO L 231 de 30.6.2021, p. 159, ELI: </w:t>
      </w:r>
      <w:hyperlink r:id="rId1" w:history="1">
        <w:r w:rsidRPr="00F102E8">
          <w:rPr>
            <w:rStyle w:val="Hyperlink"/>
            <w:sz w:val="24"/>
            <w:lang w:val="pt-PT"/>
          </w:rPr>
          <w:t>http://data.europa.eu/eli/reg/2021/1060/oj</w:t>
        </w:r>
      </w:hyperlink>
      <w:r w:rsidRPr="004A005E">
        <w:rPr>
          <w:sz w:val="24"/>
          <w:lang w:val="pt-PT"/>
        </w:rPr>
        <w:t>.</w:t>
      </w:r>
    </w:p>
  </w:footnote>
  <w:footnote w:id="2">
    <w:p w14:paraId="3781065E" w14:textId="5633A49E" w:rsidR="00B34105" w:rsidRPr="004A005E" w:rsidRDefault="00B34105" w:rsidP="004A005E">
      <w:pPr>
        <w:pStyle w:val="FootnoteText"/>
        <w:ind w:left="567" w:hanging="567"/>
        <w:rPr>
          <w:sz w:val="24"/>
          <w:lang w:val="pt-PT"/>
        </w:rPr>
      </w:pPr>
      <w:r w:rsidRPr="004A005E">
        <w:rPr>
          <w:rStyle w:val="FootnoteReference"/>
          <w:sz w:val="24"/>
          <w:lang w:val="pt-PT"/>
        </w:rPr>
        <w:footnoteRef/>
      </w:r>
      <w:r w:rsidR="004A005E" w:rsidRPr="004A005E">
        <w:rPr>
          <w:sz w:val="24"/>
          <w:lang w:val="pt-PT"/>
        </w:rPr>
        <w:t xml:space="preserve"> </w:t>
      </w:r>
      <w:r w:rsidR="004A005E" w:rsidRPr="004A005E">
        <w:rPr>
          <w:sz w:val="24"/>
          <w:lang w:val="pt-PT"/>
        </w:rPr>
        <w:tab/>
      </w:r>
      <w:r w:rsidRPr="004A005E">
        <w:rPr>
          <w:sz w:val="24"/>
          <w:lang w:val="pt-PT"/>
        </w:rPr>
        <w:t>COM(2025</w:t>
      </w:r>
      <w:r w:rsidR="00921B0E" w:rsidRPr="004A005E">
        <w:rPr>
          <w:sz w:val="24"/>
          <w:lang w:val="pt-PT"/>
        </w:rPr>
        <w:t>)</w:t>
      </w:r>
      <w:r w:rsidR="00921B0E">
        <w:rPr>
          <w:sz w:val="24"/>
          <w:lang w:val="pt-PT"/>
        </w:rPr>
        <w:t>0</w:t>
      </w:r>
      <w:r w:rsidRPr="004A005E">
        <w:rPr>
          <w:sz w:val="24"/>
          <w:lang w:val="pt-PT"/>
        </w:rPr>
        <w:t>123.</w:t>
      </w:r>
    </w:p>
  </w:footnote>
  <w:footnote w:id="3">
    <w:p w14:paraId="6BDE0389" w14:textId="55766A0F" w:rsidR="00B34105" w:rsidRPr="004A005E" w:rsidRDefault="00B34105" w:rsidP="004A005E">
      <w:pPr>
        <w:pStyle w:val="FootnoteText"/>
        <w:ind w:left="567" w:hanging="567"/>
        <w:rPr>
          <w:sz w:val="24"/>
          <w:lang w:val="pt-PT"/>
        </w:rPr>
      </w:pPr>
      <w:r w:rsidRPr="004A005E">
        <w:rPr>
          <w:rStyle w:val="FootnoteReference"/>
          <w:sz w:val="24"/>
          <w:lang w:val="pt-PT"/>
        </w:rPr>
        <w:footnoteRef/>
      </w:r>
      <w:r w:rsidR="004A005E" w:rsidRPr="004A005E">
        <w:rPr>
          <w:sz w:val="24"/>
          <w:lang w:val="pt-PT"/>
        </w:rPr>
        <w:t xml:space="preserve"> </w:t>
      </w:r>
      <w:r w:rsidR="004A005E" w:rsidRPr="004A005E">
        <w:rPr>
          <w:sz w:val="24"/>
          <w:lang w:val="pt-PT"/>
        </w:rPr>
        <w:tab/>
      </w:r>
      <w:r w:rsidRPr="004A005E">
        <w:rPr>
          <w:sz w:val="24"/>
          <w:lang w:val="pt-PT"/>
        </w:rPr>
        <w:t xml:space="preserve">Regulamento (UE) 2025/1914 do Parlamento Europeu e do Conselho, de 18 de setembro de 2025, que altera os Regulamentos (UE) 2021/1058 e (UE) 2021/1056 no respeitante a medidas específicas para fazer face a desafios estratégicos no contexto da revisão intercalar (JO L, 2025/1914, 19.9.2025, ELI: </w:t>
      </w:r>
      <w:hyperlink r:id="rId2" w:history="1">
        <w:r w:rsidRPr="00F102E8">
          <w:rPr>
            <w:rStyle w:val="Hyperlink"/>
            <w:sz w:val="24"/>
            <w:lang w:val="pt-PT"/>
          </w:rPr>
          <w:t>http://data.europa.eu/eli/reg/2025/1914/oj</w:t>
        </w:r>
      </w:hyperlink>
      <w:r w:rsidRPr="004A005E">
        <w:rPr>
          <w:sz w:val="24"/>
          <w:lang w:val="pt-P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0CEF0" w14:textId="77777777" w:rsidR="00064002" w:rsidRPr="004A005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F409F" w14:textId="77777777" w:rsidR="00064002" w:rsidRPr="004A005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EC6E7" w14:textId="77777777" w:rsidR="00064002" w:rsidRPr="004A005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30981155">
    <w:abstractNumId w:val="9"/>
  </w:num>
  <w:num w:numId="2" w16cid:durableId="2090494792">
    <w:abstractNumId w:val="9"/>
  </w:num>
  <w:num w:numId="3" w16cid:durableId="941037786">
    <w:abstractNumId w:val="7"/>
  </w:num>
  <w:num w:numId="4" w16cid:durableId="1482231926">
    <w:abstractNumId w:val="7"/>
  </w:num>
  <w:num w:numId="5" w16cid:durableId="992224752">
    <w:abstractNumId w:val="6"/>
  </w:num>
  <w:num w:numId="6" w16cid:durableId="1712345611">
    <w:abstractNumId w:val="6"/>
  </w:num>
  <w:num w:numId="7" w16cid:durableId="988902037">
    <w:abstractNumId w:val="5"/>
  </w:num>
  <w:num w:numId="8" w16cid:durableId="1477145559">
    <w:abstractNumId w:val="5"/>
  </w:num>
  <w:num w:numId="9" w16cid:durableId="899561041">
    <w:abstractNumId w:val="4"/>
  </w:num>
  <w:num w:numId="10" w16cid:durableId="623466063">
    <w:abstractNumId w:val="4"/>
  </w:num>
  <w:num w:numId="11" w16cid:durableId="1785533536">
    <w:abstractNumId w:val="8"/>
  </w:num>
  <w:num w:numId="12" w16cid:durableId="1503084405">
    <w:abstractNumId w:val="8"/>
  </w:num>
  <w:num w:numId="13" w16cid:durableId="1312440702">
    <w:abstractNumId w:val="3"/>
  </w:num>
  <w:num w:numId="14" w16cid:durableId="1900088177">
    <w:abstractNumId w:val="3"/>
  </w:num>
  <w:num w:numId="15" w16cid:durableId="691884531">
    <w:abstractNumId w:val="2"/>
  </w:num>
  <w:num w:numId="16" w16cid:durableId="684478781">
    <w:abstractNumId w:val="2"/>
  </w:num>
  <w:num w:numId="17" w16cid:durableId="275336687">
    <w:abstractNumId w:val="1"/>
  </w:num>
  <w:num w:numId="18" w16cid:durableId="1305232277">
    <w:abstractNumId w:val="1"/>
  </w:num>
  <w:num w:numId="19" w16cid:durableId="367334627">
    <w:abstractNumId w:val="0"/>
  </w:num>
  <w:num w:numId="20" w16cid:durableId="1444763698">
    <w:abstractNumId w:val="0"/>
  </w:num>
  <w:num w:numId="21" w16cid:durableId="93788632">
    <w:abstractNumId w:val="9"/>
  </w:num>
  <w:num w:numId="22" w16cid:durableId="1786777702">
    <w:abstractNumId w:val="7"/>
  </w:num>
  <w:num w:numId="23" w16cid:durableId="1222978401">
    <w:abstractNumId w:val="6"/>
  </w:num>
  <w:num w:numId="24" w16cid:durableId="1512374825">
    <w:abstractNumId w:val="5"/>
  </w:num>
  <w:num w:numId="25" w16cid:durableId="1518498956">
    <w:abstractNumId w:val="4"/>
  </w:num>
  <w:num w:numId="26" w16cid:durableId="1877040561">
    <w:abstractNumId w:val="8"/>
  </w:num>
  <w:num w:numId="27" w16cid:durableId="1923904826">
    <w:abstractNumId w:val="3"/>
  </w:num>
  <w:num w:numId="28" w16cid:durableId="1654218456">
    <w:abstractNumId w:val="2"/>
  </w:num>
  <w:num w:numId="29" w16cid:durableId="2108427680">
    <w:abstractNumId w:val="1"/>
  </w:num>
  <w:num w:numId="30" w16cid:durableId="1685280904">
    <w:abstractNumId w:val="0"/>
  </w:num>
  <w:num w:numId="31" w16cid:durableId="843858697">
    <w:abstractNumId w:val="9"/>
  </w:num>
  <w:num w:numId="32" w16cid:durableId="550771954">
    <w:abstractNumId w:val="7"/>
  </w:num>
  <w:num w:numId="33" w16cid:durableId="685135624">
    <w:abstractNumId w:val="6"/>
  </w:num>
  <w:num w:numId="34" w16cid:durableId="187376911">
    <w:abstractNumId w:val="5"/>
  </w:num>
  <w:num w:numId="35" w16cid:durableId="985551082">
    <w:abstractNumId w:val="4"/>
  </w:num>
  <w:num w:numId="36" w16cid:durableId="1985236933">
    <w:abstractNumId w:val="8"/>
  </w:num>
  <w:num w:numId="37" w16cid:durableId="1710454302">
    <w:abstractNumId w:val="3"/>
  </w:num>
  <w:num w:numId="38" w16cid:durableId="1791508453">
    <w:abstractNumId w:val="2"/>
  </w:num>
  <w:num w:numId="39" w16cid:durableId="980305984">
    <w:abstractNumId w:val="1"/>
  </w:num>
  <w:num w:numId="40" w16cid:durableId="1965192343">
    <w:abstractNumId w:val="0"/>
  </w:num>
  <w:num w:numId="41" w16cid:durableId="1078865191">
    <w:abstractNumId w:val="10"/>
  </w:num>
  <w:num w:numId="42" w16cid:durableId="1286697465">
    <w:abstractNumId w:val="10"/>
  </w:num>
  <w:num w:numId="43" w16cid:durableId="1402828161">
    <w:abstractNumId w:val="10"/>
  </w:num>
  <w:num w:numId="44" w16cid:durableId="1558074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60/2025"/>
    <w:docVar w:name="dvlangue" w:val="PT"/>
    <w:docVar w:name="dvnumam" w:val="0"/>
    <w:docVar w:name="dvpe" w:val="778.177"/>
    <w:docVar w:name="dvtitre" w:val="Decisão do Parlamento Europeu, de ... de ... de 2025,_x000d__x000a_ referente à não formulação de objeções ao Regulamento Delegado da Comissão, de 22 de setembro de 2025, que altera o anexo I do Regulamento (UE) 2021/1060 do Parlamento Europeu e do Conselho no que diz respeito à nomenclatura das dimensões e dos códigos dos tipos de intervenção do FEDER, do FSE+, do Fundo de Coesão e do FTJ _x000d__x000a_(C(2025)06376 – 2025/2888(DEA))"/>
  </w:docVars>
  <w:rsids>
    <w:rsidRoot w:val="004202C6"/>
    <w:rsid w:val="00002272"/>
    <w:rsid w:val="00064002"/>
    <w:rsid w:val="000677B9"/>
    <w:rsid w:val="000831BA"/>
    <w:rsid w:val="000A42CC"/>
    <w:rsid w:val="000E7DD9"/>
    <w:rsid w:val="0010095E"/>
    <w:rsid w:val="00125B37"/>
    <w:rsid w:val="00125CAA"/>
    <w:rsid w:val="00187494"/>
    <w:rsid w:val="001916BD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02C6"/>
    <w:rsid w:val="00421060"/>
    <w:rsid w:val="00456EC4"/>
    <w:rsid w:val="00471C19"/>
    <w:rsid w:val="004867E3"/>
    <w:rsid w:val="00494A28"/>
    <w:rsid w:val="004A005E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3D48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1B0E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4105"/>
    <w:rsid w:val="00B558F0"/>
    <w:rsid w:val="00B77DF5"/>
    <w:rsid w:val="00BD48FE"/>
    <w:rsid w:val="00BD7BD8"/>
    <w:rsid w:val="00BE6ADC"/>
    <w:rsid w:val="00C05BFE"/>
    <w:rsid w:val="00C23CD4"/>
    <w:rsid w:val="00C61C0C"/>
    <w:rsid w:val="00C9175E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69FB"/>
    <w:rsid w:val="00E365E1"/>
    <w:rsid w:val="00E820A4"/>
    <w:rsid w:val="00EB006A"/>
    <w:rsid w:val="00EB4772"/>
    <w:rsid w:val="00ED169E"/>
    <w:rsid w:val="00ED4235"/>
    <w:rsid w:val="00F04346"/>
    <w:rsid w:val="00F075DC"/>
    <w:rsid w:val="00F102E8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5F871A"/>
  <w15:chartTrackingRefBased/>
  <w15:docId w15:val="{BF30A0FC-0854-4A52-AC00-9A740B4AE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34105"/>
    <w:pPr>
      <w:spacing w:before="480" w:after="240"/>
    </w:pPr>
  </w:style>
  <w:style w:type="paragraph" w:customStyle="1" w:styleId="NormalHanging12a">
    <w:name w:val="NormalHanging12a"/>
    <w:basedOn w:val="Normal"/>
    <w:rsid w:val="00B34105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102E8"/>
    <w:rPr>
      <w:sz w:val="24"/>
      <w:lang w:val="pt-PT"/>
    </w:rPr>
  </w:style>
  <w:style w:type="character" w:styleId="Hyperlink">
    <w:name w:val="Hyperlink"/>
    <w:basedOn w:val="DefaultParagraphFont"/>
    <w:rsid w:val="00F102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02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25/1914/oj" TargetMode="External"/><Relationship Id="rId1" Type="http://schemas.openxmlformats.org/officeDocument/2006/relationships/hyperlink" Target="http://data.europa.eu/eli/reg/2021/106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SILVA Carla Marina</cp:lastModifiedBy>
  <cp:revision>2</cp:revision>
  <cp:lastPrinted>2004-11-19T15:42:00Z</cp:lastPrinted>
  <dcterms:created xsi:type="dcterms:W3CDTF">2025-11-27T16:05:00Z</dcterms:created>
  <dcterms:modified xsi:type="dcterms:W3CDTF">2025-11-27T16:05:00Z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B10-0460/2025</vt:lpwstr>
  </property>
  <property fmtid="{D5CDD505-2E9C-101B-9397-08002B2CF9AE}" pid="4" name="&lt;Type&gt;">
    <vt:lpwstr>RR</vt:lpwstr>
  </property>
</Properties>
</file>