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3507" w14:paraId="1384A2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114C91" w14:textId="77777777" w:rsidR="00751A4A" w:rsidRPr="00243507" w:rsidRDefault="00DC323F" w:rsidP="0010095E">
            <w:pPr>
              <w:pStyle w:val="EPName"/>
            </w:pPr>
            <w:r w:rsidRPr="00243507">
              <w:t>Európsky parlament</w:t>
            </w:r>
          </w:p>
          <w:p w14:paraId="6DB35DEB" w14:textId="77777777" w:rsidR="00751A4A" w:rsidRPr="002435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3507">
              <w:t>2024</w:t>
            </w:r>
            <w:r w:rsidR="00817416" w:rsidRPr="00243507">
              <w:t>-202</w:t>
            </w:r>
            <w:r w:rsidRPr="00243507">
              <w:t>9</w:t>
            </w:r>
          </w:p>
        </w:tc>
        <w:tc>
          <w:tcPr>
            <w:tcW w:w="2268" w:type="dxa"/>
            <w:shd w:val="clear" w:color="auto" w:fill="auto"/>
          </w:tcPr>
          <w:p w14:paraId="1526FB55" w14:textId="77777777" w:rsidR="00751A4A" w:rsidRPr="00243507" w:rsidRDefault="00187494" w:rsidP="0010095E">
            <w:pPr>
              <w:pStyle w:val="EPLogo"/>
            </w:pPr>
            <w:r w:rsidRPr="00243507">
              <w:rPr>
                <w:noProof/>
                <w:lang w:eastAsia="ja-JP"/>
              </w:rPr>
              <w:drawing>
                <wp:inline distT="0" distB="0" distL="0" distR="0" wp14:anchorId="649D7D8B" wp14:editId="08E635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4F72D0" w14:textId="77777777" w:rsidR="00D058B8" w:rsidRPr="00243507" w:rsidRDefault="00D058B8" w:rsidP="004C5D52">
      <w:pPr>
        <w:pStyle w:val="LineTop"/>
      </w:pPr>
    </w:p>
    <w:p w14:paraId="1CF4922C" w14:textId="77777777" w:rsidR="00680577" w:rsidRPr="00243507" w:rsidRDefault="00DC323F" w:rsidP="00680577">
      <w:pPr>
        <w:pStyle w:val="EPBodyTA1"/>
      </w:pPr>
      <w:r w:rsidRPr="00243507">
        <w:t>PRIJATÉ TEXTY</w:t>
      </w:r>
    </w:p>
    <w:p w14:paraId="6D985815" w14:textId="77777777" w:rsidR="00D058B8" w:rsidRPr="00243507" w:rsidRDefault="00D058B8" w:rsidP="00D058B8">
      <w:pPr>
        <w:pStyle w:val="LineBottom"/>
      </w:pPr>
    </w:p>
    <w:p w14:paraId="554CC4D2" w14:textId="1A9F5FB5" w:rsidR="00DC323F" w:rsidRPr="00243507" w:rsidRDefault="00DC323F" w:rsidP="00DC323F">
      <w:pPr>
        <w:pStyle w:val="ATHeading1"/>
      </w:pPr>
      <w:bookmarkStart w:id="0" w:name="TANumber"/>
      <w:r w:rsidRPr="00243507">
        <w:t>P10_TA(2025)0</w:t>
      </w:r>
      <w:r w:rsidR="00A457A0" w:rsidRPr="00243507">
        <w:t>243</w:t>
      </w:r>
      <w:bookmarkEnd w:id="0"/>
    </w:p>
    <w:p w14:paraId="715831A9" w14:textId="03BD3853" w:rsidR="00DC323F" w:rsidRPr="00243507" w:rsidRDefault="00DC323F" w:rsidP="00DC323F">
      <w:pPr>
        <w:pStyle w:val="ATHeading2"/>
      </w:pPr>
      <w:bookmarkStart w:id="1" w:name="title"/>
      <w:r w:rsidRPr="00243507">
        <w:t xml:space="preserve">Nevznesenie námietky voči delegovanému </w:t>
      </w:r>
      <w:r w:rsidR="00836F03" w:rsidRPr="00243507">
        <w:t>aktu: nomenklatúra dimenzií a kódov pre typy intervencií pre EFRR, ESF+, Kohézny fond a FST</w:t>
      </w:r>
      <w:bookmarkEnd w:id="1"/>
    </w:p>
    <w:p w14:paraId="39510A91" w14:textId="77777777" w:rsidR="00DC323F" w:rsidRPr="00243507" w:rsidRDefault="00DC323F" w:rsidP="00DC323F">
      <w:pPr>
        <w:rPr>
          <w:i/>
          <w:vanish/>
        </w:rPr>
      </w:pPr>
      <w:r w:rsidRPr="00243507">
        <w:rPr>
          <w:i/>
        </w:rPr>
        <w:fldChar w:fldCharType="begin"/>
      </w:r>
      <w:r w:rsidRPr="00243507">
        <w:rPr>
          <w:i/>
        </w:rPr>
        <w:instrText xml:space="preserve"> TC"(</w:instrText>
      </w:r>
      <w:bookmarkStart w:id="2" w:name="DocNumber"/>
      <w:r w:rsidRPr="00243507">
        <w:rPr>
          <w:i/>
        </w:rPr>
        <w:instrText>B10-0460/2025</w:instrText>
      </w:r>
      <w:bookmarkEnd w:id="2"/>
      <w:r w:rsidRPr="00243507">
        <w:rPr>
          <w:i/>
        </w:rPr>
        <w:instrText xml:space="preserve">)"\l3 \n&gt; \* MERGEFORMAT </w:instrText>
      </w:r>
      <w:r w:rsidRPr="00243507">
        <w:rPr>
          <w:i/>
        </w:rPr>
        <w:fldChar w:fldCharType="end"/>
      </w:r>
    </w:p>
    <w:p w14:paraId="2422AC2C" w14:textId="77777777" w:rsidR="00DC323F" w:rsidRPr="00243507" w:rsidRDefault="00DC323F" w:rsidP="00DC323F">
      <w:pPr>
        <w:rPr>
          <w:vanish/>
        </w:rPr>
      </w:pPr>
      <w:bookmarkStart w:id="3" w:name="PE"/>
      <w:r w:rsidRPr="00243507">
        <w:rPr>
          <w:vanish/>
        </w:rPr>
        <w:t>PE778.177</w:t>
      </w:r>
      <w:bookmarkEnd w:id="3"/>
    </w:p>
    <w:p w14:paraId="0A69D7F4" w14:textId="5C7144F3" w:rsidR="00DC323F" w:rsidRPr="00243507" w:rsidRDefault="00DC323F" w:rsidP="00274E18">
      <w:pPr>
        <w:pStyle w:val="ATHeading3"/>
      </w:pPr>
      <w:bookmarkStart w:id="4" w:name="Sujet"/>
      <w:r w:rsidRPr="00243507">
        <w:t xml:space="preserve">Rozhodnutie Európskeho parlamentu nevzniesť námietku voči delegovanému nariadeniu Komisie z 22. septembra 2025, ktorým sa mení príloha I k nariadeniu Európskeho parlamentu a Rady (EÚ) 2021/1060, pokiaľ ide o nomenklatúru dimenzií a kódov pre typy intervencií pre EFRR, ESF+, Kohézny fond a FST </w:t>
      </w:r>
      <w:bookmarkStart w:id="5" w:name="References"/>
      <w:r w:rsidRPr="00243507">
        <w:t>(C(2025)06376 – 2025/2888(DEA))</w:t>
      </w:r>
      <w:bookmarkEnd w:id="5"/>
    </w:p>
    <w:p w14:paraId="19550043" w14:textId="77777777" w:rsidR="00670C5D" w:rsidRPr="00243507" w:rsidRDefault="00670C5D" w:rsidP="00670C5D">
      <w:pPr>
        <w:pStyle w:val="EPComma"/>
        <w:rPr>
          <w:i/>
        </w:rPr>
      </w:pPr>
      <w:bookmarkStart w:id="6" w:name="TextBodyBegin"/>
      <w:bookmarkEnd w:id="4"/>
      <w:bookmarkEnd w:id="6"/>
      <w:r w:rsidRPr="00243507">
        <w:rPr>
          <w:i/>
        </w:rPr>
        <w:t>Európsky parlament,</w:t>
      </w:r>
    </w:p>
    <w:p w14:paraId="6CF7C588" w14:textId="35F50ADC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 xml:space="preserve">so zreteľom na delegované nariadenie Komisie </w:t>
      </w:r>
      <w:r w:rsidR="00F265D0" w:rsidRPr="00243507">
        <w:t>(</w:t>
      </w:r>
      <w:r w:rsidRPr="00243507">
        <w:t>C(2025)06376</w:t>
      </w:r>
      <w:r w:rsidR="00F265D0" w:rsidRPr="00243507">
        <w:t>)</w:t>
      </w:r>
      <w:r w:rsidRPr="00243507">
        <w:t>,</w:t>
      </w:r>
    </w:p>
    <w:p w14:paraId="7861DF46" w14:textId="7777777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list Komisie z 22. septembra 2025, ktorým ho žiada, aby oznámil, že nevznesie námietku voči delegovanému nariadeniu,</w:t>
      </w:r>
    </w:p>
    <w:p w14:paraId="5DBF7DC9" w14:textId="14AE652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list Výboru pre regionálny rozvoj predsedovi Konferencie predsedov výborov z</w:t>
      </w:r>
      <w:r w:rsidR="00836F03" w:rsidRPr="00243507">
        <w:t>o</w:t>
      </w:r>
      <w:r w:rsidRPr="00243507">
        <w:t xml:space="preserve"> </w:t>
      </w:r>
      <w:r w:rsidR="00836F03" w:rsidRPr="00243507">
        <w:t>14. októbra 2025</w:t>
      </w:r>
      <w:r w:rsidRPr="00243507">
        <w:t>,</w:t>
      </w:r>
    </w:p>
    <w:p w14:paraId="16495D84" w14:textId="7777777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článok 290 Zmluvy o fungovaní Európskej únie,</w:t>
      </w:r>
    </w:p>
    <w:p w14:paraId="17954E19" w14:textId="7777777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nariadenie Európskeho parlamentu a Rady (EÚ) 2021/1060 z 24. júna 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 w:rsidRPr="00243507">
        <w:t>akvakultúrnom</w:t>
      </w:r>
      <w:proofErr w:type="spellEnd"/>
      <w:r w:rsidRPr="00243507">
        <w:t xml:space="preserve"> fonde a rozpočtové pravidlá pre uvedené fondy, ako aj pre Fond pre azyl, migráciu a integráciu, Fond pre vnútornú bezpečnosť a Nástroj finančnej podpory na riadenie hraníc a vízovú politiku</w:t>
      </w:r>
      <w:r w:rsidRPr="00243507">
        <w:rPr>
          <w:vertAlign w:val="superscript"/>
        </w:rPr>
        <w:footnoteReference w:id="1"/>
      </w:r>
      <w:r w:rsidRPr="00243507">
        <w:t>, a najmä na jeho článok 113 a článok 114 ods. 6,</w:t>
      </w:r>
    </w:p>
    <w:p w14:paraId="55E1D0F3" w14:textId="7777777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článok 114 ods. 6 rokovacieho poriadku,</w:t>
      </w:r>
    </w:p>
    <w:p w14:paraId="5319D923" w14:textId="77777777" w:rsidR="00670C5D" w:rsidRPr="00243507" w:rsidRDefault="00670C5D" w:rsidP="00670C5D">
      <w:pPr>
        <w:pStyle w:val="NormalHanging12a"/>
      </w:pPr>
      <w:r w:rsidRPr="00243507">
        <w:t>–</w:t>
      </w:r>
      <w:r w:rsidRPr="00243507">
        <w:tab/>
        <w:t>so zreteľom na odporúčanie k rozhodnutiu Výboru pre regionálny rozvoj,</w:t>
      </w:r>
    </w:p>
    <w:p w14:paraId="3EBBCD0A" w14:textId="4C80DA8E" w:rsidR="00F265D0" w:rsidRPr="00243507" w:rsidRDefault="00F265D0" w:rsidP="00670C5D">
      <w:pPr>
        <w:pStyle w:val="NormalHanging12a"/>
      </w:pPr>
      <w:r w:rsidRPr="00243507">
        <w:t>–</w:t>
      </w:r>
      <w:r w:rsidRPr="00243507">
        <w:tab/>
        <w:t xml:space="preserve">so zreteľom na skutočnosť, že neboli vznesené námietky v lehote stanovenej v tretej a štvrtej zarážke článku 114 ods. 6 rokovacieho poriadku, ktorá uplynula 21. októbra </w:t>
      </w:r>
      <w:r w:rsidRPr="00243507">
        <w:lastRenderedPageBreak/>
        <w:t>2025,</w:t>
      </w:r>
    </w:p>
    <w:p w14:paraId="21ABEBE8" w14:textId="77777777" w:rsidR="00670C5D" w:rsidRPr="00243507" w:rsidRDefault="00670C5D" w:rsidP="00670C5D">
      <w:pPr>
        <w:pStyle w:val="NormalHanging12a"/>
      </w:pPr>
      <w:r w:rsidRPr="00243507">
        <w:t>A.</w:t>
      </w:r>
      <w:r w:rsidRPr="00243507">
        <w:tab/>
        <w:t>keďže s cieľom umožniť členským štátom vykonať zmysluplné preprogramovanie v rámci strednodobého preskúmania a zamerať zdroje na nové strategické priority Únie stanovené v nariadení (EÚ) 2021/1060 Komisia 4. apríla 2025 predložila žiadosť o uplatnenie naliehavého postupu v súlade s článkom 170 rokovacieho poriadku Európskeho parlamentu na svoj návrh nariadenia, ktorým sa menia nariadenia (EÚ) 2021/1058 a (EÚ) 2021/1056, pokiaľ ide o osobitné opatrenia na riešenie strategických výziev v rámci strednodobého preskúmania</w:t>
      </w:r>
      <w:r w:rsidRPr="00243507">
        <w:rPr>
          <w:vertAlign w:val="superscript"/>
        </w:rPr>
        <w:footnoteReference w:id="2"/>
      </w:r>
      <w:r w:rsidRPr="00243507">
        <w:t>; keďže Komisia predložila tento návrh na zasadnutí Výboru pre regionálny rozvoj 9. apríla 2025;</w:t>
      </w:r>
    </w:p>
    <w:p w14:paraId="5B85F51A" w14:textId="77777777" w:rsidR="00670C5D" w:rsidRPr="00243507" w:rsidRDefault="00670C5D" w:rsidP="00670C5D">
      <w:pPr>
        <w:pStyle w:val="NormalHanging12a"/>
      </w:pPr>
      <w:r w:rsidRPr="00243507">
        <w:t>B.</w:t>
      </w:r>
      <w:r w:rsidRPr="00243507">
        <w:tab/>
        <w:t>keďže Výbor pre regionálny rozvoj sa na svojej schôdzi 5. mája 2025 rozhodol podporiť žiadosť o uplatnenie naliehavého postupu v súlade s článkom 170 ods. 5 rokovacieho poriadku, ktorý viedol k prijatiu nariadenia Európskeho parlamentu a Rady (EÚ) 2025/1914</w:t>
      </w:r>
      <w:r w:rsidRPr="00243507">
        <w:rPr>
          <w:vertAlign w:val="superscript"/>
        </w:rPr>
        <w:footnoteReference w:id="3"/>
      </w:r>
      <w:r w:rsidRPr="00243507">
        <w:t>,</w:t>
      </w:r>
    </w:p>
    <w:p w14:paraId="3D18CDC6" w14:textId="7F04DD82" w:rsidR="00670C5D" w:rsidRPr="00243507" w:rsidRDefault="00670C5D" w:rsidP="00670C5D">
      <w:pPr>
        <w:pStyle w:val="NormalHanging12a"/>
      </w:pPr>
      <w:r w:rsidRPr="00243507">
        <w:t>C.</w:t>
      </w:r>
      <w:r w:rsidRPr="00243507">
        <w:tab/>
        <w:t>keďže delegované nariadenie Komisie je potrebné na zabezpečenie zosúladenia a konzistentnosti medzi nariadením (EÚ) 2021/1060 a nariadeniami pre jednotlivé fondy (nariadenia o EFRR/Kohéznom fonde, ESF+ a FST) s cieľom zabezpečiť, aby sa zmenené a novozavedené špecifické ciele podľa nariadenia (EÚ) 2025/1914 mohli vykonávať doplnením zodpovedajúcich oblastí intervencie do prílohy I k nariadeniu (EÚ) 2021/1060 a aby sa umožnilo ich využívanie pri vykonávaní programov a podávaní správ;</w:t>
      </w:r>
    </w:p>
    <w:p w14:paraId="7B9AEAE9" w14:textId="77777777" w:rsidR="00670C5D" w:rsidRPr="00243507" w:rsidRDefault="00670C5D" w:rsidP="00670C5D">
      <w:pPr>
        <w:pStyle w:val="NormalHanging12a"/>
      </w:pPr>
      <w:r w:rsidRPr="00243507">
        <w:t>1.</w:t>
      </w:r>
      <w:r w:rsidRPr="00243507">
        <w:tab/>
        <w:t>oznamuje, že nevznesie námietku voči delegovanému nariadeniu;</w:t>
      </w:r>
    </w:p>
    <w:p w14:paraId="455617F1" w14:textId="75D7FD23" w:rsidR="00E365E1" w:rsidRPr="00243507" w:rsidRDefault="00670C5D" w:rsidP="00E93F8E">
      <w:pPr>
        <w:pStyle w:val="NormalHanging12a"/>
        <w:rPr>
          <w:lang w:eastAsia="fr-FR"/>
        </w:rPr>
      </w:pPr>
      <w:r w:rsidRPr="00243507">
        <w:t>2.</w:t>
      </w:r>
      <w:r w:rsidRPr="00243507">
        <w:tab/>
        <w:t xml:space="preserve">poveruje svoju predsedníčku, aby postúpila toto rozhodnutie </w:t>
      </w:r>
      <w:r w:rsidR="0004699B" w:rsidRPr="00243507">
        <w:t>Rade a Komisii.</w:t>
      </w:r>
    </w:p>
    <w:sectPr w:rsidR="00E365E1" w:rsidRPr="00243507" w:rsidSect="00046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AAA53" w14:textId="77777777" w:rsidR="00DC323F" w:rsidRPr="0004699B" w:rsidRDefault="00DC323F">
      <w:r w:rsidRPr="0004699B">
        <w:separator/>
      </w:r>
    </w:p>
  </w:endnote>
  <w:endnote w:type="continuationSeparator" w:id="0">
    <w:p w14:paraId="7E760850" w14:textId="77777777" w:rsidR="00DC323F" w:rsidRPr="0004699B" w:rsidRDefault="00DC323F">
      <w:r w:rsidRPr="000469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0AA0" w14:textId="77777777" w:rsidR="00064002" w:rsidRPr="000469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D7899" w14:textId="77777777" w:rsidR="00064002" w:rsidRPr="000469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FD23" w14:textId="77777777" w:rsidR="00064002" w:rsidRPr="000469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A0F55" w14:textId="77777777" w:rsidR="00DC323F" w:rsidRPr="0004699B" w:rsidRDefault="00DC323F">
      <w:r w:rsidRPr="0004699B">
        <w:separator/>
      </w:r>
    </w:p>
  </w:footnote>
  <w:footnote w:type="continuationSeparator" w:id="0">
    <w:p w14:paraId="0C84169F" w14:textId="77777777" w:rsidR="00DC323F" w:rsidRPr="0004699B" w:rsidRDefault="00DC323F">
      <w:r w:rsidRPr="0004699B">
        <w:continuationSeparator/>
      </w:r>
    </w:p>
  </w:footnote>
  <w:footnote w:id="1">
    <w:p w14:paraId="2B471524" w14:textId="6A812983" w:rsidR="00670C5D" w:rsidRPr="0004699B" w:rsidRDefault="00670C5D" w:rsidP="0004699B">
      <w:pPr>
        <w:pStyle w:val="FootnoteText"/>
        <w:ind w:left="567" w:hanging="567"/>
        <w:rPr>
          <w:sz w:val="24"/>
          <w:lang w:val="sk-SK"/>
        </w:rPr>
      </w:pPr>
      <w:r w:rsidRPr="0004699B">
        <w:rPr>
          <w:rStyle w:val="FootnoteReference"/>
          <w:sz w:val="24"/>
          <w:lang w:val="sk-SK"/>
        </w:rPr>
        <w:footnoteRef/>
      </w:r>
      <w:r w:rsidR="0004699B" w:rsidRPr="0004699B">
        <w:rPr>
          <w:sz w:val="24"/>
          <w:lang w:val="sk-SK"/>
        </w:rPr>
        <w:t xml:space="preserve"> </w:t>
      </w:r>
      <w:r w:rsidR="0004699B" w:rsidRPr="0004699B">
        <w:rPr>
          <w:sz w:val="24"/>
          <w:lang w:val="sk-SK"/>
        </w:rPr>
        <w:tab/>
      </w:r>
      <w:r w:rsidRPr="0004699B">
        <w:rPr>
          <w:sz w:val="24"/>
          <w:lang w:val="sk-SK"/>
        </w:rPr>
        <w:t xml:space="preserve">Ú. v. EÚ L 231, 30.6.2021, s. 159, ELI: </w:t>
      </w:r>
      <w:hyperlink r:id="rId1" w:history="1">
        <w:r w:rsidRPr="00836F03">
          <w:rPr>
            <w:rStyle w:val="Hyperlink"/>
            <w:sz w:val="24"/>
            <w:lang w:val="sk-SK"/>
          </w:rPr>
          <w:t>http://data.europa.eu/eli/reg/2021/1060/oj</w:t>
        </w:r>
      </w:hyperlink>
      <w:r w:rsidR="00836F03">
        <w:rPr>
          <w:sz w:val="24"/>
          <w:lang w:val="sk-SK"/>
        </w:rPr>
        <w:t>.</w:t>
      </w:r>
    </w:p>
  </w:footnote>
  <w:footnote w:id="2">
    <w:p w14:paraId="6102C787" w14:textId="0B97FE47" w:rsidR="00670C5D" w:rsidRPr="0004699B" w:rsidRDefault="00670C5D" w:rsidP="0004699B">
      <w:pPr>
        <w:pStyle w:val="FootnoteText"/>
        <w:ind w:left="567" w:hanging="567"/>
        <w:rPr>
          <w:sz w:val="24"/>
          <w:lang w:val="sk-SK"/>
        </w:rPr>
      </w:pPr>
      <w:r w:rsidRPr="0004699B">
        <w:rPr>
          <w:rStyle w:val="FootnoteReference"/>
          <w:sz w:val="24"/>
          <w:lang w:val="sk-SK"/>
        </w:rPr>
        <w:footnoteRef/>
      </w:r>
      <w:r w:rsidR="0004699B" w:rsidRPr="0004699B">
        <w:rPr>
          <w:sz w:val="24"/>
          <w:lang w:val="sk-SK"/>
        </w:rPr>
        <w:t xml:space="preserve"> </w:t>
      </w:r>
      <w:r w:rsidR="0004699B" w:rsidRPr="0004699B">
        <w:rPr>
          <w:sz w:val="24"/>
          <w:lang w:val="sk-SK"/>
        </w:rPr>
        <w:tab/>
      </w:r>
      <w:r w:rsidRPr="0004699B">
        <w:rPr>
          <w:sz w:val="24"/>
          <w:lang w:val="sk-SK"/>
        </w:rPr>
        <w:t>COM(2025</w:t>
      </w:r>
      <w:r w:rsidR="00836F03">
        <w:rPr>
          <w:sz w:val="24"/>
          <w:lang w:val="sk-SK"/>
        </w:rPr>
        <w:t>)0</w:t>
      </w:r>
      <w:r w:rsidRPr="0004699B">
        <w:rPr>
          <w:sz w:val="24"/>
          <w:lang w:val="sk-SK"/>
        </w:rPr>
        <w:t>123.</w:t>
      </w:r>
    </w:p>
  </w:footnote>
  <w:footnote w:id="3">
    <w:p w14:paraId="42AD6623" w14:textId="3193BE8B" w:rsidR="00670C5D" w:rsidRPr="0004699B" w:rsidRDefault="00670C5D" w:rsidP="0004699B">
      <w:pPr>
        <w:pStyle w:val="FootnoteText"/>
        <w:ind w:left="567" w:hanging="567"/>
        <w:rPr>
          <w:sz w:val="24"/>
          <w:lang w:val="sk-SK"/>
        </w:rPr>
      </w:pPr>
      <w:r w:rsidRPr="0004699B">
        <w:rPr>
          <w:rStyle w:val="FootnoteReference"/>
          <w:sz w:val="24"/>
          <w:lang w:val="sk-SK"/>
        </w:rPr>
        <w:footnoteRef/>
      </w:r>
      <w:r w:rsidR="0004699B" w:rsidRPr="0004699B">
        <w:rPr>
          <w:sz w:val="24"/>
          <w:lang w:val="sk-SK"/>
        </w:rPr>
        <w:t xml:space="preserve"> </w:t>
      </w:r>
      <w:r w:rsidR="0004699B" w:rsidRPr="0004699B">
        <w:rPr>
          <w:sz w:val="24"/>
          <w:lang w:val="sk-SK"/>
        </w:rPr>
        <w:tab/>
      </w:r>
      <w:r w:rsidRPr="0004699B">
        <w:rPr>
          <w:sz w:val="24"/>
          <w:lang w:val="sk-SK"/>
        </w:rPr>
        <w:t>Nariadenie Európskeho parlamentu a Rady (EÚ) 2025/1914 z 18. septembra 2025, ktorým sa menia nariadenia (EÚ) 2021/1058 a (EÚ) 2021/1056, pokiaľ ide o osobitné opatrenia na riešenie strategických výziev v rámci strednodobého preskúmania (Ú. v. </w:t>
      </w:r>
      <w:r w:rsidRPr="0004699B">
        <w:rPr>
          <w:sz w:val="24"/>
          <w:lang w:val="sk-SK"/>
        </w:rPr>
        <w:t xml:space="preserve">EÚ L, 2025/1914, 19.9.2025, ELI: </w:t>
      </w:r>
      <w:hyperlink r:id="rId2" w:history="1">
        <w:r w:rsidRPr="00836F03">
          <w:rPr>
            <w:rStyle w:val="Hyperlink"/>
            <w:sz w:val="24"/>
            <w:lang w:val="sk-SK"/>
          </w:rPr>
          <w:t>http://data.europa.eu/eli/reg/2025/1914/oj</w:t>
        </w:r>
      </w:hyperlink>
      <w:r w:rsidRPr="0004699B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10C02" w14:textId="77777777" w:rsidR="00064002" w:rsidRPr="000469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B17C" w14:textId="77777777" w:rsidR="00064002" w:rsidRPr="000469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2DFA" w14:textId="77777777" w:rsidR="00064002" w:rsidRPr="000469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1588735">
    <w:abstractNumId w:val="9"/>
  </w:num>
  <w:num w:numId="2" w16cid:durableId="997927464">
    <w:abstractNumId w:val="9"/>
  </w:num>
  <w:num w:numId="3" w16cid:durableId="2105690094">
    <w:abstractNumId w:val="7"/>
  </w:num>
  <w:num w:numId="4" w16cid:durableId="25834489">
    <w:abstractNumId w:val="7"/>
  </w:num>
  <w:num w:numId="5" w16cid:durableId="524562595">
    <w:abstractNumId w:val="6"/>
  </w:num>
  <w:num w:numId="6" w16cid:durableId="95489630">
    <w:abstractNumId w:val="6"/>
  </w:num>
  <w:num w:numId="7" w16cid:durableId="69273782">
    <w:abstractNumId w:val="5"/>
  </w:num>
  <w:num w:numId="8" w16cid:durableId="352996964">
    <w:abstractNumId w:val="5"/>
  </w:num>
  <w:num w:numId="9" w16cid:durableId="1651203056">
    <w:abstractNumId w:val="4"/>
  </w:num>
  <w:num w:numId="10" w16cid:durableId="1612132268">
    <w:abstractNumId w:val="4"/>
  </w:num>
  <w:num w:numId="11" w16cid:durableId="54546866">
    <w:abstractNumId w:val="8"/>
  </w:num>
  <w:num w:numId="12" w16cid:durableId="70977716">
    <w:abstractNumId w:val="8"/>
  </w:num>
  <w:num w:numId="13" w16cid:durableId="1833521210">
    <w:abstractNumId w:val="3"/>
  </w:num>
  <w:num w:numId="14" w16cid:durableId="945507505">
    <w:abstractNumId w:val="3"/>
  </w:num>
  <w:num w:numId="15" w16cid:durableId="1833713879">
    <w:abstractNumId w:val="2"/>
  </w:num>
  <w:num w:numId="16" w16cid:durableId="1819878077">
    <w:abstractNumId w:val="2"/>
  </w:num>
  <w:num w:numId="17" w16cid:durableId="848984352">
    <w:abstractNumId w:val="1"/>
  </w:num>
  <w:num w:numId="18" w16cid:durableId="822040103">
    <w:abstractNumId w:val="1"/>
  </w:num>
  <w:num w:numId="19" w16cid:durableId="1114980317">
    <w:abstractNumId w:val="0"/>
  </w:num>
  <w:num w:numId="20" w16cid:durableId="1701399723">
    <w:abstractNumId w:val="0"/>
  </w:num>
  <w:num w:numId="21" w16cid:durableId="1138456439">
    <w:abstractNumId w:val="9"/>
  </w:num>
  <w:num w:numId="22" w16cid:durableId="256015126">
    <w:abstractNumId w:val="7"/>
  </w:num>
  <w:num w:numId="23" w16cid:durableId="891766396">
    <w:abstractNumId w:val="6"/>
  </w:num>
  <w:num w:numId="24" w16cid:durableId="1241645762">
    <w:abstractNumId w:val="5"/>
  </w:num>
  <w:num w:numId="25" w16cid:durableId="78403567">
    <w:abstractNumId w:val="4"/>
  </w:num>
  <w:num w:numId="26" w16cid:durableId="2112167107">
    <w:abstractNumId w:val="8"/>
  </w:num>
  <w:num w:numId="27" w16cid:durableId="39399243">
    <w:abstractNumId w:val="3"/>
  </w:num>
  <w:num w:numId="28" w16cid:durableId="148449383">
    <w:abstractNumId w:val="2"/>
  </w:num>
  <w:num w:numId="29" w16cid:durableId="1206527512">
    <w:abstractNumId w:val="1"/>
  </w:num>
  <w:num w:numId="30" w16cid:durableId="680935406">
    <w:abstractNumId w:val="0"/>
  </w:num>
  <w:num w:numId="31" w16cid:durableId="101534952">
    <w:abstractNumId w:val="9"/>
  </w:num>
  <w:num w:numId="32" w16cid:durableId="718164178">
    <w:abstractNumId w:val="7"/>
  </w:num>
  <w:num w:numId="33" w16cid:durableId="1983189907">
    <w:abstractNumId w:val="6"/>
  </w:num>
  <w:num w:numId="34" w16cid:durableId="2074618134">
    <w:abstractNumId w:val="5"/>
  </w:num>
  <w:num w:numId="35" w16cid:durableId="1522353159">
    <w:abstractNumId w:val="4"/>
  </w:num>
  <w:num w:numId="36" w16cid:durableId="1159925121">
    <w:abstractNumId w:val="8"/>
  </w:num>
  <w:num w:numId="37" w16cid:durableId="1995865659">
    <w:abstractNumId w:val="3"/>
  </w:num>
  <w:num w:numId="38" w16cid:durableId="440953129">
    <w:abstractNumId w:val="2"/>
  </w:num>
  <w:num w:numId="39" w16cid:durableId="1370885149">
    <w:abstractNumId w:val="1"/>
  </w:num>
  <w:num w:numId="40" w16cid:durableId="939022470">
    <w:abstractNumId w:val="0"/>
  </w:num>
  <w:num w:numId="41" w16cid:durableId="1898082957">
    <w:abstractNumId w:val="10"/>
  </w:num>
  <w:num w:numId="42" w16cid:durableId="358551014">
    <w:abstractNumId w:val="10"/>
  </w:num>
  <w:num w:numId="43" w16cid:durableId="726759425">
    <w:abstractNumId w:val="10"/>
  </w:num>
  <w:num w:numId="44" w16cid:durableId="462887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SK"/>
    <w:docVar w:name="dvnumam" w:val="0"/>
    <w:docVar w:name="dvpe" w:val="778.177"/>
    <w:docVar w:name="dvtitre" w:val="Rozhodnutie Európskeho parlamentu z xx. októbra 2025 nevzniesť námietku voči delegovanému nariadeniu Komisie z 22. septembra 2025, ktorým sa mení príloha I k nariadeniu Európskeho parlamentu a Rady (EÚ) 2021/1060, pokiaľ ide o nomenklatúru dimenzií a kódov pre typy intervencií pre EFRR, ESF+, Kohézny fond a FST _x000d__x000a_(C(2025)06376 – 2025/2888(DEA))"/>
  </w:docVars>
  <w:rsids>
    <w:rsidRoot w:val="00DC323F"/>
    <w:rsid w:val="00002272"/>
    <w:rsid w:val="0004699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507"/>
    <w:rsid w:val="00274E18"/>
    <w:rsid w:val="002767FF"/>
    <w:rsid w:val="002B18FE"/>
    <w:rsid w:val="002B5493"/>
    <w:rsid w:val="00312A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70C5D"/>
    <w:rsid w:val="00680577"/>
    <w:rsid w:val="006B311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F0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7A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23F"/>
    <w:rsid w:val="00E21786"/>
    <w:rsid w:val="00E365E1"/>
    <w:rsid w:val="00E820A4"/>
    <w:rsid w:val="00E93F8E"/>
    <w:rsid w:val="00EB006A"/>
    <w:rsid w:val="00EB4772"/>
    <w:rsid w:val="00ED169E"/>
    <w:rsid w:val="00ED4235"/>
    <w:rsid w:val="00F04346"/>
    <w:rsid w:val="00F075DC"/>
    <w:rsid w:val="00F149E9"/>
    <w:rsid w:val="00F265D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4F931"/>
  <w15:chartTrackingRefBased/>
  <w15:docId w15:val="{6F50F75E-90B4-4D38-AA84-EF496985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0C5D"/>
    <w:pPr>
      <w:spacing w:before="480" w:after="240"/>
    </w:pPr>
  </w:style>
  <w:style w:type="paragraph" w:customStyle="1" w:styleId="NormalHanging12a">
    <w:name w:val="NormalHanging12a"/>
    <w:basedOn w:val="Normal"/>
    <w:rsid w:val="00670C5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74E18"/>
    <w:rPr>
      <w:sz w:val="24"/>
      <w:lang w:val="sk-SK"/>
    </w:rPr>
  </w:style>
  <w:style w:type="character" w:styleId="Hyperlink">
    <w:name w:val="Hyperlink"/>
    <w:basedOn w:val="DefaultParagraphFont"/>
    <w:rsid w:val="00836F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2025-10-22T11:38:00Z</dcterms:created>
  <dcterms:modified xsi:type="dcterms:W3CDTF">2025-10-22T11:38:00Z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