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5FD3" w14:paraId="004F74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26ECAB" w14:textId="4BF61A8D" w:rsidR="00751A4A" w:rsidRPr="00A85FD3" w:rsidRDefault="00C77D10" w:rsidP="0010095E">
            <w:pPr>
              <w:pStyle w:val="EPName"/>
            </w:pPr>
            <w:r w:rsidRPr="00A85FD3">
              <w:t>Europaparlamentet</w:t>
            </w:r>
          </w:p>
          <w:p w14:paraId="2D523C1B" w14:textId="77777777" w:rsidR="00751A4A" w:rsidRPr="00A85F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5FD3">
              <w:t>2024</w:t>
            </w:r>
            <w:r w:rsidR="00817416" w:rsidRPr="00A85FD3">
              <w:t>-202</w:t>
            </w:r>
            <w:r w:rsidRPr="00A85FD3">
              <w:t>9</w:t>
            </w:r>
          </w:p>
        </w:tc>
        <w:tc>
          <w:tcPr>
            <w:tcW w:w="2268" w:type="dxa"/>
            <w:shd w:val="clear" w:color="auto" w:fill="auto"/>
          </w:tcPr>
          <w:p w14:paraId="46D8A56F" w14:textId="77777777" w:rsidR="00751A4A" w:rsidRPr="00A85FD3" w:rsidRDefault="00187494" w:rsidP="0010095E">
            <w:pPr>
              <w:pStyle w:val="EPLogo"/>
            </w:pPr>
            <w:r w:rsidRPr="00A85FD3">
              <w:rPr>
                <w:noProof/>
                <w:lang w:eastAsia="ja-JP"/>
              </w:rPr>
              <w:drawing>
                <wp:inline distT="0" distB="0" distL="0" distR="0" wp14:anchorId="0441F8FD" wp14:editId="71F9B0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242A09" w14:textId="77777777" w:rsidR="00D058B8" w:rsidRPr="00A85FD3" w:rsidRDefault="00D058B8" w:rsidP="004C5D52">
      <w:pPr>
        <w:pStyle w:val="LineTop"/>
      </w:pPr>
    </w:p>
    <w:p w14:paraId="1D6D52CC" w14:textId="3E1B64B7" w:rsidR="00680577" w:rsidRPr="00A85FD3" w:rsidRDefault="00C77D10" w:rsidP="00680577">
      <w:pPr>
        <w:pStyle w:val="EPBodyTA1"/>
      </w:pPr>
      <w:r w:rsidRPr="00A85FD3">
        <w:t>ANTAGNA TEXTER</w:t>
      </w:r>
    </w:p>
    <w:p w14:paraId="060E0E74" w14:textId="77777777" w:rsidR="00D058B8" w:rsidRPr="00A85FD3" w:rsidRDefault="00D058B8" w:rsidP="00D058B8">
      <w:pPr>
        <w:pStyle w:val="LineBottom"/>
      </w:pPr>
    </w:p>
    <w:p w14:paraId="066D18AF" w14:textId="34AEF748" w:rsidR="00C77D10" w:rsidRPr="00A85FD3" w:rsidRDefault="00C77D10" w:rsidP="00C77D10">
      <w:pPr>
        <w:pStyle w:val="ATHeading1"/>
      </w:pPr>
      <w:bookmarkStart w:id="0" w:name="TANumber"/>
      <w:r w:rsidRPr="00A85FD3">
        <w:t>P10_TA(2025)0</w:t>
      </w:r>
      <w:bookmarkEnd w:id="0"/>
      <w:r w:rsidR="00912260">
        <w:t>243</w:t>
      </w:r>
    </w:p>
    <w:p w14:paraId="73FA1A33" w14:textId="77D81713" w:rsidR="00C77D10" w:rsidRPr="00A85FD3" w:rsidRDefault="005C6ADF" w:rsidP="00C77D10">
      <w:pPr>
        <w:pStyle w:val="ATHeading2"/>
      </w:pPr>
      <w:bookmarkStart w:id="1" w:name="title"/>
      <w:r w:rsidRPr="005C6ADF">
        <w:t>Beslut om att inte invända mot en delegerad akt:</w:t>
      </w:r>
      <w:r w:rsidR="007A6DED">
        <w:t xml:space="preserve"> </w:t>
      </w:r>
      <w:r w:rsidR="007A6DED" w:rsidRPr="007A6DED">
        <w:t xml:space="preserve">nomenklaturen för dimensioner och koder för interventionstyper inom </w:t>
      </w:r>
      <w:proofErr w:type="spellStart"/>
      <w:r w:rsidR="007A6DED" w:rsidRPr="007A6DED">
        <w:t>Eruf</w:t>
      </w:r>
      <w:proofErr w:type="spellEnd"/>
      <w:r w:rsidR="007A6DED" w:rsidRPr="007A6DED">
        <w:t>, ESF+, Sammanhållningsfonden och FRO</w:t>
      </w:r>
      <w:bookmarkEnd w:id="1"/>
    </w:p>
    <w:p w14:paraId="5C06D1DC" w14:textId="77777777" w:rsidR="00C77D10" w:rsidRPr="00A85FD3" w:rsidRDefault="00C77D10" w:rsidP="00C77D10">
      <w:pPr>
        <w:rPr>
          <w:i/>
          <w:vanish/>
        </w:rPr>
      </w:pPr>
      <w:r w:rsidRPr="00A85FD3">
        <w:rPr>
          <w:i/>
        </w:rPr>
        <w:fldChar w:fldCharType="begin"/>
      </w:r>
      <w:r w:rsidRPr="00A85FD3">
        <w:rPr>
          <w:i/>
        </w:rPr>
        <w:instrText xml:space="preserve"> TC"(</w:instrText>
      </w:r>
      <w:bookmarkStart w:id="2" w:name="DocNumber"/>
      <w:r w:rsidRPr="00A85FD3">
        <w:rPr>
          <w:i/>
        </w:rPr>
        <w:instrText>B10-0460/2025</w:instrText>
      </w:r>
      <w:bookmarkEnd w:id="2"/>
      <w:r w:rsidRPr="00A85FD3">
        <w:rPr>
          <w:i/>
        </w:rPr>
        <w:instrText xml:space="preserve">)"\l3 \n&gt; \* MERGEFORMAT </w:instrText>
      </w:r>
      <w:r w:rsidRPr="00A85FD3">
        <w:rPr>
          <w:i/>
        </w:rPr>
        <w:fldChar w:fldCharType="end"/>
      </w:r>
    </w:p>
    <w:p w14:paraId="57AE210C" w14:textId="77777777" w:rsidR="00C77D10" w:rsidRPr="00A85FD3" w:rsidRDefault="00C77D10" w:rsidP="00C77D10">
      <w:pPr>
        <w:rPr>
          <w:vanish/>
        </w:rPr>
      </w:pPr>
      <w:bookmarkStart w:id="3" w:name="PE"/>
      <w:r w:rsidRPr="00A85FD3">
        <w:rPr>
          <w:vanish/>
        </w:rPr>
        <w:t>PE778.177</w:t>
      </w:r>
      <w:bookmarkEnd w:id="3"/>
    </w:p>
    <w:p w14:paraId="034A7C24" w14:textId="07F1D709" w:rsidR="00C77D10" w:rsidRPr="00271F70" w:rsidRDefault="00C77D10" w:rsidP="00C77D10">
      <w:pPr>
        <w:pStyle w:val="ATHeading3"/>
      </w:pPr>
      <w:bookmarkStart w:id="4" w:name="Sujet"/>
      <w:r w:rsidRPr="00A85FD3">
        <w:t>E</w:t>
      </w:r>
      <w:r w:rsidRPr="00271F70">
        <w:t xml:space="preserve">uropaparlamentets </w:t>
      </w:r>
      <w:r w:rsidR="003B1CA5" w:rsidRPr="00271F70">
        <w:t>beslut</w:t>
      </w:r>
      <w:r w:rsidRPr="00271F70">
        <w:t xml:space="preserve"> om att inte invända mot kommissionens delegerade förordning av den 22 september 2025 om ändring av bilaga I till Europaparlamentets och rådets förordning (EU) 2021/1060 vad gäller nomenklaturen för dimensioner och koder för interventionstyper inom </w:t>
      </w:r>
      <w:proofErr w:type="spellStart"/>
      <w:r w:rsidRPr="00271F70">
        <w:t>Eruf</w:t>
      </w:r>
      <w:proofErr w:type="spellEnd"/>
      <w:r w:rsidRPr="00271F70">
        <w:t xml:space="preserve">, ESF+, Sammanhållningsfonden och FRO </w:t>
      </w:r>
      <w:bookmarkStart w:id="5" w:name="References"/>
      <w:r w:rsidRPr="00271F70">
        <w:t>(C(2025)06376 – 2025/2888(DEA))</w:t>
      </w:r>
      <w:bookmarkEnd w:id="5"/>
    </w:p>
    <w:p w14:paraId="5C394F5C" w14:textId="77777777" w:rsidR="00772275" w:rsidRPr="00271F70" w:rsidRDefault="00772275" w:rsidP="00772275">
      <w:pPr>
        <w:pStyle w:val="EPComma"/>
        <w:rPr>
          <w:i/>
        </w:rPr>
      </w:pPr>
      <w:bookmarkStart w:id="6" w:name="TextBodyBegin"/>
      <w:bookmarkEnd w:id="4"/>
      <w:bookmarkEnd w:id="6"/>
      <w:r w:rsidRPr="00271F70">
        <w:rPr>
          <w:i/>
        </w:rPr>
        <w:t>Europaparlamentet fattar detta beslut</w:t>
      </w:r>
    </w:p>
    <w:p w14:paraId="1DA66F70" w14:textId="77777777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kommissionens delegerade förordning (C(2025)06376),</w:t>
      </w:r>
    </w:p>
    <w:p w14:paraId="150DEE90" w14:textId="77777777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kommissionens skrivelse av den 22 september 2025, i vilken parlamentet uppmanas att tillkännage att det inte avser att invända mot den delegerade förordningen,</w:t>
      </w:r>
    </w:p>
    <w:p w14:paraId="5285B9BE" w14:textId="548BA87C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 xml:space="preserve">med beaktande av skrivelsen av den </w:t>
      </w:r>
      <w:r w:rsidR="00C635B8" w:rsidRPr="00271F70">
        <w:t xml:space="preserve">14 oktober 2025 </w:t>
      </w:r>
      <w:r w:rsidRPr="00271F70">
        <w:t>från utskottet för regional utveckling till utskottsordförandekonferensens ordförande,</w:t>
      </w:r>
    </w:p>
    <w:p w14:paraId="6F338709" w14:textId="77777777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artikel 290 i fördraget om Europeiska unionens funktionssätt,</w:t>
      </w:r>
    </w:p>
    <w:p w14:paraId="26D05C62" w14:textId="77777777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Europaparlamentets och rådets förordning (EU) 2021/1060 av den 24 juni 2021 om fastställande av gemensamma bestämmelser för Europeiska regionala utvecklingsfonden, Europeiska socialfonden+, Sammanhållningsfonden, Fonden för en rättvis omställning och Europeiska havs-, fiskeri- och vattenbruksfonden samt finansiella regler för dessa och för Asyl-, migrations- och integrationsfonden, Fonden för inre säkerhet samt instrumentet för ekonomiskt stöd för gränsförvaltning och viseringspolitik</w:t>
      </w:r>
      <w:r w:rsidRPr="00271F70">
        <w:rPr>
          <w:vertAlign w:val="superscript"/>
        </w:rPr>
        <w:footnoteReference w:id="1"/>
      </w:r>
      <w:r w:rsidRPr="00271F70">
        <w:t>, särskilt artiklarna 113 och 114.6,</w:t>
      </w:r>
    </w:p>
    <w:p w14:paraId="2274D5AC" w14:textId="77777777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artikel 114.6 i arbetsordningen,</w:t>
      </w:r>
    </w:p>
    <w:p w14:paraId="7735F88E" w14:textId="6A67F86E" w:rsidR="00772275" w:rsidRPr="00271F70" w:rsidRDefault="00772275" w:rsidP="00772275">
      <w:pPr>
        <w:pStyle w:val="NormalHanging12a"/>
      </w:pPr>
      <w:r w:rsidRPr="00271F70">
        <w:t>–</w:t>
      </w:r>
      <w:r w:rsidRPr="00271F70">
        <w:tab/>
        <w:t>med beaktande av rekommendationen till beslut från utskottet för regional utveckling,</w:t>
      </w:r>
    </w:p>
    <w:p w14:paraId="5E1FAC60" w14:textId="3D9944AB" w:rsidR="00EF4DB5" w:rsidRPr="00271F70" w:rsidRDefault="00EF4DB5" w:rsidP="00772275">
      <w:pPr>
        <w:pStyle w:val="NormalHanging12a"/>
      </w:pPr>
      <w:r w:rsidRPr="00271F70">
        <w:t>–</w:t>
      </w:r>
      <w:r w:rsidRPr="00271F70">
        <w:tab/>
        <w:t xml:space="preserve">med beaktande av att ingen invändning har gjorts inom den tidsfrist som anges i artikel 114.6 tredje och fjärde strecksatserna i arbetsordningen, som löpte ut den 21 oktober </w:t>
      </w:r>
      <w:r w:rsidRPr="00271F70">
        <w:lastRenderedPageBreak/>
        <w:t>2025, och av följande skäl:</w:t>
      </w:r>
    </w:p>
    <w:p w14:paraId="6C8D4DF4" w14:textId="77777777" w:rsidR="00772275" w:rsidRPr="00271F70" w:rsidRDefault="00772275" w:rsidP="00772275">
      <w:pPr>
        <w:pStyle w:val="NormalHanging12a"/>
      </w:pPr>
      <w:r w:rsidRPr="00271F70">
        <w:t>A.</w:t>
      </w:r>
      <w:r w:rsidRPr="00271F70">
        <w:tab/>
        <w:t>För att möjliggöra för medlemsstaterna att genomföra meningsfulla omfördelningar i samband med halvtidsöversynen och att rikta resurserna mot de nya strategiska unionsprioriteringar som fastställs i förordning (EU) 2021/1060 lämnade kommissionen den 4 april 2025 in en begäran om att tillämpa det brådskande förfarandet i enlighet med artikel 170 i Europaparlamentets arbetsordning på sitt förslag till förordning om ändring av förordningarna (EU) 2021/1058 och (EU) 2021/1056 vad gäller särskilda åtgärder för att hantera strategiska utmaningar i samband med halvtidsöversynen</w:t>
      </w:r>
      <w:r w:rsidRPr="00271F70">
        <w:rPr>
          <w:vertAlign w:val="superscript"/>
        </w:rPr>
        <w:footnoteReference w:id="2"/>
      </w:r>
      <w:r w:rsidRPr="00271F70">
        <w:t>. Kommissionen lade fram detta förslag vid sammanträdet i utskottet för regional utveckling den 9 april 2025.</w:t>
      </w:r>
    </w:p>
    <w:p w14:paraId="03F478EA" w14:textId="77777777" w:rsidR="00772275" w:rsidRPr="00271F70" w:rsidRDefault="00772275" w:rsidP="00772275">
      <w:pPr>
        <w:pStyle w:val="NormalHanging12a"/>
      </w:pPr>
      <w:r w:rsidRPr="00271F70">
        <w:t>B.</w:t>
      </w:r>
      <w:r w:rsidRPr="00271F70">
        <w:tab/>
        <w:t>Utskottet för regional utveckling beslutade vid sitt sammanträde den 5 maj 2025 att godkänna begäran om tillämpning av ett brådskande förfarande i enlighet med artikel 170.5 i arbetsordningen, vilket ledde till antagandet av Europaparlamentets och rådets förordning (EU) 2025/1914</w:t>
      </w:r>
      <w:r w:rsidRPr="00271F70">
        <w:rPr>
          <w:vertAlign w:val="superscript"/>
        </w:rPr>
        <w:footnoteReference w:id="3"/>
      </w:r>
      <w:r w:rsidRPr="00271F70">
        <w:t>.</w:t>
      </w:r>
    </w:p>
    <w:p w14:paraId="54CF5271" w14:textId="5250EFD7" w:rsidR="00772275" w:rsidRPr="00271F70" w:rsidRDefault="00772275" w:rsidP="00772275">
      <w:pPr>
        <w:pStyle w:val="NormalHanging12a"/>
      </w:pPr>
      <w:r w:rsidRPr="00271F70">
        <w:t>C.</w:t>
      </w:r>
      <w:r w:rsidRPr="00271F70">
        <w:tab/>
        <w:t>Kommissionens delegerade förordning är</w:t>
      </w:r>
      <w:r w:rsidR="00B809BD">
        <w:t xml:space="preserve"> </w:t>
      </w:r>
      <w:r w:rsidRPr="00271F70">
        <w:t xml:space="preserve">nödvändig för att säkerställa överensstämmelse och enhetlighet mellan förordning (EU) 2021/1060 och de fondspecifika förordningarna (förordningarna om </w:t>
      </w:r>
      <w:proofErr w:type="spellStart"/>
      <w:r w:rsidRPr="00271F70">
        <w:t>Eruf</w:t>
      </w:r>
      <w:proofErr w:type="spellEnd"/>
      <w:r w:rsidRPr="00271F70">
        <w:t>/Sammanhållningsfonden, ESF+ och FRO) med syftet att se till att de ändrade och nyligen införda specifika målen i enlighet med förordning (EU) 2025/1914 kan genomföras genom tillägg av motsvarande interventionsområden i bilaga I till förordning (EU) 2021/1060 och att göra det möjligt att använda dem i programgenomförandet och rapporteringen.</w:t>
      </w:r>
    </w:p>
    <w:p w14:paraId="309AA40D" w14:textId="77777777" w:rsidR="00772275" w:rsidRPr="00271F70" w:rsidRDefault="00772275" w:rsidP="00772275">
      <w:pPr>
        <w:pStyle w:val="NormalHanging12a"/>
      </w:pPr>
      <w:r w:rsidRPr="00271F70">
        <w:t>1.</w:t>
      </w:r>
      <w:r w:rsidRPr="00271F70">
        <w:tab/>
        <w:t>Europaparlamentet tillkännager att det inte invänder mot den delegerade förordningen.</w:t>
      </w:r>
    </w:p>
    <w:p w14:paraId="379448E3" w14:textId="2885EBD6" w:rsidR="00A85FD3" w:rsidRPr="00A85FD3" w:rsidRDefault="00772275" w:rsidP="00A85FD3">
      <w:pPr>
        <w:pStyle w:val="NormalHanging12a"/>
        <w:rPr>
          <w:lang w:eastAsia="fr-FR"/>
        </w:rPr>
      </w:pPr>
      <w:r w:rsidRPr="00271F70">
        <w:t>2.</w:t>
      </w:r>
      <w:r w:rsidRPr="00271F70">
        <w:tab/>
        <w:t>Europaparlamentet uppdrar åt talmannen att översända detta beslut till rådet och kommissionen.</w:t>
      </w:r>
    </w:p>
    <w:p w14:paraId="1E42D426" w14:textId="241528B4" w:rsidR="00E365E1" w:rsidRPr="00A85FD3" w:rsidRDefault="00E365E1" w:rsidP="00772275">
      <w:pPr>
        <w:rPr>
          <w:lang w:eastAsia="fr-FR"/>
        </w:rPr>
      </w:pPr>
    </w:p>
    <w:sectPr w:rsidR="00E365E1" w:rsidRPr="00A85FD3" w:rsidSect="00A85F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D9C6D" w14:textId="77777777" w:rsidR="00C77D10" w:rsidRPr="00A85FD3" w:rsidRDefault="00C77D10">
      <w:r w:rsidRPr="00A85FD3">
        <w:separator/>
      </w:r>
    </w:p>
  </w:endnote>
  <w:endnote w:type="continuationSeparator" w:id="0">
    <w:p w14:paraId="5910E2C7" w14:textId="77777777" w:rsidR="00C77D10" w:rsidRPr="00A85FD3" w:rsidRDefault="00C77D10">
      <w:r w:rsidRPr="00A85F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D3CF" w14:textId="77777777" w:rsidR="00064002" w:rsidRPr="00A85F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C12C" w14:textId="77777777" w:rsidR="00064002" w:rsidRPr="00A85F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4977" w14:textId="77777777" w:rsidR="00064002" w:rsidRPr="00A85F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6FF91" w14:textId="77777777" w:rsidR="00C77D10" w:rsidRPr="00A85FD3" w:rsidRDefault="00C77D10">
      <w:r w:rsidRPr="00A85FD3">
        <w:separator/>
      </w:r>
    </w:p>
  </w:footnote>
  <w:footnote w:type="continuationSeparator" w:id="0">
    <w:p w14:paraId="17BDA32B" w14:textId="77777777" w:rsidR="00C77D10" w:rsidRPr="00A85FD3" w:rsidRDefault="00C77D10">
      <w:r w:rsidRPr="00A85FD3">
        <w:continuationSeparator/>
      </w:r>
    </w:p>
  </w:footnote>
  <w:footnote w:id="1">
    <w:p w14:paraId="4123F87D" w14:textId="2CA54255" w:rsidR="00772275" w:rsidRPr="00271F70" w:rsidRDefault="00772275" w:rsidP="00A85FD3">
      <w:pPr>
        <w:pStyle w:val="FootnoteText"/>
        <w:ind w:left="567" w:hanging="567"/>
        <w:rPr>
          <w:sz w:val="24"/>
          <w:lang w:val="fi-FI"/>
        </w:rPr>
      </w:pPr>
      <w:r w:rsidRPr="00A85FD3">
        <w:rPr>
          <w:rStyle w:val="FootnoteReference"/>
          <w:sz w:val="24"/>
          <w:lang w:val="sv-SE"/>
        </w:rPr>
        <w:footnoteRef/>
      </w:r>
      <w:r w:rsidR="00A85FD3" w:rsidRPr="00271F70">
        <w:rPr>
          <w:sz w:val="24"/>
          <w:lang w:val="fi-FI"/>
        </w:rPr>
        <w:t xml:space="preserve"> </w:t>
      </w:r>
      <w:r w:rsidR="00A85FD3" w:rsidRPr="00271F70">
        <w:rPr>
          <w:sz w:val="24"/>
          <w:lang w:val="fi-FI"/>
        </w:rPr>
        <w:tab/>
      </w:r>
      <w:r w:rsidRPr="00271F70">
        <w:rPr>
          <w:sz w:val="24"/>
          <w:szCs w:val="24"/>
          <w:lang w:val="fi-FI"/>
        </w:rPr>
        <w:t xml:space="preserve">EUT L 231, 30.6.2021, s. 159, ELI: </w:t>
      </w:r>
      <w:hyperlink r:id="rId1" w:history="1">
        <w:r w:rsidRPr="00271F70">
          <w:rPr>
            <w:rStyle w:val="Hyperlink"/>
            <w:szCs w:val="24"/>
            <w:lang w:val="fi-FI"/>
          </w:rPr>
          <w:t>http://data.europa.eu/eli/reg/2021/1060/oj</w:t>
        </w:r>
      </w:hyperlink>
      <w:r w:rsidR="007A6DED">
        <w:rPr>
          <w:sz w:val="24"/>
          <w:lang w:val="fi-FI"/>
        </w:rPr>
        <w:t>.</w:t>
      </w:r>
    </w:p>
  </w:footnote>
  <w:footnote w:id="2">
    <w:p w14:paraId="1C009E57" w14:textId="6C524A52" w:rsidR="00772275" w:rsidRPr="00A85FD3" w:rsidRDefault="00772275" w:rsidP="00A85FD3">
      <w:pPr>
        <w:pStyle w:val="FootnoteText"/>
        <w:ind w:left="567" w:hanging="567"/>
        <w:rPr>
          <w:sz w:val="24"/>
          <w:lang w:val="sv-SE"/>
        </w:rPr>
      </w:pPr>
      <w:r w:rsidRPr="00A85FD3">
        <w:rPr>
          <w:rStyle w:val="FootnoteReference"/>
          <w:sz w:val="24"/>
          <w:lang w:val="sv-SE"/>
        </w:rPr>
        <w:footnoteRef/>
      </w:r>
      <w:r w:rsidR="00A85FD3" w:rsidRPr="00A85FD3">
        <w:rPr>
          <w:sz w:val="24"/>
          <w:lang w:val="sv-SE"/>
        </w:rPr>
        <w:t xml:space="preserve"> </w:t>
      </w:r>
      <w:r w:rsidR="00A85FD3" w:rsidRPr="00A85FD3">
        <w:rPr>
          <w:sz w:val="24"/>
          <w:lang w:val="sv-SE"/>
        </w:rPr>
        <w:tab/>
      </w:r>
      <w:r w:rsidRPr="00A85FD3">
        <w:rPr>
          <w:sz w:val="24"/>
          <w:lang w:val="sv-SE"/>
        </w:rPr>
        <w:t>COM(2025)0123.</w:t>
      </w:r>
    </w:p>
  </w:footnote>
  <w:footnote w:id="3">
    <w:p w14:paraId="5EC73BA8" w14:textId="6CB9322E" w:rsidR="00772275" w:rsidRPr="00A85FD3" w:rsidRDefault="00772275" w:rsidP="00A85FD3">
      <w:pPr>
        <w:pStyle w:val="FootnoteText"/>
        <w:ind w:left="567" w:hanging="567"/>
        <w:rPr>
          <w:sz w:val="24"/>
          <w:lang w:val="sv-SE"/>
        </w:rPr>
      </w:pPr>
      <w:r w:rsidRPr="00A85FD3">
        <w:rPr>
          <w:rStyle w:val="FootnoteReference"/>
          <w:sz w:val="24"/>
          <w:lang w:val="sv-SE"/>
        </w:rPr>
        <w:footnoteRef/>
      </w:r>
      <w:r w:rsidR="00A85FD3" w:rsidRPr="00A85FD3">
        <w:rPr>
          <w:sz w:val="24"/>
          <w:lang w:val="sv-SE"/>
        </w:rPr>
        <w:t xml:space="preserve"> </w:t>
      </w:r>
      <w:r w:rsidR="00A85FD3" w:rsidRPr="00A85FD3">
        <w:rPr>
          <w:sz w:val="24"/>
          <w:lang w:val="sv-SE"/>
        </w:rPr>
        <w:tab/>
      </w:r>
      <w:r w:rsidRPr="00A85FD3">
        <w:rPr>
          <w:sz w:val="24"/>
          <w:lang w:val="sv-SE"/>
        </w:rPr>
        <w:t xml:space="preserve">Europaparlamentets och rådets förordning (EU) 2025/1914 av den 18 september 2025 om ändring av förordningarna (EU) 2021/1058 och (EU) 2021/1056 vad gäller särskilda åtgärder för att hantera strategiska utmaningar i samband med halvtidsöversynen (EUT L, 2025/1914, 19.9.2025, ELI: </w:t>
      </w:r>
      <w:hyperlink r:id="rId2" w:history="1">
        <w:r w:rsidRPr="007A6DED">
          <w:rPr>
            <w:rStyle w:val="Hyperlink"/>
            <w:sz w:val="24"/>
            <w:lang w:val="sv-SE"/>
          </w:rPr>
          <w:t>http://data.europa.eu/eli/reg/2025/1914/oj</w:t>
        </w:r>
      </w:hyperlink>
      <w:r w:rsidRPr="00A85FD3">
        <w:rPr>
          <w:sz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EAC2" w14:textId="77777777" w:rsidR="00064002" w:rsidRPr="00A85F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F513B" w14:textId="77777777" w:rsidR="00064002" w:rsidRPr="00A85F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A90B" w14:textId="77777777" w:rsidR="00064002" w:rsidRPr="00A85F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1756800">
    <w:abstractNumId w:val="9"/>
  </w:num>
  <w:num w:numId="2" w16cid:durableId="597065027">
    <w:abstractNumId w:val="9"/>
  </w:num>
  <w:num w:numId="3" w16cid:durableId="1700006354">
    <w:abstractNumId w:val="7"/>
  </w:num>
  <w:num w:numId="4" w16cid:durableId="465244429">
    <w:abstractNumId w:val="7"/>
  </w:num>
  <w:num w:numId="5" w16cid:durableId="172257829">
    <w:abstractNumId w:val="6"/>
  </w:num>
  <w:num w:numId="6" w16cid:durableId="651761728">
    <w:abstractNumId w:val="6"/>
  </w:num>
  <w:num w:numId="7" w16cid:durableId="905526726">
    <w:abstractNumId w:val="5"/>
  </w:num>
  <w:num w:numId="8" w16cid:durableId="176626199">
    <w:abstractNumId w:val="5"/>
  </w:num>
  <w:num w:numId="9" w16cid:durableId="1912040780">
    <w:abstractNumId w:val="4"/>
  </w:num>
  <w:num w:numId="10" w16cid:durableId="1851986528">
    <w:abstractNumId w:val="4"/>
  </w:num>
  <w:num w:numId="11" w16cid:durableId="1297371058">
    <w:abstractNumId w:val="8"/>
  </w:num>
  <w:num w:numId="12" w16cid:durableId="298535690">
    <w:abstractNumId w:val="8"/>
  </w:num>
  <w:num w:numId="13" w16cid:durableId="1232035698">
    <w:abstractNumId w:val="3"/>
  </w:num>
  <w:num w:numId="14" w16cid:durableId="2096200159">
    <w:abstractNumId w:val="3"/>
  </w:num>
  <w:num w:numId="15" w16cid:durableId="37047406">
    <w:abstractNumId w:val="2"/>
  </w:num>
  <w:num w:numId="16" w16cid:durableId="809832779">
    <w:abstractNumId w:val="2"/>
  </w:num>
  <w:num w:numId="17" w16cid:durableId="887037134">
    <w:abstractNumId w:val="1"/>
  </w:num>
  <w:num w:numId="18" w16cid:durableId="748573494">
    <w:abstractNumId w:val="1"/>
  </w:num>
  <w:num w:numId="19" w16cid:durableId="904101238">
    <w:abstractNumId w:val="0"/>
  </w:num>
  <w:num w:numId="20" w16cid:durableId="669259285">
    <w:abstractNumId w:val="0"/>
  </w:num>
  <w:num w:numId="21" w16cid:durableId="11886009">
    <w:abstractNumId w:val="9"/>
  </w:num>
  <w:num w:numId="22" w16cid:durableId="1448351864">
    <w:abstractNumId w:val="7"/>
  </w:num>
  <w:num w:numId="23" w16cid:durableId="338431103">
    <w:abstractNumId w:val="6"/>
  </w:num>
  <w:num w:numId="24" w16cid:durableId="804085202">
    <w:abstractNumId w:val="5"/>
  </w:num>
  <w:num w:numId="25" w16cid:durableId="525944221">
    <w:abstractNumId w:val="4"/>
  </w:num>
  <w:num w:numId="26" w16cid:durableId="1079253421">
    <w:abstractNumId w:val="8"/>
  </w:num>
  <w:num w:numId="27" w16cid:durableId="1258323248">
    <w:abstractNumId w:val="3"/>
  </w:num>
  <w:num w:numId="28" w16cid:durableId="1953779717">
    <w:abstractNumId w:val="2"/>
  </w:num>
  <w:num w:numId="29" w16cid:durableId="225533006">
    <w:abstractNumId w:val="1"/>
  </w:num>
  <w:num w:numId="30" w16cid:durableId="213196531">
    <w:abstractNumId w:val="0"/>
  </w:num>
  <w:num w:numId="31" w16cid:durableId="350838868">
    <w:abstractNumId w:val="9"/>
  </w:num>
  <w:num w:numId="32" w16cid:durableId="309285945">
    <w:abstractNumId w:val="7"/>
  </w:num>
  <w:num w:numId="33" w16cid:durableId="839858350">
    <w:abstractNumId w:val="6"/>
  </w:num>
  <w:num w:numId="34" w16cid:durableId="869877841">
    <w:abstractNumId w:val="5"/>
  </w:num>
  <w:num w:numId="35" w16cid:durableId="1376126220">
    <w:abstractNumId w:val="4"/>
  </w:num>
  <w:num w:numId="36" w16cid:durableId="1497266111">
    <w:abstractNumId w:val="8"/>
  </w:num>
  <w:num w:numId="37" w16cid:durableId="1884756247">
    <w:abstractNumId w:val="3"/>
  </w:num>
  <w:num w:numId="38" w16cid:durableId="518352597">
    <w:abstractNumId w:val="2"/>
  </w:num>
  <w:num w:numId="39" w16cid:durableId="758873770">
    <w:abstractNumId w:val="1"/>
  </w:num>
  <w:num w:numId="40" w16cid:durableId="1495948720">
    <w:abstractNumId w:val="0"/>
  </w:num>
  <w:num w:numId="41" w16cid:durableId="450789320">
    <w:abstractNumId w:val="10"/>
  </w:num>
  <w:num w:numId="42" w16cid:durableId="1593275404">
    <w:abstractNumId w:val="10"/>
  </w:num>
  <w:num w:numId="43" w16cid:durableId="1985505400">
    <w:abstractNumId w:val="10"/>
  </w:num>
  <w:num w:numId="44" w16cid:durableId="2095661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SV"/>
    <w:docVar w:name="dvnumam" w:val="0"/>
    <w:docVar w:name="dvpe" w:val="778.177"/>
    <w:docVar w:name="dvtitre" w:val="Europaparlamentets resolution av den xx xx 2025 om att inte invända mot kommissionens delegerade förordning av den 22 september 2025 om ändring av bilaga I till Europaparlamentets och rådets förordning (EU) 2021/1060 vad gäller nomenklaturen för dimensioner och koder för interventionstyper inom Eruf, ESF+, Sammanhållningsfonden och FRO _x000d__x000a_(C(2025)06376 – 2025/2888(DEA))"/>
  </w:docVars>
  <w:rsids>
    <w:rsidRoot w:val="00C77D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F70"/>
    <w:rsid w:val="002767FF"/>
    <w:rsid w:val="002B18FE"/>
    <w:rsid w:val="002B5493"/>
    <w:rsid w:val="00343214"/>
    <w:rsid w:val="00361C00"/>
    <w:rsid w:val="00395FA1"/>
    <w:rsid w:val="003B1CA5"/>
    <w:rsid w:val="003D1734"/>
    <w:rsid w:val="003D2FD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ADF"/>
    <w:rsid w:val="005F1B17"/>
    <w:rsid w:val="006037C0"/>
    <w:rsid w:val="0065586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275"/>
    <w:rsid w:val="00786EC0"/>
    <w:rsid w:val="007A6DE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260"/>
    <w:rsid w:val="00930C23"/>
    <w:rsid w:val="0093193B"/>
    <w:rsid w:val="009509D8"/>
    <w:rsid w:val="00950B64"/>
    <w:rsid w:val="009811C5"/>
    <w:rsid w:val="00981893"/>
    <w:rsid w:val="00A1687D"/>
    <w:rsid w:val="00A43E52"/>
    <w:rsid w:val="00A4678D"/>
    <w:rsid w:val="00A778C7"/>
    <w:rsid w:val="00A85FD3"/>
    <w:rsid w:val="00AB441E"/>
    <w:rsid w:val="00AB6293"/>
    <w:rsid w:val="00AE0928"/>
    <w:rsid w:val="00AF3B82"/>
    <w:rsid w:val="00B12E95"/>
    <w:rsid w:val="00B22876"/>
    <w:rsid w:val="00B558F0"/>
    <w:rsid w:val="00B809BD"/>
    <w:rsid w:val="00BD48FE"/>
    <w:rsid w:val="00BD7BD8"/>
    <w:rsid w:val="00BE6ADC"/>
    <w:rsid w:val="00C05BFE"/>
    <w:rsid w:val="00C23CD4"/>
    <w:rsid w:val="00C61C0C"/>
    <w:rsid w:val="00C635B8"/>
    <w:rsid w:val="00C77D1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9F8"/>
    <w:rsid w:val="00EB4772"/>
    <w:rsid w:val="00ED169E"/>
    <w:rsid w:val="00ED4235"/>
    <w:rsid w:val="00EF4DB5"/>
    <w:rsid w:val="00F04346"/>
    <w:rsid w:val="00F075DC"/>
    <w:rsid w:val="00F149E9"/>
    <w:rsid w:val="00F3600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97173"/>
  <w15:chartTrackingRefBased/>
  <w15:docId w15:val="{0F65D8E4-42E4-43A6-80B0-539D41CD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2275"/>
    <w:pPr>
      <w:spacing w:before="480" w:after="240"/>
    </w:pPr>
  </w:style>
  <w:style w:type="paragraph" w:customStyle="1" w:styleId="NormalBold">
    <w:name w:val="NormalBold"/>
    <w:basedOn w:val="Normal"/>
    <w:rsid w:val="00772275"/>
    <w:rPr>
      <w:b/>
    </w:rPr>
  </w:style>
  <w:style w:type="paragraph" w:customStyle="1" w:styleId="NormalBold12a">
    <w:name w:val="NormalBold12a"/>
    <w:basedOn w:val="Normal"/>
    <w:rsid w:val="0077227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7227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1CA5"/>
    <w:rPr>
      <w:sz w:val="24"/>
      <w:lang w:val="sv-SE"/>
    </w:rPr>
  </w:style>
  <w:style w:type="character" w:styleId="Hyperlink">
    <w:name w:val="Hyperlink"/>
    <w:basedOn w:val="DefaultParagraphFont"/>
    <w:rsid w:val="007A6D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EDHOLM Erik Thomas</cp:lastModifiedBy>
  <cp:revision>2</cp:revision>
  <cp:lastPrinted>2004-11-19T15:42:00Z</cp:lastPrinted>
  <dcterms:created xsi:type="dcterms:W3CDTF">2025-11-28T09:03:00Z</dcterms:created>
  <dcterms:modified xsi:type="dcterms:W3CDTF">2025-11-28T09:03:00Z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