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5210" w14:paraId="5DBC27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7F248E" w14:textId="2E5A6E35" w:rsidR="00751A4A" w:rsidRPr="00EC5210" w:rsidRDefault="001307BF" w:rsidP="0010095E">
            <w:pPr>
              <w:pStyle w:val="EPName"/>
            </w:pPr>
            <w:r w:rsidRPr="00EC5210">
              <w:t>Evropský parlament</w:t>
            </w:r>
          </w:p>
          <w:p w14:paraId="14AA30EF" w14:textId="77777777" w:rsidR="00751A4A" w:rsidRPr="00EC52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5210">
              <w:t>2024</w:t>
            </w:r>
            <w:r w:rsidR="00817416" w:rsidRPr="00EC5210">
              <w:t>-202</w:t>
            </w:r>
            <w:r w:rsidRPr="00EC5210">
              <w:t>9</w:t>
            </w:r>
          </w:p>
        </w:tc>
        <w:tc>
          <w:tcPr>
            <w:tcW w:w="2268" w:type="dxa"/>
            <w:shd w:val="clear" w:color="auto" w:fill="auto"/>
          </w:tcPr>
          <w:p w14:paraId="6023F007" w14:textId="77777777" w:rsidR="00751A4A" w:rsidRPr="00EC5210" w:rsidRDefault="00187494" w:rsidP="0010095E">
            <w:pPr>
              <w:pStyle w:val="EPLogo"/>
            </w:pPr>
            <w:r w:rsidRPr="00EC5210">
              <w:rPr>
                <w:noProof/>
                <w:lang w:eastAsia="ja-JP"/>
              </w:rPr>
              <w:drawing>
                <wp:inline distT="0" distB="0" distL="0" distR="0" wp14:anchorId="0B98DAFD" wp14:editId="0215E5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31A291" w14:textId="77777777" w:rsidR="00D058B8" w:rsidRPr="00EC5210" w:rsidRDefault="00D058B8" w:rsidP="004C5D52">
      <w:pPr>
        <w:pStyle w:val="LineTop"/>
      </w:pPr>
    </w:p>
    <w:p w14:paraId="09364D8D" w14:textId="42B43EDB" w:rsidR="00680577" w:rsidRPr="00EC5210" w:rsidRDefault="001307BF" w:rsidP="00680577">
      <w:pPr>
        <w:pStyle w:val="EPBodyTA1"/>
      </w:pPr>
      <w:r w:rsidRPr="00EC5210">
        <w:t>PŘIJATÉ TEXTY</w:t>
      </w:r>
    </w:p>
    <w:p w14:paraId="0349C888" w14:textId="77777777" w:rsidR="00D058B8" w:rsidRPr="00EC5210" w:rsidRDefault="00D058B8" w:rsidP="00D058B8">
      <w:pPr>
        <w:pStyle w:val="LineBottom"/>
      </w:pPr>
    </w:p>
    <w:p w14:paraId="14FC21A6" w14:textId="2D7E2BC2" w:rsidR="001307BF" w:rsidRPr="00EC5210" w:rsidRDefault="001307BF" w:rsidP="001307BF">
      <w:pPr>
        <w:pStyle w:val="ATHeading1"/>
      </w:pPr>
      <w:bookmarkStart w:id="0" w:name="TANumber"/>
      <w:r w:rsidRPr="00EC5210">
        <w:t>P10_TA(2025)0</w:t>
      </w:r>
      <w:r w:rsidR="005B2A95">
        <w:t>246</w:t>
      </w:r>
      <w:bookmarkEnd w:id="0"/>
    </w:p>
    <w:p w14:paraId="5B516B30" w14:textId="77777777" w:rsidR="001307BF" w:rsidRPr="00EC5210" w:rsidRDefault="001307BF" w:rsidP="001307BF">
      <w:pPr>
        <w:pStyle w:val="ATHeading2"/>
      </w:pPr>
      <w:bookmarkStart w:id="1" w:name="title"/>
      <w:r w:rsidRPr="00EC5210">
        <w:t>Udělení absolutoria za rok 2023: agentury</w:t>
      </w:r>
      <w:bookmarkEnd w:id="1"/>
    </w:p>
    <w:p w14:paraId="3F298A65" w14:textId="77777777" w:rsidR="001307BF" w:rsidRPr="00EC5210" w:rsidRDefault="001307BF" w:rsidP="001307BF">
      <w:pPr>
        <w:rPr>
          <w:i/>
          <w:vanish/>
        </w:rPr>
      </w:pPr>
      <w:r w:rsidRPr="00EC5210">
        <w:rPr>
          <w:i/>
        </w:rPr>
        <w:fldChar w:fldCharType="begin"/>
      </w:r>
      <w:r w:rsidRPr="00EC5210">
        <w:rPr>
          <w:i/>
        </w:rPr>
        <w:instrText xml:space="preserve"> TC"(</w:instrText>
      </w:r>
      <w:bookmarkStart w:id="2" w:name="DocNumber"/>
      <w:r w:rsidRPr="00EC5210">
        <w:rPr>
          <w:i/>
        </w:rPr>
        <w:instrText>A10-0169/2025</w:instrText>
      </w:r>
      <w:bookmarkEnd w:id="2"/>
      <w:r w:rsidRPr="00EC5210">
        <w:rPr>
          <w:i/>
        </w:rPr>
        <w:instrText xml:space="preserve"> - Zpravodaj: Erik Marquardt)"\l3 \n&gt; \* MERGEFORMAT </w:instrText>
      </w:r>
      <w:r w:rsidRPr="00EC5210">
        <w:rPr>
          <w:i/>
        </w:rPr>
        <w:fldChar w:fldCharType="end"/>
      </w:r>
    </w:p>
    <w:p w14:paraId="0CB2B95A" w14:textId="77777777" w:rsidR="001307BF" w:rsidRPr="00EC5210" w:rsidRDefault="001307BF" w:rsidP="001307BF">
      <w:pPr>
        <w:rPr>
          <w:vanish/>
        </w:rPr>
      </w:pPr>
      <w:bookmarkStart w:id="3" w:name="Commission"/>
      <w:r w:rsidRPr="00EC5210">
        <w:rPr>
          <w:vanish/>
        </w:rPr>
        <w:t>Výbor pro rozpočtovou kontrolu</w:t>
      </w:r>
      <w:bookmarkEnd w:id="3"/>
    </w:p>
    <w:p w14:paraId="5BF3DA70" w14:textId="77777777" w:rsidR="00913894" w:rsidRPr="00EC5210" w:rsidRDefault="001307BF" w:rsidP="00913894">
      <w:pPr>
        <w:rPr>
          <w:vanish/>
        </w:rPr>
      </w:pPr>
      <w:bookmarkStart w:id="4" w:name="PE"/>
      <w:r w:rsidRPr="00EC5210">
        <w:rPr>
          <w:vanish/>
        </w:rPr>
        <w:t>PE774.259</w:t>
      </w:r>
      <w:bookmarkEnd w:id="4"/>
    </w:p>
    <w:p w14:paraId="350FF4F9" w14:textId="06898575" w:rsidR="00913894" w:rsidRPr="00EC5210" w:rsidRDefault="00913894" w:rsidP="00913894">
      <w:pPr>
        <w:pStyle w:val="ATHeading3"/>
      </w:pPr>
      <w:bookmarkStart w:id="5" w:name="Sujet"/>
      <w:r w:rsidRPr="00EC5210">
        <w:t xml:space="preserve">1. Rozhodnutí Evropského parlamentu ze dne </w:t>
      </w:r>
      <w:r w:rsidR="004A34F2">
        <w:t>22</w:t>
      </w:r>
      <w:r w:rsidRPr="00EC5210">
        <w:t xml:space="preserve">. </w:t>
      </w:r>
      <w:r w:rsidR="004A34F2">
        <w:t>října</w:t>
      </w:r>
      <w:r w:rsidRPr="00EC5210">
        <w:t xml:space="preserve"> 2025 o udělení absolutoria za plnění rozpočtu </w:t>
      </w:r>
      <w:r w:rsidR="00EC5210" w:rsidRPr="00EC5210">
        <w:t>Agentury Evropské u</w:t>
      </w:r>
      <w:r w:rsidRPr="00EC5210">
        <w:t xml:space="preserve">nie </w:t>
      </w:r>
      <w:r w:rsidR="00EC5210" w:rsidRPr="00EC5210">
        <w:t>pro otázky azylu na</w:t>
      </w:r>
      <w:r w:rsidRPr="00EC5210">
        <w:t xml:space="preserve"> rozpočtový rok 2023</w:t>
      </w:r>
      <w:bookmarkEnd w:id="5"/>
      <w:r w:rsidRPr="00EC5210">
        <w:t xml:space="preserve"> </w:t>
      </w:r>
      <w:bookmarkStart w:id="6" w:name="References"/>
      <w:r w:rsidRPr="00EC5210">
        <w:t>(2024/20</w:t>
      </w:r>
      <w:r w:rsidR="00EC5210" w:rsidRPr="00EC5210">
        <w:t>30</w:t>
      </w:r>
      <w:r w:rsidRPr="00EC5210">
        <w:t>(DEC))</w:t>
      </w:r>
      <w:bookmarkEnd w:id="6"/>
    </w:p>
    <w:p w14:paraId="4035B8B8" w14:textId="77777777" w:rsidR="00913894" w:rsidRPr="00EC5210" w:rsidRDefault="00913894" w:rsidP="00913894">
      <w:pPr>
        <w:pStyle w:val="EPComma"/>
      </w:pPr>
      <w:bookmarkStart w:id="7" w:name="TextBodyBegin"/>
      <w:bookmarkEnd w:id="7"/>
      <w:r w:rsidRPr="00EC5210">
        <w:rPr>
          <w:i/>
          <w:iCs/>
        </w:rPr>
        <w:t>Evropský parlament</w:t>
      </w:r>
      <w:r w:rsidRPr="00EC5210">
        <w:t>,</w:t>
      </w:r>
    </w:p>
    <w:p w14:paraId="78389B16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konečnou roční účetní závěrku Agentury Evropské unie pro otázky azylu za rozpočtový rok 2023,</w:t>
      </w:r>
    </w:p>
    <w:p w14:paraId="2EA2852B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výroční zprávu Účetního dvora o agenturách EU za rozpočtový rok 2023 spolu s odpověďmi agentur</w:t>
      </w:r>
      <w:r w:rsidRPr="00892557">
        <w:rPr>
          <w:vertAlign w:val="superscript"/>
        </w:rPr>
        <w:footnoteReference w:id="1"/>
      </w:r>
      <w:r w:rsidRPr="00892557">
        <w:t>,</w:t>
      </w:r>
    </w:p>
    <w:p w14:paraId="2BDB84EF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prohlášení o věrohodnosti</w:t>
      </w:r>
      <w:r w:rsidRPr="00892557">
        <w:rPr>
          <w:vertAlign w:val="superscript"/>
        </w:rPr>
        <w:footnoteReference w:id="2"/>
      </w:r>
      <w:r w:rsidRPr="00892557">
        <w:t xml:space="preserve"> účetnictví a o legalitě a správnosti uskutečněných operací, které předložil Účetní dvůr za rozpočtový rok 2023 podle článku 287 Smlouvy o fungování Evropské unie,</w:t>
      </w:r>
    </w:p>
    <w:p w14:paraId="1F879526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doporučení Rady ze dne 17. února 2025 o absolutoriu, které má být uděleno agentuře za plnění rozpočtu na rozpočtový rok 2023 (05755/2025 – C10</w:t>
      </w:r>
      <w:r w:rsidRPr="00892557">
        <w:noBreakHyphen/>
        <w:t>0024/2025),</w:t>
      </w:r>
    </w:p>
    <w:p w14:paraId="2F71A1DB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své rozhodnutí ze dne 7. května 2025</w:t>
      </w:r>
      <w:r w:rsidRPr="00892557">
        <w:rPr>
          <w:vertAlign w:val="superscript"/>
        </w:rPr>
        <w:footnoteReference w:id="3"/>
      </w:r>
      <w:r w:rsidRPr="00892557">
        <w:t xml:space="preserve"> o odložení rozhodnutí o udělení absolutoria za plnění rozpočtu na rozpočtový rok 2023 spolu s odpověďmi výkonné ředitelky Agentury Evropské unie pro otázky azylu,</w:t>
      </w:r>
    </w:p>
    <w:p w14:paraId="355B1A3D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článek 319 Smlouvy o fungování Evropské unie,</w:t>
      </w:r>
    </w:p>
    <w:p w14:paraId="030A5B2C" w14:textId="090ABE45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 xml:space="preserve">s ohledem na nařízení Evropského parlamentu a Rady (EU, Euratom) 2018/1046 ze dne 18. července 2018, kterým se stanoví finanční pravidla pro souhrnný rozpočet Unie, mění nařízení (EU) č. 1296/2013, (EU) č. 1301/2013, (EU) č. 1303/2013, (EU) č. 1304/2013, (EU) č. 1309/2013, (EU) č. 1316/2013, (EU) č. 223/2014, (EU) č. 283/2014 a rozhodnutí č. 541/2014/EU a zrušuje nařízení (EU, Euratom) </w:t>
      </w:r>
      <w:r w:rsidRPr="00892557">
        <w:lastRenderedPageBreak/>
        <w:t>č. 966/2012</w:t>
      </w:r>
      <w:r w:rsidRPr="00892557">
        <w:rPr>
          <w:vertAlign w:val="superscript"/>
        </w:rPr>
        <w:footnoteReference w:id="4"/>
      </w:r>
      <w:r w:rsidRPr="00892557">
        <w:t>, a zejména článek 70 tohoto nařízení,</w:t>
      </w:r>
    </w:p>
    <w:p w14:paraId="3F5865A0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nařízení Evropského parlamentu a Rady (EU, Euratom) 2024/2509 ze dne 23. září 2024, kterým se stanoví finanční pravidla pro souhrnný rozpočet Unie</w:t>
      </w:r>
      <w:r w:rsidRPr="00892557">
        <w:rPr>
          <w:vertAlign w:val="superscript"/>
        </w:rPr>
        <w:footnoteReference w:id="5"/>
      </w:r>
      <w:r w:rsidRPr="00892557">
        <w:t>, a zejména na článek 70 tohoto nařízení,</w:t>
      </w:r>
    </w:p>
    <w:p w14:paraId="3D3F7F46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nařízení Evropského parlamentu a Rady (EU) č. 439/2010 ze dne 19. května 2010 o zřízení Evropského podpůrného úřadu pro otázky azylu</w:t>
      </w:r>
      <w:r w:rsidRPr="00892557">
        <w:rPr>
          <w:vertAlign w:val="superscript"/>
        </w:rPr>
        <w:footnoteReference w:id="6"/>
      </w:r>
      <w:r w:rsidRPr="00892557">
        <w:t>, a zejména na článek 36 tohoto nařízení,</w:t>
      </w:r>
    </w:p>
    <w:p w14:paraId="48026A3C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 ohledem na nařízení Evropského parlamentu a Rady (EU) 2021/2303 ze dne 15. prosince 2021 o zřízení Agentury Evropské unie pro otázky azylu a o zrušení nařízení (EU) č. 439/2010</w:t>
      </w:r>
      <w:r w:rsidRPr="00892557">
        <w:rPr>
          <w:vertAlign w:val="superscript"/>
        </w:rPr>
        <w:footnoteReference w:id="7"/>
      </w:r>
      <w:r w:rsidRPr="00892557">
        <w:t>, a zejména na článek 55 tohoto nařízení,</w:t>
      </w:r>
    </w:p>
    <w:p w14:paraId="1FB2566B" w14:textId="6BB63074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nařízení Komise v přenesené pravomoci (EU) 2019/715 ze dne 18. prosince 2018 o rámcovém finančním nařízení pro subjekty zřízené podle S</w:t>
      </w:r>
      <w:r w:rsidR="0070127E">
        <w:t xml:space="preserve">mlouvy o fungování </w:t>
      </w:r>
      <w:r w:rsidRPr="00892557">
        <w:t>E</w:t>
      </w:r>
      <w:r w:rsidR="0070127E">
        <w:t>vropské unie</w:t>
      </w:r>
      <w:r w:rsidRPr="00892557">
        <w:t xml:space="preserve"> a Smlouvy o Euratomu a uvedené v článku 70 nařízení Evropského parlamentu a Rady (EU, Euratom) 2018/1046</w:t>
      </w:r>
      <w:r w:rsidRPr="00892557">
        <w:rPr>
          <w:vertAlign w:val="superscript"/>
        </w:rPr>
        <w:footnoteReference w:id="8"/>
      </w:r>
      <w:r w:rsidRPr="00892557">
        <w:t>, a zejména na článek 105 tohoto nařízení,</w:t>
      </w:r>
    </w:p>
    <w:p w14:paraId="17A9F973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článek 102 a přílohu V jednacího řádu,</w:t>
      </w:r>
    </w:p>
    <w:p w14:paraId="6ED37B8E" w14:textId="77777777" w:rsidR="00892557" w:rsidRPr="00892557" w:rsidRDefault="00892557" w:rsidP="00F31C23">
      <w:pPr>
        <w:spacing w:after="240"/>
        <w:ind w:left="567" w:hanging="567"/>
      </w:pPr>
      <w:r w:rsidRPr="00892557">
        <w:t>–</w:t>
      </w:r>
      <w:r w:rsidRPr="00892557">
        <w:tab/>
        <w:t>s ohledem na druhou zprávu Výboru pro rozpočtovou kontrolu (A10</w:t>
      </w:r>
      <w:r w:rsidRPr="00892557">
        <w:noBreakHyphen/>
        <w:t>0169/2025),</w:t>
      </w:r>
    </w:p>
    <w:p w14:paraId="6C7639AB" w14:textId="77777777" w:rsidR="00913894" w:rsidRPr="00EC5210" w:rsidRDefault="00892557" w:rsidP="00F31C23">
      <w:pPr>
        <w:pStyle w:val="NormalHanging12a"/>
      </w:pPr>
      <w:r w:rsidRPr="00892557">
        <w:t>1.</w:t>
      </w:r>
      <w:r w:rsidRPr="00892557">
        <w:tab/>
      </w:r>
      <w:r w:rsidR="00913894" w:rsidRPr="00EC5210">
        <w:t>uděluje absolutorium výkonné ředitelce Agentury Evropské unie pro otázky azylu za plnění rozpočtu agentury na rozpočtový rok 2023;</w:t>
      </w:r>
    </w:p>
    <w:p w14:paraId="0E8F47EA" w14:textId="77777777" w:rsidR="00913894" w:rsidRPr="00EC5210" w:rsidRDefault="00913894" w:rsidP="00F31C23">
      <w:pPr>
        <w:pStyle w:val="NormalHanging12a"/>
      </w:pPr>
      <w:r w:rsidRPr="00EC5210">
        <w:t>2.</w:t>
      </w:r>
      <w:r w:rsidRPr="00EC5210">
        <w:tab/>
        <w:t>předkládá své připomínky v dále uvedeném usnesení;</w:t>
      </w:r>
    </w:p>
    <w:p w14:paraId="29C699FA" w14:textId="77777777" w:rsidR="00913894" w:rsidRPr="00EC5210" w:rsidRDefault="00913894" w:rsidP="00F31C23">
      <w:pPr>
        <w:pStyle w:val="NormalHanging12a"/>
      </w:pPr>
      <w:r w:rsidRPr="00EC5210">
        <w:t>3.</w:t>
      </w:r>
      <w:r w:rsidRPr="00EC5210">
        <w:tab/>
        <w:t>pověřuje svou předsedkyni, aby předala toto rozhodnutí a usnesení, které je jeho nedílnou součástí, výkonné ředitelce Agentury Evropské unie pro otázky azylu, Radě, Komisi a Účetnímu dvoru a aby zajistila jejich zveřejnění v </w:t>
      </w:r>
      <w:r w:rsidRPr="00EC5210">
        <w:rPr>
          <w:i/>
        </w:rPr>
        <w:t>Úředním věstníku Evropské unie</w:t>
      </w:r>
      <w:r w:rsidRPr="00EC5210">
        <w:t xml:space="preserve"> (řada L).</w:t>
      </w:r>
    </w:p>
    <w:p w14:paraId="41DCEE3C" w14:textId="430DC79D" w:rsidR="00892557" w:rsidRPr="00892557" w:rsidRDefault="00892557" w:rsidP="00913894">
      <w:pPr>
        <w:spacing w:after="240"/>
        <w:ind w:left="567" w:hanging="567"/>
      </w:pPr>
    </w:p>
    <w:p w14:paraId="53AC3D3A" w14:textId="77777777" w:rsidR="00892557" w:rsidRPr="00892557" w:rsidRDefault="00892557" w:rsidP="00892557">
      <w:pPr>
        <w:keepNext/>
        <w:spacing w:after="480"/>
        <w:jc w:val="center"/>
        <w:rPr>
          <w:rFonts w:ascii="Arial" w:hAnsi="Arial" w:cs="Arial"/>
          <w:b/>
        </w:rPr>
        <w:sectPr w:rsidR="00892557" w:rsidRPr="00892557" w:rsidSect="008925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C8B0D2F" w14:textId="1A829E50" w:rsidR="00892557" w:rsidRPr="00892557" w:rsidRDefault="00892557" w:rsidP="006362E9">
      <w:pPr>
        <w:pStyle w:val="NormalBold"/>
      </w:pPr>
      <w:r w:rsidRPr="00892557">
        <w:rPr>
          <w:lang w:eastAsia="fr-FR"/>
        </w:rPr>
        <w:lastRenderedPageBreak/>
        <w:t xml:space="preserve">2. Rozhodnutí Evropského parlamentu ze dne </w:t>
      </w:r>
      <w:r w:rsidR="004A34F2">
        <w:rPr>
          <w:lang w:eastAsia="fr-FR"/>
        </w:rPr>
        <w:t>22</w:t>
      </w:r>
      <w:r w:rsidRPr="00892557">
        <w:rPr>
          <w:lang w:eastAsia="fr-FR"/>
        </w:rPr>
        <w:t>.</w:t>
      </w:r>
      <w:r w:rsidR="004A34F2">
        <w:rPr>
          <w:lang w:eastAsia="fr-FR"/>
        </w:rPr>
        <w:t xml:space="preserve"> října</w:t>
      </w:r>
      <w:r w:rsidRPr="00892557">
        <w:rPr>
          <w:lang w:eastAsia="fr-FR"/>
        </w:rPr>
        <w:t xml:space="preserve"> 2025 o uzavření účtů </w:t>
      </w:r>
      <w:r w:rsidRPr="00EC5210">
        <w:t>Agentury Evropské unie pro otázky azylu za rozpočtový rok 2023</w:t>
      </w:r>
      <w:r w:rsidR="006362E9">
        <w:t xml:space="preserve"> </w:t>
      </w:r>
      <w:r w:rsidRPr="00892557">
        <w:t>(2024/2030(DEC))</w:t>
      </w:r>
    </w:p>
    <w:p w14:paraId="4D856A96" w14:textId="77777777" w:rsidR="00892557" w:rsidRPr="00892557" w:rsidRDefault="00892557" w:rsidP="00892557">
      <w:pPr>
        <w:spacing w:before="480" w:after="240"/>
      </w:pPr>
      <w:r w:rsidRPr="00892557">
        <w:rPr>
          <w:i/>
        </w:rPr>
        <w:t>Evropský parlament,</w:t>
      </w:r>
    </w:p>
    <w:p w14:paraId="1256E445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konečnou roční účetní závěrku Agentury Evropské unie pro otázky azylu za rozpočtový rok 2023,</w:t>
      </w:r>
    </w:p>
    <w:p w14:paraId="2A7FF47F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výroční zprávu Účetního dvora o agenturách EU za rozpočtový rok 2023 spolu s odpověďmi agentur</w:t>
      </w:r>
      <w:r w:rsidRPr="00892557">
        <w:rPr>
          <w:vertAlign w:val="superscript"/>
        </w:rPr>
        <w:footnoteReference w:id="9"/>
      </w:r>
      <w:r w:rsidRPr="00892557">
        <w:t>,</w:t>
      </w:r>
    </w:p>
    <w:p w14:paraId="09D38647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prohlášení o věrohodnosti</w:t>
      </w:r>
      <w:r w:rsidRPr="00892557">
        <w:rPr>
          <w:vertAlign w:val="superscript"/>
        </w:rPr>
        <w:footnoteReference w:id="10"/>
      </w:r>
      <w:r w:rsidRPr="00892557">
        <w:t xml:space="preserve"> účetnictví a o legalitě a správnosti uskutečněných operací, které předložil Účetní dvůr za rozpočtový rok 2023 podle článku 287 Smlouvy o fungování Evropské unie,</w:t>
      </w:r>
    </w:p>
    <w:p w14:paraId="12D318FA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doporučení Rady ze dne 17. února 2025 o absolutoriu, které má být uděleno agentuře za plnění rozpočtu na rozpočtový rok 2023 (05755/2025 – C10</w:t>
      </w:r>
      <w:r w:rsidRPr="00892557">
        <w:noBreakHyphen/>
        <w:t>0024/2025),</w:t>
      </w:r>
    </w:p>
    <w:p w14:paraId="4771F7BA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své rozhodnutí ze dne 7. května 2025</w:t>
      </w:r>
      <w:r w:rsidRPr="00892557">
        <w:rPr>
          <w:vertAlign w:val="superscript"/>
        </w:rPr>
        <w:footnoteReference w:id="11"/>
      </w:r>
      <w:r w:rsidRPr="00892557">
        <w:t xml:space="preserve"> o odložení rozhodnutí o udělení absolutoria za plnění rozpočtu na rozpočtový rok 2023 spolu s odpověďmi výkonné ředitelky Agentury Evropské unie pro otázky azylu,</w:t>
      </w:r>
    </w:p>
    <w:p w14:paraId="7A396A4A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článek 319 Smlouvy o fungování Evropské unie,</w:t>
      </w:r>
    </w:p>
    <w:p w14:paraId="07AFA347" w14:textId="7C321CC1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nařízení Evropského parlamentu a Rady (EU, Euratom) 2018/1046 ze dne 18. července 2018, kterým se stanoví finanční pravidla pro souhrnný rozpočet Unie, mění nařízení (EU) č. 1296/2013, (EU) č. 1301/2013, (EU) č. 1303/2013, (EU) č. 1304/2013, (EU) č. 1309/2013, (EU) č. 1316/2013, (EU) č. 223/2014, (EU) č. 283/2014 a rozhodnutí č. 541/2014/EU a zrušuje nařízení (EU, Euratom) č. 966/2012</w:t>
      </w:r>
      <w:r w:rsidRPr="00892557">
        <w:rPr>
          <w:vertAlign w:val="superscript"/>
        </w:rPr>
        <w:footnoteReference w:id="12"/>
      </w:r>
      <w:r w:rsidRPr="00892557">
        <w:t>, a zejména článek 70 tohoto nařízení,</w:t>
      </w:r>
    </w:p>
    <w:p w14:paraId="7817A126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nařízení Evropského parlamentu a Rady (EU, Euratom) 2024/2509 ze dne 23. září 2024, kterým se stanoví finanční pravidla pro souhrnný rozpočet Unie</w:t>
      </w:r>
      <w:r w:rsidRPr="00892557">
        <w:rPr>
          <w:vertAlign w:val="superscript"/>
        </w:rPr>
        <w:footnoteReference w:id="13"/>
      </w:r>
      <w:r w:rsidRPr="00892557">
        <w:t>, a zejména na článek 70 tohoto nařízení,</w:t>
      </w:r>
    </w:p>
    <w:p w14:paraId="3D8E1E26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nařízení Evropského parlamentu a Rady (EU) č. 439/2010 ze dne 19. května 2010 o zřízení Evropského podpůrného úřadu pro otázky azylu</w:t>
      </w:r>
      <w:r w:rsidRPr="00892557">
        <w:rPr>
          <w:vertAlign w:val="superscript"/>
        </w:rPr>
        <w:footnoteReference w:id="14"/>
      </w:r>
      <w:r w:rsidRPr="00892557">
        <w:t>, a zejména na článek 36 tohoto nařízení,</w:t>
      </w:r>
    </w:p>
    <w:p w14:paraId="10276EA6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 xml:space="preserve">s ohledem na nařízení Evropského parlamentu a Rady (EU) 2021/2303 ze dne 15. prosince 2021 o zřízení Agentury Evropské unie pro otázky azylu a o zrušení </w:t>
      </w:r>
      <w:r w:rsidRPr="00892557">
        <w:lastRenderedPageBreak/>
        <w:t>nařízení (EU) č. 439/2010</w:t>
      </w:r>
      <w:r w:rsidRPr="00892557">
        <w:rPr>
          <w:vertAlign w:val="superscript"/>
        </w:rPr>
        <w:footnoteReference w:id="15"/>
      </w:r>
      <w:r w:rsidRPr="00892557">
        <w:t>, a zejména na článek 55 tohoto nařízení,</w:t>
      </w:r>
    </w:p>
    <w:p w14:paraId="53CC9DC9" w14:textId="568DE0CB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nařízení Komise v přenesené pravomoci (EU) 2019/715 ze dne 18. prosince 2018 o rámcovém finančním nařízení pro subjekty zřízené podle S</w:t>
      </w:r>
      <w:r w:rsidR="0070127E">
        <w:t xml:space="preserve">mlouvy o fungování </w:t>
      </w:r>
      <w:r w:rsidRPr="00892557">
        <w:t>E</w:t>
      </w:r>
      <w:r w:rsidR="0070127E">
        <w:t>vropské unie</w:t>
      </w:r>
      <w:r w:rsidRPr="00892557">
        <w:t xml:space="preserve"> a Smlouvy o Euratomu a uvedené v článku 70 nařízení Evropského parlamentu a Rady (EU, Euratom) 2018/1046</w:t>
      </w:r>
      <w:r w:rsidRPr="00892557">
        <w:rPr>
          <w:vertAlign w:val="superscript"/>
        </w:rPr>
        <w:footnoteReference w:id="16"/>
      </w:r>
      <w:r w:rsidRPr="00892557">
        <w:t>, a zejména na článek 105 tohoto nařízení,</w:t>
      </w:r>
    </w:p>
    <w:p w14:paraId="6BCE0CCC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článek 102 a přílohu V jednacího řádu,</w:t>
      </w:r>
    </w:p>
    <w:p w14:paraId="5ACDD3B6" w14:textId="77777777" w:rsidR="00892557" w:rsidRPr="00892557" w:rsidRDefault="00892557" w:rsidP="009866A8">
      <w:pPr>
        <w:spacing w:after="240"/>
        <w:ind w:left="567" w:hanging="567"/>
      </w:pPr>
      <w:r w:rsidRPr="00892557">
        <w:t>–</w:t>
      </w:r>
      <w:r w:rsidRPr="00892557">
        <w:tab/>
        <w:t>s ohledem na druhou zprávu Výboru pro rozpočtovou kontrolu (A10</w:t>
      </w:r>
      <w:r w:rsidRPr="00892557">
        <w:noBreakHyphen/>
        <w:t>0169/2025),</w:t>
      </w:r>
    </w:p>
    <w:p w14:paraId="253FD2A6" w14:textId="77777777" w:rsidR="00892557" w:rsidRPr="00892557" w:rsidRDefault="00892557" w:rsidP="009866A8">
      <w:pPr>
        <w:spacing w:after="240"/>
        <w:ind w:left="567" w:hanging="567"/>
      </w:pPr>
      <w:r w:rsidRPr="00892557">
        <w:t>1.</w:t>
      </w:r>
      <w:r w:rsidRPr="00892557">
        <w:tab/>
        <w:t>schvaluje uzavření účtů Agentury Evropské unie pro otázky azylu za rozpočtový rok 2023;</w:t>
      </w:r>
    </w:p>
    <w:p w14:paraId="7E5B1DE4" w14:textId="0ABC291E" w:rsidR="00892557" w:rsidRPr="00892557" w:rsidRDefault="00892557" w:rsidP="009866A8">
      <w:pPr>
        <w:keepNext/>
        <w:keepLines/>
        <w:widowControl/>
        <w:spacing w:after="240"/>
        <w:ind w:left="567" w:hanging="567"/>
        <w:outlineLvl w:val="2"/>
      </w:pPr>
      <w:r w:rsidRPr="00EC5210">
        <w:t>2.</w:t>
      </w:r>
      <w:r w:rsidRPr="00EC5210">
        <w:tab/>
        <w:t>pověřuje svou předsedkyni, aby předala toto rozhodnutí výkonné ředitelce Agentury Evropské unie pro otázky azylu, Radě, Komisi a Účetnímu dvoru a aby zajistila jeho zveřejnění v </w:t>
      </w:r>
      <w:r w:rsidRPr="00EC5210">
        <w:rPr>
          <w:i/>
        </w:rPr>
        <w:t>Úředním věstníku Evropské unie</w:t>
      </w:r>
      <w:r w:rsidRPr="00EC5210">
        <w:t xml:space="preserve"> (řada L</w:t>
      </w:r>
      <w:r w:rsidRPr="00892557">
        <w:t>).</w:t>
      </w:r>
    </w:p>
    <w:p w14:paraId="0896C0C6" w14:textId="77777777" w:rsidR="00892557" w:rsidRPr="00892557" w:rsidRDefault="00892557" w:rsidP="00892557"/>
    <w:p w14:paraId="1A6E12AC" w14:textId="77777777" w:rsidR="00892557" w:rsidRPr="00892557" w:rsidRDefault="00892557" w:rsidP="00892557">
      <w:pPr>
        <w:keepNext/>
        <w:spacing w:after="480"/>
        <w:jc w:val="center"/>
        <w:rPr>
          <w:rFonts w:ascii="Arial" w:hAnsi="Arial" w:cs="Arial"/>
          <w:b/>
        </w:rPr>
        <w:sectPr w:rsidR="00892557" w:rsidRPr="00892557" w:rsidSect="00892557">
          <w:footerReference w:type="first" r:id="rId15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8AF9FC" w14:textId="1BF5AAE8" w:rsidR="00892557" w:rsidRPr="00892557" w:rsidRDefault="00892557" w:rsidP="006362E9">
      <w:pPr>
        <w:pStyle w:val="NormalBold"/>
      </w:pPr>
      <w:r w:rsidRPr="00892557">
        <w:rPr>
          <w:lang w:eastAsia="fr-FR"/>
        </w:rPr>
        <w:lastRenderedPageBreak/>
        <w:t xml:space="preserve">3. </w:t>
      </w:r>
      <w:r w:rsidR="00EC5210" w:rsidRPr="00EC5210">
        <w:rPr>
          <w:lang w:eastAsia="fr-FR"/>
        </w:rPr>
        <w:t>Usnesen</w:t>
      </w:r>
      <w:r w:rsidRPr="00892557">
        <w:rPr>
          <w:lang w:eastAsia="fr-FR"/>
        </w:rPr>
        <w:t xml:space="preserve">í Evropského parlamentu ze dne </w:t>
      </w:r>
      <w:r w:rsidR="0034159A">
        <w:rPr>
          <w:lang w:eastAsia="fr-FR"/>
        </w:rPr>
        <w:t>22</w:t>
      </w:r>
      <w:r w:rsidRPr="00892557">
        <w:rPr>
          <w:lang w:eastAsia="fr-FR"/>
        </w:rPr>
        <w:t xml:space="preserve">. </w:t>
      </w:r>
      <w:r w:rsidR="0034159A">
        <w:rPr>
          <w:lang w:eastAsia="fr-FR"/>
        </w:rPr>
        <w:t>října</w:t>
      </w:r>
      <w:r w:rsidRPr="00892557">
        <w:rPr>
          <w:lang w:eastAsia="fr-FR"/>
        </w:rPr>
        <w:t xml:space="preserve"> 2025 </w:t>
      </w:r>
      <w:r w:rsidRPr="00EC5210">
        <w:t>obsahující připomínky, které jsou nedílnou součástí rozhodnutí o udělení absolutoria za plnění rozpočtu agentur Evropské unie na rozpočtový rok 2023</w:t>
      </w:r>
      <w:r w:rsidR="006362E9">
        <w:t xml:space="preserve"> </w:t>
      </w:r>
      <w:r w:rsidRPr="00892557">
        <w:t>(2024/2030(DEC))</w:t>
      </w:r>
    </w:p>
    <w:p w14:paraId="0AA51EC1" w14:textId="77777777" w:rsidR="00892557" w:rsidRPr="00892557" w:rsidRDefault="00892557" w:rsidP="00892557">
      <w:pPr>
        <w:spacing w:before="480" w:after="240"/>
      </w:pPr>
      <w:r w:rsidRPr="00892557">
        <w:rPr>
          <w:i/>
        </w:rPr>
        <w:t>Evropský parlament,</w:t>
      </w:r>
    </w:p>
    <w:p w14:paraId="7B997C4B" w14:textId="77777777" w:rsidR="00892557" w:rsidRPr="00892557" w:rsidRDefault="00892557" w:rsidP="0070127E">
      <w:pPr>
        <w:spacing w:after="240"/>
        <w:ind w:left="567" w:hanging="567"/>
      </w:pPr>
      <w:r w:rsidRPr="00892557">
        <w:t>–</w:t>
      </w:r>
      <w:r w:rsidRPr="00892557">
        <w:tab/>
        <w:t>s ohledem na své rozhodnutí o udělení absolutoria za plnění rozpočtu Agentury Evropské unie pro otázky azylu na rozpočtový rok 2023,</w:t>
      </w:r>
    </w:p>
    <w:p w14:paraId="4A425390" w14:textId="77777777" w:rsidR="00892557" w:rsidRPr="00892557" w:rsidRDefault="00892557" w:rsidP="0070127E">
      <w:pPr>
        <w:spacing w:after="240"/>
        <w:ind w:left="567" w:hanging="567"/>
      </w:pPr>
      <w:r w:rsidRPr="00892557">
        <w:t>–</w:t>
      </w:r>
      <w:r w:rsidRPr="00892557">
        <w:tab/>
        <w:t>s ohledem na článek 102 a přílohu V jednacího řádu,</w:t>
      </w:r>
    </w:p>
    <w:p w14:paraId="6D8CA123" w14:textId="3AAA53FC" w:rsidR="00892557" w:rsidRPr="00892557" w:rsidRDefault="00892557" w:rsidP="0070127E">
      <w:pPr>
        <w:spacing w:after="240"/>
        <w:ind w:left="567" w:hanging="567"/>
      </w:pPr>
      <w:r w:rsidRPr="00892557">
        <w:t>–</w:t>
      </w:r>
      <w:r w:rsidRPr="00892557">
        <w:tab/>
        <w:t>s ohledem na fungování společného evropského azylového systému, na dodržování, řádné provádění a prosazování pravidel a udržitelnou a odpovídající finanční podporu Agentury Evropské unie pro otázky azylu, které jsou zásadní pro zajištění systému sdílené odpovědnosti a solidarity mezi členskými státy Evropské unie;</w:t>
      </w:r>
    </w:p>
    <w:p w14:paraId="470EB626" w14:textId="77777777" w:rsidR="00892557" w:rsidRPr="00892557" w:rsidRDefault="00892557" w:rsidP="0070127E">
      <w:pPr>
        <w:spacing w:after="240"/>
        <w:ind w:left="567" w:hanging="567"/>
      </w:pPr>
      <w:r w:rsidRPr="00892557">
        <w:t>–</w:t>
      </w:r>
      <w:r w:rsidRPr="00892557">
        <w:tab/>
        <w:t>s ohledem na závěrečnou zprávu úřadu OLAF (OC-2022–0717) o Agentuře Evropské unie pro otázky azylu, která byla dokončena v říjnu 2024 a v březnu 2025 byla zpřístupněna členům Výboru pro rozpočtovou kontrolu,</w:t>
      </w:r>
    </w:p>
    <w:p w14:paraId="1A6EA227" w14:textId="3364ABE3" w:rsidR="00892557" w:rsidRPr="00892557" w:rsidRDefault="00892557" w:rsidP="0070127E">
      <w:pPr>
        <w:spacing w:after="240"/>
        <w:ind w:left="567" w:hanging="567"/>
        <w:rPr>
          <w:bCs/>
        </w:rPr>
      </w:pPr>
      <w:r w:rsidRPr="00892557">
        <w:t>–</w:t>
      </w:r>
      <w:r w:rsidRPr="00892557">
        <w:tab/>
        <w:t xml:space="preserve">s ohledem na dopisy, které zaslala předsedkyně správní rady agentury </w:t>
      </w:r>
      <w:r w:rsidR="00F968C8" w:rsidRPr="00892557">
        <w:t>Agentury Evropské unie pro otázky azylu</w:t>
      </w:r>
      <w:r w:rsidRPr="00892557">
        <w:t xml:space="preserve"> v březnu 2025 a výkonná ředitelka této agentury v červenci 2025,</w:t>
      </w:r>
    </w:p>
    <w:p w14:paraId="214F7D8C" w14:textId="3822E5ED" w:rsidR="00892557" w:rsidRPr="00892557" w:rsidRDefault="00892557" w:rsidP="0070127E">
      <w:pPr>
        <w:spacing w:after="240"/>
        <w:ind w:left="567" w:hanging="567"/>
      </w:pPr>
      <w:r w:rsidRPr="00892557">
        <w:t>–</w:t>
      </w:r>
      <w:r w:rsidRPr="00892557">
        <w:tab/>
        <w:t>s ohledem na výměnu názorů se zástupci úřadu OLAF, Agentury Evropské unie pro otázky azylu a GŘ HOME, která proběhla dne 15. července 2025,</w:t>
      </w:r>
    </w:p>
    <w:p w14:paraId="0190335D" w14:textId="77777777" w:rsidR="00892557" w:rsidRPr="00892557" w:rsidRDefault="00892557" w:rsidP="0070127E">
      <w:pPr>
        <w:spacing w:after="240"/>
        <w:ind w:left="567" w:hanging="567"/>
      </w:pPr>
      <w:r w:rsidRPr="00892557">
        <w:t>–</w:t>
      </w:r>
      <w:r w:rsidRPr="00892557">
        <w:tab/>
        <w:t>s ohledem na druhou zprávu Výboru pro rozpočtovou kontrolu (A10</w:t>
      </w:r>
      <w:r w:rsidRPr="00892557">
        <w:noBreakHyphen/>
        <w:t>0169/2025),</w:t>
      </w:r>
    </w:p>
    <w:p w14:paraId="140F1F8D" w14:textId="77777777" w:rsidR="00892557" w:rsidRPr="00892557" w:rsidRDefault="00892557" w:rsidP="0070127E">
      <w:pPr>
        <w:spacing w:after="240"/>
        <w:ind w:left="567" w:hanging="567"/>
      </w:pPr>
      <w:r w:rsidRPr="00892557">
        <w:t>A.</w:t>
      </w:r>
      <w:r w:rsidRPr="00892557">
        <w:tab/>
        <w:t>vzhledem k tomu, že všechny decentralizované agentury Unie musí být transparentní a musí se plně zodpovídat občanům Unie za prostředky, které jim byly jakožto institucím Unie svěřeny;</w:t>
      </w:r>
    </w:p>
    <w:p w14:paraId="233A1082" w14:textId="77777777" w:rsidR="00892557" w:rsidRPr="00892557" w:rsidRDefault="00892557" w:rsidP="0070127E">
      <w:pPr>
        <w:spacing w:after="240"/>
        <w:ind w:left="567" w:hanging="567"/>
      </w:pPr>
      <w:r w:rsidRPr="00892557">
        <w:t>B.</w:t>
      </w:r>
      <w:r w:rsidRPr="00892557">
        <w:tab/>
        <w:t>vzhledem k tomu, že Agentura Evropské unie pro otázky azylu má jako subjekt Unie, kterému byly svěřeny významné úkoly a zdroje, odpovídající povinnost jednat v souladu s nejvyššími standardy transparentnosti, odpovědnosti a příkladného chování, a zajistit tak, aby požívala důvěry občanů a institucí Unie;</w:t>
      </w:r>
    </w:p>
    <w:p w14:paraId="0598179F" w14:textId="2DDB935C" w:rsidR="00892557" w:rsidRPr="00892557" w:rsidRDefault="00892557" w:rsidP="0070127E">
      <w:pPr>
        <w:spacing w:after="240"/>
        <w:ind w:left="567" w:hanging="567"/>
      </w:pPr>
      <w:r w:rsidRPr="00892557">
        <w:t>C.</w:t>
      </w:r>
      <w:r w:rsidRPr="00892557">
        <w:tab/>
        <w:t>vzhledem k tomu, že úloha Parlamentu při udělování absolutoria za plnění rozpočtu je popsána ve Smlouvě o fungování Evropské unie, ve finančním nařízení a v rámcovém finančním nařízení;</w:t>
      </w:r>
    </w:p>
    <w:p w14:paraId="36CED610" w14:textId="77777777" w:rsidR="00892557" w:rsidRPr="00892557" w:rsidRDefault="00892557" w:rsidP="0070127E">
      <w:pPr>
        <w:spacing w:after="240"/>
        <w:ind w:left="567" w:hanging="567"/>
      </w:pPr>
      <w:r w:rsidRPr="00892557">
        <w:t>D.</w:t>
      </w:r>
      <w:r w:rsidRPr="00892557">
        <w:tab/>
        <w:t>vzhledem k tomu, že úřad OLAF jako subjekt Unie pro boj proti podvodům má povinnost poskytovat Evropskému parlamentu včasný a přiměřený přístup ke svým zjištěním, aby umožnil účinnou kontrolu v rámci udělování absolutoria;</w:t>
      </w:r>
    </w:p>
    <w:p w14:paraId="37F6F4D9" w14:textId="2F095EDD" w:rsidR="00892557" w:rsidRPr="00892557" w:rsidRDefault="00892557" w:rsidP="0070127E">
      <w:pPr>
        <w:spacing w:after="240"/>
        <w:ind w:left="567" w:hanging="567"/>
      </w:pPr>
      <w:r w:rsidRPr="00892557">
        <w:t>1.</w:t>
      </w:r>
      <w:r w:rsidRPr="00892557">
        <w:tab/>
        <w:t>připomíná úlohu Parlamentu v rámci postupu udělování absolutoria, jak ji upravuje S</w:t>
      </w:r>
      <w:r w:rsidR="0070127E">
        <w:t xml:space="preserve">mlouvy o fungování </w:t>
      </w:r>
      <w:r w:rsidRPr="00892557">
        <w:t>E</w:t>
      </w:r>
      <w:r w:rsidR="0070127E">
        <w:t>vropské unie</w:t>
      </w:r>
      <w:r w:rsidRPr="00892557">
        <w:t>, finanční nařízení a jednací řád Parlamentu;</w:t>
      </w:r>
    </w:p>
    <w:p w14:paraId="181C0080" w14:textId="77777777" w:rsidR="00892557" w:rsidRPr="00892557" w:rsidRDefault="00892557" w:rsidP="0070127E">
      <w:pPr>
        <w:spacing w:after="240"/>
        <w:ind w:left="567" w:hanging="567"/>
      </w:pPr>
      <w:r w:rsidRPr="00892557">
        <w:t>2.</w:t>
      </w:r>
      <w:r w:rsidRPr="00892557">
        <w:tab/>
        <w:t>připomíná, že dne 7. května 2025 Parlament odložil rozhodnutí o udělení absolutoria Agentuře Evropské unie pro otázky azylu (dále jen „agentuře“) za rozpočtový rok 2023;</w:t>
      </w:r>
    </w:p>
    <w:p w14:paraId="054BF5E9" w14:textId="77777777" w:rsidR="00892557" w:rsidRPr="00892557" w:rsidRDefault="00892557" w:rsidP="0070127E">
      <w:pPr>
        <w:spacing w:after="240"/>
        <w:ind w:left="567" w:hanging="567"/>
      </w:pPr>
      <w:r w:rsidRPr="00892557">
        <w:lastRenderedPageBreak/>
        <w:t>3.</w:t>
      </w:r>
      <w:r w:rsidRPr="00892557">
        <w:tab/>
        <w:t>zdůrazňuje, že při plnění rozpočtu Unie je nanejvýš důležité počínat si odpovědně a transparentně; je přesvědčen o tom, že jakékoli nedodržování těchto zásad vážně podkopává důvěru veřejnosti;</w:t>
      </w:r>
    </w:p>
    <w:p w14:paraId="4E25A317" w14:textId="77777777" w:rsidR="00892557" w:rsidRPr="00892557" w:rsidRDefault="00892557" w:rsidP="0070127E">
      <w:pPr>
        <w:spacing w:after="240"/>
        <w:ind w:left="567" w:hanging="567"/>
        <w:rPr>
          <w:b/>
          <w:i/>
        </w:rPr>
      </w:pPr>
      <w:r w:rsidRPr="00892557">
        <w:rPr>
          <w:b/>
          <w:i/>
        </w:rPr>
        <w:t>Výsledky šetření Evropského úřadu pro boj proti podvodům (OLAF)</w:t>
      </w:r>
    </w:p>
    <w:p w14:paraId="14EE9315" w14:textId="77777777" w:rsidR="00892557" w:rsidRPr="00892557" w:rsidRDefault="00892557" w:rsidP="0070127E">
      <w:pPr>
        <w:spacing w:after="240"/>
        <w:ind w:left="567" w:hanging="567"/>
      </w:pPr>
      <w:r w:rsidRPr="00892557">
        <w:t>4.</w:t>
      </w:r>
      <w:r w:rsidRPr="00892557">
        <w:tab/>
        <w:t>bere na vědomí, že úřad OLAF v březnu 2025 zpřístupnil členům Výboru pro rozpočtovou kontrolu anonymizovanou verzi své závěrečné zprávy o vyšetřování a v červenci 2025 ji zpřístupnil členům Výboru pro občanské svobody, spravedlnost a vnitřní věci; vyjadřuje politování nad opožděným přístupem k vyšetřování, který byl udělen až v březnu navzdory žádosti zpravodaje z prosince 2024, přičemž úřad OLAF ve své odpovědi citoval námitky správní rady Agentury Evropské unie pro otázky azylu; trvá na tom, že přístup ke zprávě měl být členům výboru CONT poskytnut dříve, aby byl zaručen řádný výkon jejich mandátu;</w:t>
      </w:r>
    </w:p>
    <w:p w14:paraId="1F8D4B6C" w14:textId="77777777" w:rsidR="00892557" w:rsidRPr="00892557" w:rsidRDefault="00892557" w:rsidP="0070127E">
      <w:pPr>
        <w:spacing w:after="240"/>
        <w:ind w:left="567" w:hanging="567"/>
      </w:pPr>
      <w:r w:rsidRPr="00892557">
        <w:t>5.</w:t>
      </w:r>
      <w:r w:rsidRPr="00892557">
        <w:tab/>
        <w:t>je si vědom toho, že vyšetřování úřadu OLAF musí být vedeno soustavně po dobu, která musí být přiměřená okolnostem a složitosti případu; je znepokojen délkou vyšetřování úřadu OLAF, neboť to oslabuje schopnost orgánu příslušného k udělení absolutoria účinně zohlednit zjištění úřadu OLAF; trvá na tom, že včasné vyšetřování je klíčové z hlediska zachování účinného dohledu Parlamentu; vyzývá úřad OLAF, aby přezkoumal a urychlil postup dokončení vyšetřování a předání jeho výsledků orgánu příslušnému k udělení absolutoria; zdůrazňuje, že tyto prodlevy oslabují schopnost členů výboru CONT účinně vykonávat dohledový mandát, a vyzývá k přijetí opatření, která v budoucnu zajistí rychlý přístup ke zprávám o vyšetřování;</w:t>
      </w:r>
    </w:p>
    <w:p w14:paraId="0A9329F5" w14:textId="77777777" w:rsidR="00892557" w:rsidRPr="00892557" w:rsidRDefault="00892557" w:rsidP="0070127E">
      <w:pPr>
        <w:spacing w:after="240"/>
        <w:ind w:left="567" w:hanging="567"/>
      </w:pPr>
      <w:r w:rsidRPr="00892557">
        <w:t>6.</w:t>
      </w:r>
      <w:r w:rsidRPr="00892557">
        <w:tab/>
        <w:t>zdůrazňuje, že ochrana rozpočtu Unie musí být základní hodnotou řádného finančního řízení, kterou musí dodržovat všechny orgány Unie, včetně agentur a decentralizovaných orgánů, které musí být jasným příkladem odpovědnosti a transparentnosti při používání evropských veřejných prostředků; opakuje, že je třeba posilovat koordinaci a spolupráci v institucionálním rámci pro boj proti podvodům s cílem zejména řešit potřebu rychlejších a účinnějších vyšetřování úřadu OLAF, a sladit tak toto úsilí s širším cílem ochrany finančních prostředků Unie;</w:t>
      </w:r>
    </w:p>
    <w:p w14:paraId="4ABD4690" w14:textId="77777777" w:rsidR="00892557" w:rsidRPr="00892557" w:rsidRDefault="00892557" w:rsidP="0070127E">
      <w:pPr>
        <w:spacing w:after="240"/>
        <w:ind w:left="567" w:hanging="567"/>
      </w:pPr>
      <w:r w:rsidRPr="00892557">
        <w:t>7.</w:t>
      </w:r>
      <w:r w:rsidRPr="00892557">
        <w:tab/>
        <w:t>vyzývá agenturu a úřad OLAF, aby v zájmu transparentnosti a důvěry veřejnosti zveřejnily anonymizované shrnutí zprávy úřadu OLAF, pokud je to po právní stránce možné;</w:t>
      </w:r>
    </w:p>
    <w:p w14:paraId="5A48E2BE" w14:textId="77777777" w:rsidR="00892557" w:rsidRPr="00892557" w:rsidRDefault="00892557" w:rsidP="0070127E">
      <w:pPr>
        <w:spacing w:after="240"/>
        <w:ind w:left="567" w:hanging="567"/>
      </w:pPr>
      <w:r w:rsidRPr="00892557">
        <w:t>8.</w:t>
      </w:r>
      <w:r w:rsidRPr="00892557">
        <w:tab/>
        <w:t>bere na vědomí skutečnost, že úřad OLAF vydal v návaznosti na vyšetřování disciplinární a správní doporučení;</w:t>
      </w:r>
    </w:p>
    <w:p w14:paraId="392F8A76" w14:textId="77777777" w:rsidR="00892557" w:rsidRPr="00892557" w:rsidRDefault="00892557" w:rsidP="0070127E">
      <w:pPr>
        <w:spacing w:after="240"/>
        <w:ind w:left="567" w:hanging="567"/>
      </w:pPr>
      <w:r w:rsidRPr="00892557">
        <w:t>9.</w:t>
      </w:r>
      <w:r w:rsidRPr="00892557">
        <w:tab/>
        <w:t>konstatuje, že pokud jde o disciplinární doporučení, správní rada rozhodla, že jako následný krok nezahájí disciplinární řízení, ale místo toho vydala písemná doporučení s varováním a požádala výkonnou ředitelku o konkrétní návrhy v podobě nápravných opatření a o harmonogram jejich co nejrychlejšího provedení; bere na vědomí, že v souladu s touto žádostí předložila výkonná ředitelka správní radě následující dokumenty, mj.:</w:t>
      </w:r>
    </w:p>
    <w:p w14:paraId="6FDF98DF" w14:textId="77777777" w:rsidR="00892557" w:rsidRPr="00892557" w:rsidRDefault="00892557" w:rsidP="00884427">
      <w:pPr>
        <w:spacing w:after="240"/>
        <w:ind w:left="567" w:hanging="567"/>
      </w:pPr>
      <w:r w:rsidRPr="00892557">
        <w:t>–</w:t>
      </w:r>
      <w:r w:rsidRPr="00892557">
        <w:tab/>
        <w:t>doporučení správní rady;</w:t>
      </w:r>
    </w:p>
    <w:p w14:paraId="6FF89234" w14:textId="77777777" w:rsidR="00892557" w:rsidRPr="00892557" w:rsidRDefault="00892557" w:rsidP="00884427">
      <w:pPr>
        <w:spacing w:after="240"/>
        <w:ind w:left="567" w:hanging="567"/>
      </w:pPr>
      <w:r w:rsidRPr="00892557">
        <w:t>–</w:t>
      </w:r>
      <w:r w:rsidRPr="00892557">
        <w:tab/>
        <w:t>současný stav v agentuře, pokud jde o jednotlivá doporučení, a</w:t>
      </w:r>
    </w:p>
    <w:p w14:paraId="2E0DC403" w14:textId="77777777" w:rsidR="00892557" w:rsidRPr="00892557" w:rsidRDefault="00892557" w:rsidP="00884427">
      <w:pPr>
        <w:spacing w:after="240"/>
        <w:ind w:left="567" w:hanging="567"/>
      </w:pPr>
      <w:r w:rsidRPr="00892557">
        <w:t>–</w:t>
      </w:r>
      <w:r w:rsidRPr="00892557">
        <w:tab/>
        <w:t xml:space="preserve">další nápravná opatření, která mají být provedena, včetně předběžného harmonogramu </w:t>
      </w:r>
      <w:r w:rsidRPr="00892557">
        <w:lastRenderedPageBreak/>
        <w:t>jejich provedení; vyzývá správní radu, aby se těmito doporučeními řídila a podala orgánu příslušnému k udělení absolutoria zprávu o jejich plném a včasném provedení;</w:t>
      </w:r>
    </w:p>
    <w:p w14:paraId="612568F3" w14:textId="5548F4AC" w:rsidR="00892557" w:rsidRPr="00892557" w:rsidRDefault="00892557" w:rsidP="0070127E">
      <w:pPr>
        <w:spacing w:after="240"/>
        <w:ind w:left="567" w:hanging="567"/>
      </w:pPr>
      <w:r w:rsidRPr="00892557">
        <w:t>10.</w:t>
      </w:r>
      <w:r w:rsidRPr="00892557">
        <w:tab/>
        <w:t xml:space="preserve">vyjadřuje politování nad tím, že správní rada rozhodla po intenzivních jednáních, že neprovede disciplinární doporučení úřadu OLAF, včetně zahájení disciplinárního řízení proti výkonné ředitelce agentury nebo jinému zaměstnanci </w:t>
      </w:r>
      <w:r w:rsidR="00CA4214">
        <w:t>A</w:t>
      </w:r>
      <w:r w:rsidRPr="00892557">
        <w:t>gentury</w:t>
      </w:r>
      <w:r w:rsidR="00CA4214" w:rsidRPr="00892557">
        <w:t xml:space="preserve"> Evropské unie pro otázky azylu</w:t>
      </w:r>
      <w:r w:rsidRPr="00892557">
        <w:t>, navzdory významným zjištěním úřadu OLAF, která se jeví jako systematická a která zpochybňují důvěru ve vedení agentury; zdůrazňuje, že toto rozhodnutí vyvolává otázky ohledně odpovědného přístupu správní rady v souladu s institucionálními očekáváními, a uznává, že rada má možnost po přezkoumání vznesených problémů rozhodnout, že doporučení neprovede; upozorňuje, že Parlament bude i nadále věnovat zvláštní pozornost přijatým nápravným opatřením; očekává, že agentura prokáže, že přijala příkladné navazující kroky, které zajistí vysoké standardy, jasnou odpovědnost za provedení nápravných opatření a plné vyvození odpovědnosti; vyzývá agenturu, aby s cílem posílit parlamentní dohled zajistila transparentní podávání zpráv Parlamentu, například tím, že bude s Parlamentem sdílet zápisy z jednání správní rady;</w:t>
      </w:r>
    </w:p>
    <w:p w14:paraId="73382584" w14:textId="77777777" w:rsidR="00892557" w:rsidRPr="00892557" w:rsidRDefault="00892557" w:rsidP="0070127E">
      <w:pPr>
        <w:spacing w:after="240"/>
        <w:ind w:left="567" w:hanging="567"/>
      </w:pPr>
      <w:r w:rsidRPr="00892557">
        <w:t>11.</w:t>
      </w:r>
      <w:r w:rsidRPr="00892557">
        <w:tab/>
        <w:t>konstatuje, že výkonná ředitelka vypracovala „prohlášení o vizi vedení zavádějící změny do agentury EUAA“, v němž uvádí realizovaná nápravná opatření a nápravná opatření, která mají být provedena; žádá agenturu, aby orgán příslušný k udělení absolutoria informovala o provedených nápravných opatřeních a o těch, která ještě mají být provedena, a rovněž o lhůtách jejich dokončení;</w:t>
      </w:r>
    </w:p>
    <w:p w14:paraId="4C0420BA" w14:textId="77777777" w:rsidR="00892557" w:rsidRPr="00892557" w:rsidRDefault="00892557" w:rsidP="0070127E">
      <w:pPr>
        <w:spacing w:after="240"/>
        <w:ind w:left="567" w:hanging="567"/>
      </w:pPr>
      <w:r w:rsidRPr="00892557">
        <w:t>12.</w:t>
      </w:r>
      <w:r w:rsidRPr="00892557">
        <w:tab/>
        <w:t>vyjadřuje znepokojení nad tím, že administrativní doporučení se týkala uplatňovaných postupů hodnocení, kdy zaměstnance hodnotí spíše vedoucí sektorů než vedoucí oddělení, a dále se týkala nedostatků v řešení střetů zájmů v agentuře;</w:t>
      </w:r>
    </w:p>
    <w:p w14:paraId="55686F70" w14:textId="77777777" w:rsidR="00892557" w:rsidRPr="00892557" w:rsidRDefault="00892557" w:rsidP="0070127E">
      <w:pPr>
        <w:spacing w:after="240"/>
        <w:ind w:left="567" w:hanging="567"/>
      </w:pPr>
      <w:r w:rsidRPr="00892557">
        <w:t>13.</w:t>
      </w:r>
      <w:r w:rsidRPr="00892557">
        <w:tab/>
        <w:t>vítá skutečnost, že od roku 2025 budou hodnocení zaměstnanců provádět vedoucí oddělení, jak je stanoveno v platných pravidlech;</w:t>
      </w:r>
    </w:p>
    <w:p w14:paraId="2287FCCC" w14:textId="77777777" w:rsidR="00892557" w:rsidRPr="00892557" w:rsidRDefault="00892557" w:rsidP="0070127E">
      <w:pPr>
        <w:spacing w:after="240"/>
        <w:ind w:left="567" w:hanging="567"/>
      </w:pPr>
      <w:r w:rsidRPr="00892557">
        <w:t>14.</w:t>
      </w:r>
      <w:r w:rsidRPr="00892557">
        <w:tab/>
        <w:t>vyjadřuje hluboké politování nad nedostatky v řešení střetu zájmů v agentuře, zejména pokud jde o nesprávné vyřizování stížností správní rady na rozhodnutí výkonné ředitelky; je přesvědčen o tom, že tyto praktiky podkopávají integritu a důvěryhodnost agentury; vyzývá agenturu, aby orgán příslušný k udělení absolutoria neprodleně informovala o nápravných opatřeních a provedených organizačních změnách; zdůrazňuje, že za přijatelný bude považován pouze pevný a příkladný rámec pro řešení střetu zájmů;</w:t>
      </w:r>
    </w:p>
    <w:p w14:paraId="55F9E12B" w14:textId="77777777" w:rsidR="00892557" w:rsidRPr="00892557" w:rsidRDefault="00892557" w:rsidP="0070127E">
      <w:pPr>
        <w:spacing w:after="240"/>
        <w:ind w:left="567" w:hanging="567"/>
      </w:pPr>
      <w:r w:rsidRPr="00892557">
        <w:t>15.</w:t>
      </w:r>
      <w:r w:rsidRPr="00892557">
        <w:tab/>
        <w:t>bere na vědomí, že správní rada i výkonná ředitelka uznaly závažnost těchto tvrzení a vznesených problémů; uznává nicméně, že výkonná ředitelka se vyjádřila skepticky a poukázala na mimořádnou pracovní zátěž během krizí, což však nemůže být důvodem pro odmítnutí zjištění; domnívá se, že uznání musí doprovázet rozhodná nápravná opatření, včasné provádění a plná odpovědnost orgánu příslušnému k udělení absolutoria;</w:t>
      </w:r>
    </w:p>
    <w:p w14:paraId="6E401E43" w14:textId="77777777" w:rsidR="00892557" w:rsidRPr="00892557" w:rsidRDefault="00892557" w:rsidP="0070127E">
      <w:pPr>
        <w:spacing w:after="240"/>
        <w:ind w:left="567" w:hanging="567"/>
      </w:pPr>
      <w:r w:rsidRPr="00892557">
        <w:t>16.</w:t>
      </w:r>
      <w:r w:rsidRPr="00892557">
        <w:tab/>
        <w:t>se znepokojením bere v potaz opakované nedostatky ve správě agentury, včetně neschopnosti správní rady vykonávat včasný a účinný dohled; vyjadřuje politování nad tím, že některým nesrovnalostem bylo možné předejít lepšími vnitřními kontrolami a aktivním zapojením správní rady; trvá na tom, že toto institucionální selhání se musí řešit strukturálně, nikoli pouze procedurálně;</w:t>
      </w:r>
    </w:p>
    <w:p w14:paraId="2CD5E2E8" w14:textId="6ADF46CB" w:rsidR="00892557" w:rsidRPr="00892557" w:rsidRDefault="00892557" w:rsidP="0070127E">
      <w:pPr>
        <w:spacing w:after="240"/>
        <w:ind w:left="567" w:hanging="567"/>
      </w:pPr>
      <w:r w:rsidRPr="00892557">
        <w:lastRenderedPageBreak/>
        <w:t>17.</w:t>
      </w:r>
      <w:r w:rsidRPr="00892557">
        <w:tab/>
        <w:t>vyjadřuje politování nad problémy spojenými se špatnou správou, zejména v oblasti lidských zdrojů, kde se vyskytly vážné nesrovnalosti, konkrétně v postupech jmenování a ve výběrových řízeních, která byla v rozporu se služebním řádem úředníků a pracovním řádem ostatních zaměstnanců; je si vědom toho, že v letech 2019 až 2022 čelila agentura náročným okolnostem, jako byla pandemie COVID-19, začátek účinnosti směrnice o dočasné ochraně nebo vstup v platnost nařízení o agentuře</w:t>
      </w:r>
      <w:r w:rsidR="003705DA">
        <w:rPr>
          <w:rStyle w:val="FootnoteReference"/>
        </w:rPr>
        <w:footnoteReference w:id="17"/>
      </w:r>
      <w:r w:rsidRPr="00892557">
        <w:t xml:space="preserve"> s novým mandátem, novými pravomocemi a povinnostmi; odmítá však jakýkoli pokus použít takové okolnosti jako odůvodnění nedodržení závazných právních předpisů; vyzývá agenturu, aby plně sladila své náborové postupy s platnými pravidly, a trvá na přijetí přísných a transparentních postupů založených na zásluhách, které budou doprovázeny vymahatelnými pokyny a budou podléhat přísnému dohledu orgánu příslušného k udělení absolutoria;</w:t>
      </w:r>
    </w:p>
    <w:p w14:paraId="246EADC8" w14:textId="77777777" w:rsidR="00892557" w:rsidRPr="00892557" w:rsidRDefault="00892557" w:rsidP="0070127E">
      <w:pPr>
        <w:spacing w:after="240"/>
        <w:ind w:left="567" w:hanging="567"/>
      </w:pPr>
      <w:r w:rsidRPr="00892557">
        <w:t>18.</w:t>
      </w:r>
      <w:r w:rsidRPr="00892557">
        <w:tab/>
        <w:t>vítá skutečnost, že od ledna 2023 se přestal uplatňovat postup jmenování dočasných vedoucích pracovníků;</w:t>
      </w:r>
    </w:p>
    <w:p w14:paraId="450DA0C8" w14:textId="77777777" w:rsidR="00892557" w:rsidRPr="00892557" w:rsidRDefault="00892557" w:rsidP="0070127E">
      <w:pPr>
        <w:spacing w:after="240"/>
        <w:ind w:left="567" w:hanging="567"/>
      </w:pPr>
      <w:r w:rsidRPr="00892557">
        <w:t>19.</w:t>
      </w:r>
      <w:r w:rsidRPr="00892557">
        <w:tab/>
        <w:t>připomíná, že jednou z hlavních povinností správní rady je stanovit obecný přístup agentury a zajišťovat, aby agentura účinně plnila svůj mandát; domnívá se, že aby mohla správní rada stanovit obecný postup, musí mít povědomí a náležité informace o platných právních předpisech vztahujících se na agenturu a o hlavních změnách ve vedení agentury; vyjadřuje politování nad opakovanými nedostatky v tomto ohledu a vyzývá agenturu, aby zavedla účinné, systematické a transparentní postupy komunikace se správní radou;</w:t>
      </w:r>
    </w:p>
    <w:p w14:paraId="36DDEB4E" w14:textId="77777777" w:rsidR="00892557" w:rsidRPr="00892557" w:rsidRDefault="00892557" w:rsidP="0070127E">
      <w:pPr>
        <w:spacing w:after="240"/>
        <w:ind w:left="567" w:hanging="567"/>
      </w:pPr>
      <w:r w:rsidRPr="00892557">
        <w:t>20.</w:t>
      </w:r>
      <w:r w:rsidRPr="00892557">
        <w:tab/>
        <w:t>vyzývá Evropskou komisi, která má ve správní radě dva členy, aby aktivně poskytovala podporu ostatním členům rady a pomáhala jim pochopit pravidla, která se na agenturu vztahují, a aby vyvodila a šířila poučení z tohoto konkrétního příkladu v rámci širšího úsilí o prevenci; vyzývá agenturu, aby orgán příslušný k udělení absolutoria informovala o opatřeních přijatých ke zlepšení komunikace se správní radou;</w:t>
      </w:r>
    </w:p>
    <w:p w14:paraId="7A98D038" w14:textId="77777777" w:rsidR="00892557" w:rsidRPr="00892557" w:rsidRDefault="00892557" w:rsidP="0070127E">
      <w:pPr>
        <w:spacing w:after="240"/>
        <w:ind w:left="567" w:hanging="567"/>
      </w:pPr>
      <w:r w:rsidRPr="00892557">
        <w:t>21.</w:t>
      </w:r>
      <w:r w:rsidRPr="00892557">
        <w:tab/>
        <w:t>vítá návrh, který Komise předložila během výměny názorů a který se týká možnosti sdílet společné služby v některých horizontálních oblastech mezi decentralizovanými agenturami, neboť by to pomohlo k lepšímu řízení procesů a účinnějšímu využití zdrojů; vybízí Komisi, aby tuto možnost prostudovala a navrhla v tomto ohledu konkrétní opatření;</w:t>
      </w:r>
    </w:p>
    <w:p w14:paraId="53790016" w14:textId="77777777" w:rsidR="00892557" w:rsidRPr="00892557" w:rsidRDefault="00892557" w:rsidP="0070127E">
      <w:pPr>
        <w:spacing w:after="240"/>
        <w:ind w:left="567" w:hanging="567"/>
      </w:pPr>
      <w:r w:rsidRPr="00892557">
        <w:t>22.</w:t>
      </w:r>
      <w:r w:rsidRPr="00892557">
        <w:tab/>
        <w:t>vyzývá agenturu, aby zřídila nezávislou interní funkci v oblasti etiky, a zdůrazňuje, že je důležité mít zavedená přísná pravidla na ochranu oznamovatelů v souladu se směrnicí (EU) 2019/1937; zdůrazňuje, že interní kanály pro oznamování musí být důvěrné a spolehlivé a musí jim důvěřovat zaměstnanci na všech úrovních;</w:t>
      </w:r>
    </w:p>
    <w:p w14:paraId="64051CB0" w14:textId="77777777" w:rsidR="00892557" w:rsidRPr="00892557" w:rsidRDefault="00892557" w:rsidP="0070127E">
      <w:pPr>
        <w:spacing w:after="240"/>
        <w:ind w:left="567" w:hanging="567"/>
      </w:pPr>
      <w:r w:rsidRPr="00892557">
        <w:t>23.</w:t>
      </w:r>
      <w:r w:rsidRPr="00892557">
        <w:tab/>
        <w:t xml:space="preserve">zdůrazňuje, že ačkoli k některým událostem došlo v letech 2021, 2022 a dříve, úřad OLAF vyšetřování uzavřel až v roce 2024; poukazuje na to, že zatím nelze dospět k závěru, že tyto otázky byly plně vyřešeny; zdůrazňuje, že dokud nebude situace zcela napravena a vyjasněna, má orgán příslušný k udělení absolutoria i nadále plné právo vykonávat své povinnosti v oblasti dohledu; vyzývá výkonnou ředitelku a správní radu, </w:t>
      </w:r>
      <w:r w:rsidRPr="00892557">
        <w:lastRenderedPageBreak/>
        <w:t>aby uznaly a řešily všechny strukturální nedostatky, a to jak v oblasti řízení lidských zdrojů agentury, tak ve funkcích dohledu správní rady, a aby přijaly účinná opatření, která zabrání opakování podobných problémů, a vyhrazuje si právo zamítnout v budoucnu udělení absolutoria nebo jej určitým způsobem podmínit, pokud agentura neprovede úplnou strukturální reformu;</w:t>
      </w:r>
    </w:p>
    <w:p w14:paraId="332A7DD4" w14:textId="77777777" w:rsidR="00892557" w:rsidRPr="00892557" w:rsidRDefault="00892557" w:rsidP="0070127E">
      <w:pPr>
        <w:spacing w:after="240"/>
        <w:ind w:left="567" w:hanging="567"/>
      </w:pPr>
      <w:r w:rsidRPr="00892557">
        <w:t>24.</w:t>
      </w:r>
      <w:r w:rsidRPr="00892557">
        <w:tab/>
        <w:t>se zvláštním znepokojením bere na vědomí mimořádně vysokou míru fluktuace zaměstnanců, jak je uvedeno ve zprávě úřadu OLAF, aniž by vedení mohlo poskytnout uspokojivé vysvětlení; vyzývá výkonnou ředitelku a správní radu, a zejména zástupce Komise v ní, aby zavedli systematické výstupní pohovory se všemi odcházejícími zaměstnanci, aby komplexně zdokumentovali zjištění a informovali orgán příslušný k udělení absolutoria o výsledcích a pokroku dosaženém v tomto ohledu v rámci postupu udělování absolutoria za rok 2024;</w:t>
      </w:r>
    </w:p>
    <w:p w14:paraId="002A0B75" w14:textId="77777777" w:rsidR="00892557" w:rsidRPr="00892557" w:rsidRDefault="00892557" w:rsidP="00FB6894">
      <w:pPr>
        <w:spacing w:after="240"/>
        <w:ind w:left="567" w:hanging="567"/>
      </w:pPr>
      <w:r w:rsidRPr="00892557">
        <w:t>25.</w:t>
      </w:r>
      <w:r w:rsidRPr="00892557">
        <w:tab/>
        <w:t>chválí zaměstnance agentury za jejich odhodlání plnit úkoly navzdory náročným okolnostem; domnívá se, že je nezbytné vytvářet pozitivní pracovní prostředí podporou osvědčených postupů na úrovni lidských zdrojů a odměňováním na základě pracovních výsledků; naléhavě vyzývá správní radu a výkonnou ředitelku, aby zajistily, že agentura bude bezpečným a podporujícím pracovištěm, které vybízí k otevřené komunikaci a umožňuje jednotlivcům vyjadřovat se bez obav z odvetných opatření; vyzývá agenturu, aby zajistila, že všechna nahlášení profesního pochybení budou brána vážně a budou důkladně prošetřena a že budou přijata vhodná následná opatření s cílem zachovat v rámci organizace integritu a důvěru;</w:t>
      </w:r>
    </w:p>
    <w:p w14:paraId="30FA0940" w14:textId="77777777" w:rsidR="00892557" w:rsidRPr="00EC5210" w:rsidRDefault="00892557" w:rsidP="00FB6894">
      <w:pPr>
        <w:widowControl/>
        <w:spacing w:after="240"/>
        <w:ind w:left="567" w:hanging="567"/>
        <w:jc w:val="center"/>
      </w:pPr>
      <w:r w:rsidRPr="00EC5210">
        <w:t>°</w:t>
      </w:r>
    </w:p>
    <w:p w14:paraId="6015B2A5" w14:textId="77777777" w:rsidR="00892557" w:rsidRPr="00EC5210" w:rsidRDefault="00892557" w:rsidP="00FB6894">
      <w:pPr>
        <w:widowControl/>
        <w:spacing w:after="240"/>
        <w:ind w:left="567" w:hanging="567"/>
        <w:jc w:val="center"/>
      </w:pPr>
      <w:r w:rsidRPr="00EC5210">
        <w:t>°     °</w:t>
      </w:r>
    </w:p>
    <w:p w14:paraId="499A0DB7" w14:textId="7408843B" w:rsidR="00E365E1" w:rsidRPr="00EC5210" w:rsidRDefault="00892557" w:rsidP="00FB6894">
      <w:pPr>
        <w:keepNext/>
        <w:keepLines/>
        <w:widowControl/>
        <w:spacing w:before="120" w:after="120"/>
        <w:ind w:left="567" w:hanging="567"/>
        <w:outlineLvl w:val="2"/>
      </w:pPr>
      <w:r w:rsidRPr="00EC5210">
        <w:rPr>
          <w:snapToGrid w:val="0"/>
        </w:rPr>
        <w:t>26.</w:t>
      </w:r>
      <w:r w:rsidRPr="00EC5210">
        <w:rPr>
          <w:snapToGrid w:val="0"/>
        </w:rPr>
        <w:tab/>
        <w:t>pokud jde o další připomínky, odkazuje na své usnesení ze dne 7. května 2025</w:t>
      </w:r>
      <w:r w:rsidRPr="00EC5210">
        <w:rPr>
          <w:snapToGrid w:val="0"/>
          <w:vertAlign w:val="superscript"/>
        </w:rPr>
        <w:footnoteReference w:id="18"/>
      </w:r>
      <w:r w:rsidRPr="00EC5210">
        <w:rPr>
          <w:snapToGrid w:val="0"/>
        </w:rPr>
        <w:t xml:space="preserve"> obsahující připomínky, které jsou nedílnou součástí rozhodnutí o udělení absolutoria za plnění rozpočtu agentur Evropské unie.</w:t>
      </w:r>
    </w:p>
    <w:sectPr w:rsidR="00E365E1" w:rsidRPr="00EC5210" w:rsidSect="00EA15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DD5A7" w14:textId="77777777" w:rsidR="001307BF" w:rsidRPr="00EA1504" w:rsidRDefault="001307BF">
      <w:r w:rsidRPr="00EA1504">
        <w:separator/>
      </w:r>
    </w:p>
  </w:endnote>
  <w:endnote w:type="continuationSeparator" w:id="0">
    <w:p w14:paraId="3305271C" w14:textId="77777777" w:rsidR="001307BF" w:rsidRPr="00EA1504" w:rsidRDefault="001307BF">
      <w:r w:rsidRPr="00EA15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03694" w14:textId="77777777" w:rsidR="00892557" w:rsidRPr="00F725B3" w:rsidRDefault="008925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02EA5" w14:textId="77777777" w:rsidR="00892557" w:rsidRPr="00F725B3" w:rsidRDefault="008925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ABD6E" w14:textId="77777777" w:rsidR="00892557" w:rsidRPr="00F725B3" w:rsidRDefault="00892557" w:rsidP="00AD3A94">
    <w:pPr>
      <w:pStyle w:val="EPFooter"/>
    </w:pPr>
    <w:r w:rsidRPr="00F725B3">
      <w:rPr>
        <w:rStyle w:val="HideTWBExt"/>
      </w:rPr>
      <w:t>&lt;PathFdR&gt;</w:t>
    </w:r>
    <w:r w:rsidRPr="00F725B3">
      <w:t>PR\1307646CS.docx</w:t>
    </w:r>
    <w:r w:rsidRPr="00F725B3">
      <w:rPr>
        <w:rStyle w:val="HideTWBExt"/>
      </w:rPr>
      <w:t>&lt;/PathFdR&gt;</w:t>
    </w:r>
    <w:r w:rsidRPr="00F725B3">
      <w:tab/>
    </w:r>
    <w:r w:rsidRPr="00F725B3">
      <w:fldChar w:fldCharType="begin"/>
    </w:r>
    <w:r w:rsidRPr="00F725B3">
      <w:instrText xml:space="preserve"> PAGE </w:instrText>
    </w:r>
    <w:r w:rsidRPr="00F725B3">
      <w:fldChar w:fldCharType="separate"/>
    </w:r>
    <w:r w:rsidRPr="00F725B3">
      <w:rPr>
        <w:noProof/>
      </w:rPr>
      <w:t>8</w:t>
    </w:r>
    <w:r w:rsidRPr="00F725B3">
      <w:fldChar w:fldCharType="end"/>
    </w:r>
    <w:r w:rsidRPr="00F725B3">
      <w:t>/</w:t>
    </w:r>
    <w:r w:rsidRPr="00F725B3">
      <w:fldChar w:fldCharType="begin"/>
    </w:r>
    <w:r w:rsidRPr="00F725B3">
      <w:instrText xml:space="preserve"> NUMPAGES </w:instrText>
    </w:r>
    <w:r w:rsidRPr="00F725B3">
      <w:fldChar w:fldCharType="separate"/>
    </w:r>
    <w:r w:rsidRPr="00F725B3">
      <w:rPr>
        <w:noProof/>
      </w:rPr>
      <w:t>272</w:t>
    </w:r>
    <w:r w:rsidRPr="00F725B3">
      <w:rPr>
        <w:noProof/>
      </w:rPr>
      <w:fldChar w:fldCharType="end"/>
    </w:r>
    <w:r w:rsidRPr="00F725B3">
      <w:tab/>
      <w:t>PE</w:t>
    </w:r>
    <w:r w:rsidRPr="00F725B3">
      <w:rPr>
        <w:rStyle w:val="HideTWBExt"/>
      </w:rPr>
      <w:t>&lt;NoPE&gt;</w:t>
    </w:r>
    <w:r w:rsidRPr="00F725B3">
      <w:t>765.000</w:t>
    </w:r>
    <w:r w:rsidRPr="00F725B3">
      <w:rPr>
        <w:rStyle w:val="HideTWBExt"/>
      </w:rPr>
      <w:t>&lt;/NoPE&gt;&lt;Version&gt;</w:t>
    </w:r>
    <w:r w:rsidRPr="00F725B3">
      <w:t>v01-00</w:t>
    </w:r>
    <w:r w:rsidRPr="00F725B3">
      <w:rPr>
        <w:rStyle w:val="HideTWBExt"/>
      </w:rPr>
      <w:t>&lt;/Version&gt;</w:t>
    </w:r>
  </w:p>
  <w:p w14:paraId="5E31E938" w14:textId="77777777" w:rsidR="00892557" w:rsidRPr="00F725B3" w:rsidRDefault="00892557" w:rsidP="00AD3A94">
    <w:pPr>
      <w:pStyle w:val="EPFooter2"/>
    </w:pPr>
    <w:r w:rsidRPr="00F725B3">
      <w:tab/>
    </w:r>
    <w:r w:rsidRPr="00F725B3">
      <w:tab/>
    </w:r>
    <w:r w:rsidRPr="00F725B3">
      <w:fldChar w:fldCharType="begin"/>
    </w:r>
    <w:r w:rsidRPr="00F725B3">
      <w:instrText xml:space="preserve"> DOCPROPERTY "&lt;Extension&gt;" </w:instrText>
    </w:r>
    <w:r w:rsidRPr="00F725B3">
      <w:fldChar w:fldCharType="separate"/>
    </w:r>
    <w:r w:rsidRPr="00F725B3">
      <w:t>CS</w:t>
    </w:r>
    <w:r w:rsidRPr="00F725B3">
      <w:fldChar w:fldCharType="end"/>
    </w:r>
  </w:p>
  <w:p w14:paraId="3BCCF564" w14:textId="77777777" w:rsidR="00892557" w:rsidRPr="00F725B3" w:rsidRDefault="00892557" w:rsidP="00AD3A9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42336" w14:textId="77777777" w:rsidR="00892557" w:rsidRPr="00F725B3" w:rsidRDefault="00892557" w:rsidP="00AD3A94">
    <w:pPr>
      <w:pStyle w:val="EPFooter"/>
    </w:pPr>
    <w:r w:rsidRPr="00F725B3">
      <w:rPr>
        <w:rStyle w:val="HideTWBExt"/>
        <w:rFonts w:eastAsiaTheme="majorEastAsia"/>
      </w:rPr>
      <w:t>&lt;PathFdR&gt;</w:t>
    </w:r>
    <w:r w:rsidRPr="00F725B3">
      <w:t>PR\1307646CS.docx</w:t>
    </w:r>
    <w:r w:rsidRPr="00F725B3">
      <w:rPr>
        <w:rStyle w:val="HideTWBExt"/>
        <w:rFonts w:eastAsiaTheme="majorEastAsia"/>
      </w:rPr>
      <w:t>&lt;/PathFdR&gt;</w:t>
    </w:r>
    <w:r w:rsidRPr="00F725B3">
      <w:tab/>
    </w:r>
    <w:r w:rsidRPr="00F725B3">
      <w:tab/>
      <w:t>PE</w:t>
    </w:r>
    <w:r w:rsidRPr="00F725B3">
      <w:rPr>
        <w:rStyle w:val="HideTWBExt"/>
        <w:rFonts w:eastAsiaTheme="majorEastAsia"/>
      </w:rPr>
      <w:t>&lt;NoPE&gt;</w:t>
    </w:r>
    <w:r w:rsidRPr="00F725B3">
      <w:t>765.000</w:t>
    </w:r>
    <w:r w:rsidRPr="00F725B3">
      <w:rPr>
        <w:rStyle w:val="HideTWBExt"/>
        <w:rFonts w:eastAsiaTheme="majorEastAsia"/>
      </w:rPr>
      <w:t>&lt;/NoPE&gt;&lt;Version&gt;</w:t>
    </w:r>
    <w:r w:rsidRPr="00F725B3">
      <w:t>v01-00</w:t>
    </w:r>
    <w:r w:rsidRPr="00F725B3">
      <w:rPr>
        <w:rStyle w:val="HideTWBExt"/>
        <w:rFonts w:eastAsiaTheme="majorEastAsia"/>
      </w:rPr>
      <w:t>&lt;/Version&gt;</w:t>
    </w:r>
  </w:p>
  <w:p w14:paraId="27D784CB" w14:textId="77777777" w:rsidR="00892557" w:rsidRPr="00F725B3" w:rsidRDefault="00892557" w:rsidP="00AD3A94">
    <w:pPr>
      <w:pStyle w:val="EPFooter2"/>
      <w:tabs>
        <w:tab w:val="clear" w:pos="4535"/>
        <w:tab w:val="center" w:pos="4536"/>
      </w:tabs>
    </w:pPr>
    <w:r w:rsidRPr="00F725B3">
      <w:fldChar w:fldCharType="begin"/>
    </w:r>
    <w:r w:rsidRPr="00F725B3">
      <w:instrText xml:space="preserve"> DOCPROPERTY "&lt;Extension&gt;" </w:instrText>
    </w:r>
    <w:r w:rsidRPr="00F725B3">
      <w:fldChar w:fldCharType="separate"/>
    </w:r>
    <w:r w:rsidRPr="00F725B3">
      <w:t>CS</w:t>
    </w:r>
    <w:r w:rsidRPr="00F725B3">
      <w:fldChar w:fldCharType="end"/>
    </w:r>
    <w:r w:rsidRPr="00F725B3">
      <w:tab/>
    </w:r>
    <w:r w:rsidRPr="00F725B3">
      <w:rPr>
        <w:b w:val="0"/>
        <w:i/>
        <w:color w:val="C0C0C0"/>
        <w:sz w:val="22"/>
        <w:szCs w:val="22"/>
      </w:rPr>
      <w:t>Jednotná v rozmanitosti</w:t>
    </w:r>
    <w:r w:rsidRPr="00F725B3">
      <w:tab/>
    </w:r>
    <w:r w:rsidRPr="00F725B3">
      <w:fldChar w:fldCharType="begin"/>
    </w:r>
    <w:r w:rsidRPr="00F725B3">
      <w:instrText xml:space="preserve"> DOCPROPERTY "&lt;Extension&gt;" </w:instrText>
    </w:r>
    <w:r w:rsidRPr="00F725B3">
      <w:fldChar w:fldCharType="separate"/>
    </w:r>
    <w:r w:rsidRPr="00F725B3">
      <w:t>CS</w:t>
    </w:r>
    <w:r w:rsidRPr="00F725B3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AAA0" w14:textId="77777777" w:rsidR="00064002" w:rsidRPr="00EA150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5B634" w14:textId="77777777" w:rsidR="00064002" w:rsidRPr="00EA1504" w:rsidRDefault="0006400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425F" w14:textId="77777777" w:rsidR="00064002" w:rsidRPr="00EA15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7F9B2" w14:textId="77777777" w:rsidR="001307BF" w:rsidRPr="00EA1504" w:rsidRDefault="001307BF">
      <w:r w:rsidRPr="00EA1504">
        <w:separator/>
      </w:r>
    </w:p>
  </w:footnote>
  <w:footnote w:type="continuationSeparator" w:id="0">
    <w:p w14:paraId="4F0325E3" w14:textId="77777777" w:rsidR="001307BF" w:rsidRPr="00EA1504" w:rsidRDefault="001307BF">
      <w:r w:rsidRPr="00EA1504">
        <w:continuationSeparator/>
      </w:r>
    </w:p>
  </w:footnote>
  <w:footnote w:id="1">
    <w:p w14:paraId="648B5C69" w14:textId="77777777" w:rsidR="00892557" w:rsidRPr="00FB6894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F31C23">
        <w:rPr>
          <w:sz w:val="24"/>
          <w:szCs w:val="24"/>
          <w:lang w:val="fi-FI"/>
        </w:rPr>
        <w:t xml:space="preserve"> </w:t>
      </w:r>
      <w:r w:rsidRPr="00F31C23">
        <w:rPr>
          <w:sz w:val="24"/>
          <w:szCs w:val="24"/>
          <w:lang w:val="fi-FI"/>
        </w:rPr>
        <w:tab/>
        <w:t>Úř. věst. C</w:t>
      </w:r>
      <w:r w:rsidRPr="00FB6894">
        <w:rPr>
          <w:sz w:val="24"/>
          <w:szCs w:val="24"/>
          <w:lang w:val="fi-FI"/>
        </w:rPr>
        <w:t xml:space="preserve">, C/2024/6332, 24.10.2024, ELI: </w:t>
      </w:r>
      <w:hyperlink r:id="rId1" w:history="1">
        <w:r w:rsidRPr="00FB6894">
          <w:rPr>
            <w:rStyle w:val="Hyperlink"/>
            <w:sz w:val="24"/>
            <w:szCs w:val="24"/>
            <w:lang w:val="fi-FI"/>
          </w:rPr>
          <w:t>http://data.europa.eu/eli/C/2024/6332/oj</w:t>
        </w:r>
      </w:hyperlink>
      <w:r w:rsidRPr="00FB6894">
        <w:rPr>
          <w:sz w:val="24"/>
          <w:szCs w:val="24"/>
          <w:lang w:val="fi-FI"/>
        </w:rPr>
        <w:t>.</w:t>
      </w:r>
    </w:p>
  </w:footnote>
  <w:footnote w:id="2">
    <w:p w14:paraId="51651949" w14:textId="77777777" w:rsidR="00892557" w:rsidRPr="00FB6894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B6894">
        <w:rPr>
          <w:rStyle w:val="FootnoteReference"/>
          <w:sz w:val="24"/>
          <w:szCs w:val="24"/>
        </w:rPr>
        <w:footnoteRef/>
      </w:r>
      <w:r w:rsidRPr="00FB6894">
        <w:rPr>
          <w:sz w:val="24"/>
          <w:szCs w:val="24"/>
          <w:lang w:val="fi-FI"/>
        </w:rPr>
        <w:t xml:space="preserve"> </w:t>
      </w:r>
      <w:r w:rsidRPr="00FB6894">
        <w:rPr>
          <w:sz w:val="24"/>
          <w:szCs w:val="24"/>
          <w:lang w:val="fi-FI"/>
        </w:rPr>
        <w:tab/>
        <w:t xml:space="preserve">Úř. věst. C, C/2024/6041, 10.10.2024, ELI: </w:t>
      </w:r>
      <w:hyperlink r:id="rId2" w:history="1">
        <w:r w:rsidRPr="00FB6894">
          <w:rPr>
            <w:rStyle w:val="Hyperlink"/>
            <w:sz w:val="24"/>
            <w:szCs w:val="24"/>
            <w:lang w:val="fi-FI"/>
          </w:rPr>
          <w:t>http://data.europa.eu/eli/C/2024/6041/oj</w:t>
        </w:r>
      </w:hyperlink>
      <w:r w:rsidRPr="00FB6894">
        <w:rPr>
          <w:sz w:val="24"/>
          <w:szCs w:val="24"/>
          <w:lang w:val="fi-FI"/>
        </w:rPr>
        <w:t>.</w:t>
      </w:r>
    </w:p>
  </w:footnote>
  <w:footnote w:id="3">
    <w:p w14:paraId="2E87EA00" w14:textId="64931F82" w:rsidR="00892557" w:rsidRPr="00FB6894" w:rsidRDefault="00892557" w:rsidP="00F31C23">
      <w:pPr>
        <w:pStyle w:val="FootnoteText"/>
        <w:ind w:left="567" w:hanging="567"/>
        <w:rPr>
          <w:sz w:val="24"/>
          <w:szCs w:val="24"/>
          <w:lang w:val="pl-PL"/>
        </w:rPr>
      </w:pPr>
      <w:r w:rsidRPr="00FB6894">
        <w:rPr>
          <w:rStyle w:val="FootnoteReference"/>
          <w:sz w:val="24"/>
          <w:szCs w:val="24"/>
        </w:rPr>
        <w:footnoteRef/>
      </w:r>
      <w:r w:rsidRPr="00FB6894">
        <w:rPr>
          <w:sz w:val="24"/>
          <w:szCs w:val="24"/>
          <w:lang w:val="pl-PL"/>
        </w:rPr>
        <w:t xml:space="preserve"> </w:t>
      </w:r>
      <w:r w:rsidRPr="00FB6894">
        <w:rPr>
          <w:sz w:val="24"/>
          <w:szCs w:val="24"/>
          <w:lang w:val="pl-PL"/>
        </w:rPr>
        <w:tab/>
      </w:r>
      <w:r w:rsidR="004377B5" w:rsidRPr="00FB6894">
        <w:rPr>
          <w:sz w:val="24"/>
          <w:szCs w:val="24"/>
          <w:lang w:val="fi-FI"/>
        </w:rPr>
        <w:t xml:space="preserve">Úř. věst. </w:t>
      </w:r>
      <w:r w:rsidR="004377B5" w:rsidRPr="00FB6894">
        <w:rPr>
          <w:sz w:val="24"/>
          <w:szCs w:val="24"/>
          <w:lang w:val="pl-PL"/>
        </w:rPr>
        <w:t>L, 2025/1663, 8.10.2025, ELI: </w:t>
      </w:r>
      <w:hyperlink r:id="rId3" w:tgtFrame="_blank" w:tooltip="Gives access to this document through its ELI URI." w:history="1">
        <w:r w:rsidR="004377B5" w:rsidRPr="00FB6894">
          <w:rPr>
            <w:rStyle w:val="Hyperlink"/>
            <w:sz w:val="24"/>
            <w:szCs w:val="24"/>
            <w:lang w:val="pl-PL"/>
          </w:rPr>
          <w:t>http://data.europa.eu/eli/dec/2025/1663/oj</w:t>
        </w:r>
      </w:hyperlink>
      <w:r w:rsidRPr="00FB6894">
        <w:rPr>
          <w:sz w:val="24"/>
          <w:szCs w:val="24"/>
          <w:lang w:val="pl-PL"/>
        </w:rPr>
        <w:t>.</w:t>
      </w:r>
    </w:p>
  </w:footnote>
  <w:footnote w:id="4">
    <w:p w14:paraId="2F28CBBB" w14:textId="77777777" w:rsidR="00892557" w:rsidRPr="00FB6894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B6894">
        <w:rPr>
          <w:rStyle w:val="FootnoteReference"/>
          <w:sz w:val="24"/>
          <w:szCs w:val="24"/>
        </w:rPr>
        <w:footnoteRef/>
      </w:r>
      <w:r w:rsidRPr="00FB6894">
        <w:rPr>
          <w:sz w:val="24"/>
          <w:szCs w:val="24"/>
          <w:lang w:val="fi-FI"/>
        </w:rPr>
        <w:t xml:space="preserve"> </w:t>
      </w:r>
      <w:r w:rsidRPr="00FB6894">
        <w:rPr>
          <w:sz w:val="24"/>
          <w:szCs w:val="24"/>
          <w:lang w:val="fi-FI"/>
        </w:rPr>
        <w:tab/>
        <w:t xml:space="preserve">Úř. věst. L 193, 30.7.2018, s. 1, ELI: </w:t>
      </w:r>
      <w:hyperlink r:id="rId4" w:history="1">
        <w:r w:rsidRPr="00FB6894">
          <w:rPr>
            <w:rStyle w:val="Hyperlink"/>
            <w:sz w:val="24"/>
            <w:szCs w:val="24"/>
            <w:lang w:val="fi-FI"/>
          </w:rPr>
          <w:t>http://data.europa.eu/eli/reg/2018/1046/oj</w:t>
        </w:r>
      </w:hyperlink>
      <w:r w:rsidRPr="00FB6894">
        <w:rPr>
          <w:sz w:val="24"/>
          <w:szCs w:val="24"/>
          <w:lang w:val="fi-FI"/>
        </w:rPr>
        <w:t>.</w:t>
      </w:r>
    </w:p>
  </w:footnote>
  <w:footnote w:id="5">
    <w:p w14:paraId="4B1C9495" w14:textId="77777777" w:rsidR="00892557" w:rsidRPr="00FB6894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B6894">
        <w:rPr>
          <w:rStyle w:val="FootnoteReference"/>
          <w:sz w:val="24"/>
          <w:szCs w:val="24"/>
        </w:rPr>
        <w:footnoteRef/>
      </w:r>
      <w:r w:rsidRPr="00FB6894">
        <w:rPr>
          <w:sz w:val="24"/>
          <w:szCs w:val="24"/>
          <w:lang w:val="fi-FI"/>
        </w:rPr>
        <w:t xml:space="preserve"> </w:t>
      </w:r>
      <w:r w:rsidRPr="00FB6894">
        <w:rPr>
          <w:sz w:val="24"/>
          <w:szCs w:val="24"/>
          <w:lang w:val="fi-FI"/>
        </w:rPr>
        <w:tab/>
        <w:t xml:space="preserve">Úř. věst. L, 2024/2509, 26.9.2024, ELI: </w:t>
      </w:r>
      <w:hyperlink r:id="rId5" w:history="1">
        <w:r w:rsidRPr="00FB6894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FB6894">
        <w:rPr>
          <w:sz w:val="24"/>
          <w:szCs w:val="24"/>
          <w:lang w:val="fi-FI"/>
        </w:rPr>
        <w:t>.</w:t>
      </w:r>
    </w:p>
  </w:footnote>
  <w:footnote w:id="6">
    <w:p w14:paraId="227CF531" w14:textId="77777777" w:rsidR="00892557" w:rsidRPr="00FB6894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B6894">
        <w:rPr>
          <w:rStyle w:val="FootnoteReference"/>
          <w:sz w:val="24"/>
          <w:szCs w:val="24"/>
        </w:rPr>
        <w:footnoteRef/>
      </w:r>
      <w:r w:rsidRPr="00FB6894">
        <w:rPr>
          <w:sz w:val="24"/>
          <w:szCs w:val="24"/>
          <w:lang w:val="fi-FI"/>
        </w:rPr>
        <w:t xml:space="preserve"> </w:t>
      </w:r>
      <w:r w:rsidRPr="00FB6894">
        <w:rPr>
          <w:sz w:val="24"/>
          <w:szCs w:val="24"/>
          <w:lang w:val="fi-FI"/>
        </w:rPr>
        <w:tab/>
        <w:t xml:space="preserve">Úř. věst. L 132, 29.5.2010, s. 11, ELI: </w:t>
      </w:r>
      <w:hyperlink r:id="rId6" w:history="1">
        <w:r w:rsidRPr="00FB6894">
          <w:rPr>
            <w:rStyle w:val="Hyperlink"/>
            <w:sz w:val="24"/>
            <w:szCs w:val="24"/>
            <w:lang w:val="fi-FI"/>
          </w:rPr>
          <w:t>http://data.europa.eu/eli/reg/2010/439/oj</w:t>
        </w:r>
      </w:hyperlink>
      <w:r w:rsidRPr="00FB6894">
        <w:rPr>
          <w:sz w:val="24"/>
          <w:szCs w:val="24"/>
          <w:lang w:val="fi-FI"/>
        </w:rPr>
        <w:t>.</w:t>
      </w:r>
    </w:p>
  </w:footnote>
  <w:footnote w:id="7">
    <w:p w14:paraId="2ED72335" w14:textId="77777777" w:rsidR="00892557" w:rsidRPr="00FB6894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B6894">
        <w:rPr>
          <w:rStyle w:val="FootnoteReference"/>
          <w:sz w:val="24"/>
          <w:szCs w:val="24"/>
        </w:rPr>
        <w:footnoteRef/>
      </w:r>
      <w:r w:rsidRPr="00FB6894">
        <w:rPr>
          <w:sz w:val="24"/>
          <w:szCs w:val="24"/>
          <w:lang w:val="fi-FI"/>
        </w:rPr>
        <w:t xml:space="preserve"> </w:t>
      </w:r>
      <w:r w:rsidRPr="00FB6894">
        <w:rPr>
          <w:sz w:val="24"/>
          <w:szCs w:val="24"/>
          <w:lang w:val="fi-FI"/>
        </w:rPr>
        <w:tab/>
        <w:t xml:space="preserve">Úř. věst. L 468, 30.12.2021, s. 1, ELI: </w:t>
      </w:r>
      <w:hyperlink r:id="rId7" w:history="1">
        <w:r w:rsidRPr="00FB6894">
          <w:rPr>
            <w:rStyle w:val="Hyperlink"/>
            <w:sz w:val="24"/>
            <w:szCs w:val="24"/>
            <w:lang w:val="fi-FI"/>
          </w:rPr>
          <w:t>http://data.europa.eu/eli/reg/2021/2303/oj</w:t>
        </w:r>
      </w:hyperlink>
      <w:r w:rsidRPr="00FB6894">
        <w:rPr>
          <w:sz w:val="24"/>
          <w:szCs w:val="24"/>
          <w:lang w:val="fi-FI"/>
        </w:rPr>
        <w:t>.</w:t>
      </w:r>
    </w:p>
  </w:footnote>
  <w:footnote w:id="8">
    <w:p w14:paraId="0E6E69E5" w14:textId="77777777" w:rsidR="00892557" w:rsidRPr="00F31C23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B6894">
        <w:rPr>
          <w:rStyle w:val="FootnoteReference"/>
          <w:sz w:val="24"/>
          <w:szCs w:val="24"/>
        </w:rPr>
        <w:footnoteRef/>
      </w:r>
      <w:r w:rsidRPr="00FB6894">
        <w:rPr>
          <w:sz w:val="24"/>
          <w:szCs w:val="24"/>
          <w:lang w:val="fi-FI"/>
        </w:rPr>
        <w:t xml:space="preserve"> </w:t>
      </w:r>
      <w:r w:rsidRPr="00FB6894">
        <w:rPr>
          <w:sz w:val="24"/>
          <w:szCs w:val="24"/>
          <w:lang w:val="fi-FI"/>
        </w:rPr>
        <w:tab/>
        <w:t xml:space="preserve">Úř. věst. L 122, 10.5.2019, s. 1, ELI: </w:t>
      </w:r>
      <w:hyperlink r:id="rId8" w:history="1">
        <w:r w:rsidRPr="00FB6894">
          <w:rPr>
            <w:rStyle w:val="Hyperlink"/>
            <w:sz w:val="24"/>
            <w:szCs w:val="24"/>
            <w:lang w:val="fi-FI"/>
          </w:rPr>
          <w:t>http://data.europa.eu/eli/reg_del/2019/715/oj</w:t>
        </w:r>
      </w:hyperlink>
      <w:r w:rsidRPr="00FB6894">
        <w:rPr>
          <w:sz w:val="24"/>
          <w:szCs w:val="24"/>
          <w:lang w:val="fi-FI"/>
        </w:rPr>
        <w:t>.</w:t>
      </w:r>
    </w:p>
  </w:footnote>
  <w:footnote w:id="9">
    <w:p w14:paraId="177E2B2F" w14:textId="77777777" w:rsidR="00892557" w:rsidRPr="00F31C23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F31C23">
        <w:rPr>
          <w:sz w:val="24"/>
          <w:szCs w:val="24"/>
          <w:lang w:val="fi-FI"/>
        </w:rPr>
        <w:t xml:space="preserve"> </w:t>
      </w:r>
      <w:r w:rsidRPr="00F31C23">
        <w:rPr>
          <w:sz w:val="24"/>
          <w:szCs w:val="24"/>
          <w:lang w:val="fi-FI"/>
        </w:rPr>
        <w:tab/>
        <w:t xml:space="preserve">Úř. věst. C, C/2024/6332, 24.10.2024, ELI: </w:t>
      </w:r>
      <w:hyperlink r:id="rId9" w:history="1">
        <w:r w:rsidRPr="00F31C23">
          <w:rPr>
            <w:rStyle w:val="Hyperlink"/>
            <w:sz w:val="24"/>
            <w:szCs w:val="24"/>
            <w:lang w:val="fi-FI"/>
          </w:rPr>
          <w:t>http://data.europa.eu/eli/C/2024/6332/oj</w:t>
        </w:r>
      </w:hyperlink>
      <w:r w:rsidRPr="00F31C23">
        <w:rPr>
          <w:sz w:val="24"/>
          <w:szCs w:val="24"/>
          <w:lang w:val="fi-FI"/>
        </w:rPr>
        <w:t>.</w:t>
      </w:r>
    </w:p>
  </w:footnote>
  <w:footnote w:id="10">
    <w:p w14:paraId="5E4B6604" w14:textId="77777777" w:rsidR="00892557" w:rsidRPr="00F31C23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F31C23">
        <w:rPr>
          <w:sz w:val="24"/>
          <w:szCs w:val="24"/>
          <w:lang w:val="fi-FI"/>
        </w:rPr>
        <w:t xml:space="preserve"> </w:t>
      </w:r>
      <w:r w:rsidRPr="00F31C23">
        <w:rPr>
          <w:sz w:val="24"/>
          <w:szCs w:val="24"/>
          <w:lang w:val="fi-FI"/>
        </w:rPr>
        <w:tab/>
        <w:t xml:space="preserve">Úř. věst. C, C/2024/6041, 10.10.2024, ELI: </w:t>
      </w:r>
      <w:hyperlink r:id="rId10" w:history="1">
        <w:r w:rsidRPr="00F31C23">
          <w:rPr>
            <w:rStyle w:val="Hyperlink"/>
            <w:sz w:val="24"/>
            <w:szCs w:val="24"/>
            <w:lang w:val="fi-FI"/>
          </w:rPr>
          <w:t>http://data.europa.eu/eli/C/2024/6041/oj</w:t>
        </w:r>
      </w:hyperlink>
      <w:r w:rsidRPr="00F31C23">
        <w:rPr>
          <w:sz w:val="24"/>
          <w:szCs w:val="24"/>
          <w:lang w:val="fi-FI"/>
        </w:rPr>
        <w:t>.</w:t>
      </w:r>
    </w:p>
  </w:footnote>
  <w:footnote w:id="11">
    <w:p w14:paraId="0D958D49" w14:textId="79FAA886" w:rsidR="00892557" w:rsidRPr="00884427" w:rsidRDefault="00892557" w:rsidP="00F31C23">
      <w:pPr>
        <w:pStyle w:val="FootnoteText"/>
        <w:ind w:left="567" w:hanging="567"/>
        <w:rPr>
          <w:sz w:val="24"/>
          <w:szCs w:val="24"/>
          <w:lang w:val="pl-PL"/>
        </w:rPr>
      </w:pPr>
      <w:r w:rsidRPr="00F31C23">
        <w:rPr>
          <w:rStyle w:val="FootnoteReference"/>
          <w:sz w:val="24"/>
          <w:szCs w:val="24"/>
        </w:rPr>
        <w:footnoteRef/>
      </w:r>
      <w:r w:rsidRPr="00884427">
        <w:rPr>
          <w:sz w:val="24"/>
          <w:szCs w:val="24"/>
          <w:lang w:val="pl-PL"/>
        </w:rPr>
        <w:t xml:space="preserve"> </w:t>
      </w:r>
      <w:r w:rsidRPr="00884427">
        <w:rPr>
          <w:sz w:val="24"/>
          <w:szCs w:val="24"/>
          <w:lang w:val="pl-PL"/>
        </w:rPr>
        <w:tab/>
      </w:r>
      <w:r w:rsidR="004377B5" w:rsidRPr="00F31C23">
        <w:rPr>
          <w:sz w:val="24"/>
          <w:szCs w:val="24"/>
          <w:lang w:val="fi-FI"/>
        </w:rPr>
        <w:t xml:space="preserve">Úř. věst. </w:t>
      </w:r>
      <w:r w:rsidR="004377B5" w:rsidRPr="00884427">
        <w:rPr>
          <w:sz w:val="24"/>
          <w:szCs w:val="24"/>
          <w:lang w:val="pl-PL"/>
        </w:rPr>
        <w:t>L, 2025/1663, 8.10.2025, ELI: </w:t>
      </w:r>
      <w:hyperlink r:id="rId11" w:tgtFrame="_blank" w:tooltip="Gives access to this document through its ELI URI." w:history="1">
        <w:r w:rsidR="004377B5" w:rsidRPr="00884427">
          <w:rPr>
            <w:rStyle w:val="Hyperlink"/>
            <w:sz w:val="24"/>
            <w:szCs w:val="24"/>
            <w:lang w:val="pl-PL"/>
          </w:rPr>
          <w:t>http://data.europa.eu/eli/dec/2025/1663/oj</w:t>
        </w:r>
      </w:hyperlink>
      <w:r w:rsidRPr="00884427">
        <w:rPr>
          <w:sz w:val="24"/>
          <w:szCs w:val="24"/>
          <w:lang w:val="pl-PL"/>
        </w:rPr>
        <w:t>.</w:t>
      </w:r>
    </w:p>
  </w:footnote>
  <w:footnote w:id="12">
    <w:p w14:paraId="3D59D73A" w14:textId="20201A09" w:rsidR="00892557" w:rsidRPr="00F31C23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F31C23">
        <w:rPr>
          <w:sz w:val="24"/>
          <w:szCs w:val="24"/>
          <w:lang w:val="fi-FI"/>
        </w:rPr>
        <w:t xml:space="preserve"> </w:t>
      </w:r>
      <w:r w:rsidRPr="00F31C23">
        <w:rPr>
          <w:sz w:val="24"/>
          <w:szCs w:val="24"/>
          <w:lang w:val="fi-FI"/>
        </w:rPr>
        <w:tab/>
        <w:t xml:space="preserve">Úř. věst. L 193, 30.7.2018, </w:t>
      </w:r>
      <w:r w:rsidR="000D0540">
        <w:rPr>
          <w:sz w:val="24"/>
          <w:szCs w:val="24"/>
          <w:lang w:val="fi-FI"/>
        </w:rPr>
        <w:t>s</w:t>
      </w:r>
      <w:r w:rsidRPr="00F31C23">
        <w:rPr>
          <w:sz w:val="24"/>
          <w:szCs w:val="24"/>
          <w:lang w:val="fi-FI"/>
        </w:rPr>
        <w:t xml:space="preserve">. 1, ELI: </w:t>
      </w:r>
      <w:hyperlink r:id="rId12" w:history="1">
        <w:r w:rsidRPr="00F31C23">
          <w:rPr>
            <w:rStyle w:val="Hyperlink"/>
            <w:sz w:val="24"/>
            <w:szCs w:val="24"/>
            <w:lang w:val="fi-FI"/>
          </w:rPr>
          <w:t>http://data.europa.eu/eli/reg/2018/1046/oj</w:t>
        </w:r>
      </w:hyperlink>
      <w:r w:rsidRPr="00F31C23">
        <w:rPr>
          <w:sz w:val="24"/>
          <w:szCs w:val="24"/>
          <w:lang w:val="fi-FI"/>
        </w:rPr>
        <w:t>.</w:t>
      </w:r>
    </w:p>
  </w:footnote>
  <w:footnote w:id="13">
    <w:p w14:paraId="3AA29E44" w14:textId="77777777" w:rsidR="00892557" w:rsidRPr="00F31C23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F31C23">
        <w:rPr>
          <w:sz w:val="24"/>
          <w:szCs w:val="24"/>
          <w:lang w:val="fi-FI"/>
        </w:rPr>
        <w:t xml:space="preserve"> </w:t>
      </w:r>
      <w:r w:rsidRPr="00F31C23">
        <w:rPr>
          <w:sz w:val="24"/>
          <w:szCs w:val="24"/>
          <w:lang w:val="fi-FI"/>
        </w:rPr>
        <w:tab/>
        <w:t xml:space="preserve">Úř. věst. L, 2024/2509, 26.9.2024, ELI: </w:t>
      </w:r>
      <w:hyperlink r:id="rId13" w:history="1">
        <w:r w:rsidRPr="00F31C23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F31C23">
        <w:rPr>
          <w:sz w:val="24"/>
          <w:szCs w:val="24"/>
          <w:lang w:val="fi-FI"/>
        </w:rPr>
        <w:t>.</w:t>
      </w:r>
    </w:p>
  </w:footnote>
  <w:footnote w:id="14">
    <w:p w14:paraId="0B9E7A83" w14:textId="0A93A0C4" w:rsidR="00892557" w:rsidRPr="00F31C23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F31C23">
        <w:rPr>
          <w:sz w:val="24"/>
          <w:szCs w:val="24"/>
          <w:lang w:val="fi-FI"/>
        </w:rPr>
        <w:t xml:space="preserve"> </w:t>
      </w:r>
      <w:r w:rsidRPr="00F31C23">
        <w:rPr>
          <w:sz w:val="24"/>
          <w:szCs w:val="24"/>
          <w:lang w:val="fi-FI"/>
        </w:rPr>
        <w:tab/>
        <w:t xml:space="preserve">Úř. věst. L 132, 29.5.2010, </w:t>
      </w:r>
      <w:r w:rsidR="000D0540">
        <w:rPr>
          <w:sz w:val="24"/>
          <w:szCs w:val="24"/>
          <w:lang w:val="fi-FI"/>
        </w:rPr>
        <w:t>s</w:t>
      </w:r>
      <w:r w:rsidRPr="00F31C23">
        <w:rPr>
          <w:sz w:val="24"/>
          <w:szCs w:val="24"/>
          <w:lang w:val="fi-FI"/>
        </w:rPr>
        <w:t xml:space="preserve">. 11, ELI: </w:t>
      </w:r>
      <w:hyperlink r:id="rId14" w:history="1">
        <w:r w:rsidRPr="00F31C23">
          <w:rPr>
            <w:rStyle w:val="Hyperlink"/>
            <w:sz w:val="24"/>
            <w:szCs w:val="24"/>
            <w:lang w:val="fi-FI"/>
          </w:rPr>
          <w:t>http://data.europa.eu/eli/reg/2010/439/oj</w:t>
        </w:r>
      </w:hyperlink>
      <w:r w:rsidRPr="00F31C23">
        <w:rPr>
          <w:sz w:val="24"/>
          <w:szCs w:val="24"/>
          <w:lang w:val="fi-FI"/>
        </w:rPr>
        <w:t>.</w:t>
      </w:r>
    </w:p>
  </w:footnote>
  <w:footnote w:id="15">
    <w:p w14:paraId="59CEA4F7" w14:textId="5C8B3C58" w:rsidR="00892557" w:rsidRPr="00F31C23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F31C23">
        <w:rPr>
          <w:sz w:val="24"/>
          <w:szCs w:val="24"/>
          <w:lang w:val="fi-FI"/>
        </w:rPr>
        <w:t xml:space="preserve"> </w:t>
      </w:r>
      <w:r w:rsidRPr="00F31C23">
        <w:rPr>
          <w:sz w:val="24"/>
          <w:szCs w:val="24"/>
          <w:lang w:val="fi-FI"/>
        </w:rPr>
        <w:tab/>
        <w:t xml:space="preserve">Úř. věst. L 468, 30.12.2021, </w:t>
      </w:r>
      <w:r w:rsidR="000D0540">
        <w:rPr>
          <w:sz w:val="24"/>
          <w:szCs w:val="24"/>
          <w:lang w:val="fi-FI"/>
        </w:rPr>
        <w:t>s</w:t>
      </w:r>
      <w:r w:rsidRPr="00F31C23">
        <w:rPr>
          <w:sz w:val="24"/>
          <w:szCs w:val="24"/>
          <w:lang w:val="fi-FI"/>
        </w:rPr>
        <w:t xml:space="preserve">. 1, ELI: </w:t>
      </w:r>
      <w:hyperlink r:id="rId15" w:history="1">
        <w:r w:rsidRPr="00F31C23">
          <w:rPr>
            <w:rStyle w:val="Hyperlink"/>
            <w:sz w:val="24"/>
            <w:szCs w:val="24"/>
            <w:lang w:val="fi-FI"/>
          </w:rPr>
          <w:t>http://data.europa.eu/eli/reg/2021/2303/oj</w:t>
        </w:r>
      </w:hyperlink>
      <w:r w:rsidRPr="00F31C23">
        <w:rPr>
          <w:sz w:val="24"/>
          <w:szCs w:val="24"/>
          <w:lang w:val="fi-FI"/>
        </w:rPr>
        <w:t>.</w:t>
      </w:r>
    </w:p>
  </w:footnote>
  <w:footnote w:id="16">
    <w:p w14:paraId="679B8C77" w14:textId="6496DE33" w:rsidR="00892557" w:rsidRPr="00F31C23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F31C23">
        <w:rPr>
          <w:sz w:val="24"/>
          <w:szCs w:val="24"/>
          <w:lang w:val="fi-FI"/>
        </w:rPr>
        <w:t xml:space="preserve"> </w:t>
      </w:r>
      <w:r w:rsidRPr="00F31C23">
        <w:rPr>
          <w:sz w:val="24"/>
          <w:szCs w:val="24"/>
          <w:lang w:val="fi-FI"/>
        </w:rPr>
        <w:tab/>
        <w:t xml:space="preserve">Úř. věst. L 122, 10.5.2019, </w:t>
      </w:r>
      <w:r w:rsidR="000D0540">
        <w:rPr>
          <w:sz w:val="24"/>
          <w:szCs w:val="24"/>
          <w:lang w:val="fi-FI"/>
        </w:rPr>
        <w:t>s</w:t>
      </w:r>
      <w:r w:rsidRPr="00F31C23">
        <w:rPr>
          <w:sz w:val="24"/>
          <w:szCs w:val="24"/>
          <w:lang w:val="fi-FI"/>
        </w:rPr>
        <w:t xml:space="preserve">. 1, ELI: </w:t>
      </w:r>
      <w:hyperlink r:id="rId16" w:history="1">
        <w:r w:rsidRPr="00F31C23">
          <w:rPr>
            <w:rStyle w:val="Hyperlink"/>
            <w:sz w:val="24"/>
            <w:szCs w:val="24"/>
            <w:lang w:val="fi-FI"/>
          </w:rPr>
          <w:t>http://data.europa.eu/eli/reg_del/2019/715/oj</w:t>
        </w:r>
      </w:hyperlink>
      <w:r w:rsidRPr="00F31C23">
        <w:rPr>
          <w:sz w:val="24"/>
          <w:szCs w:val="24"/>
          <w:lang w:val="fi-FI"/>
        </w:rPr>
        <w:t>.</w:t>
      </w:r>
    </w:p>
  </w:footnote>
  <w:footnote w:id="17">
    <w:p w14:paraId="536BB353" w14:textId="36A47528" w:rsidR="003705DA" w:rsidRPr="00884427" w:rsidRDefault="003705DA" w:rsidP="00884427">
      <w:pPr>
        <w:pStyle w:val="FootnoteText"/>
        <w:ind w:left="567" w:hanging="567"/>
        <w:rPr>
          <w:sz w:val="24"/>
          <w:szCs w:val="24"/>
          <w:lang w:val="fi-FI"/>
        </w:rPr>
      </w:pPr>
      <w:r w:rsidRPr="00884427">
        <w:rPr>
          <w:rStyle w:val="FootnoteReference"/>
          <w:sz w:val="24"/>
          <w:szCs w:val="24"/>
        </w:rPr>
        <w:footnoteRef/>
      </w:r>
      <w:r w:rsidRPr="00884427">
        <w:rPr>
          <w:sz w:val="24"/>
          <w:szCs w:val="24"/>
          <w:lang w:val="fi-FI"/>
        </w:rPr>
        <w:t xml:space="preserve"> </w:t>
      </w:r>
      <w:r w:rsidRPr="00884427">
        <w:rPr>
          <w:sz w:val="24"/>
          <w:szCs w:val="24"/>
          <w:lang w:val="fi-FI"/>
        </w:rPr>
        <w:tab/>
      </w:r>
      <w:bookmarkStart w:id="8" w:name="https://eur-lex.europa.eu/legal-content/"/>
      <w:r w:rsidRPr="00FB6894">
        <w:rPr>
          <w:sz w:val="24"/>
          <w:szCs w:val="24"/>
          <w:lang w:val="cs-CZ"/>
        </w:rPr>
        <w:t>Nařízení Evropského parlamentu a Rady (EU) 2021/2303 ze dne 15. prosince 2021 o zřízení Agentury Evropské unie pro otázky azylu a o zrušení nařízení (EU) č. 439/2010</w:t>
      </w:r>
      <w:bookmarkEnd w:id="8"/>
      <w:r w:rsidRPr="00FB6894">
        <w:rPr>
          <w:sz w:val="24"/>
          <w:szCs w:val="24"/>
          <w:lang w:val="fi-FI"/>
        </w:rPr>
        <w:t xml:space="preserve"> </w:t>
      </w:r>
      <w:r w:rsidRPr="00884427">
        <w:rPr>
          <w:sz w:val="24"/>
          <w:szCs w:val="24"/>
          <w:lang w:val="fi-FI"/>
        </w:rPr>
        <w:t>(</w:t>
      </w:r>
      <w:r>
        <w:rPr>
          <w:sz w:val="24"/>
          <w:szCs w:val="24"/>
          <w:lang w:val="fi-FI"/>
        </w:rPr>
        <w:t>Úř. věst.</w:t>
      </w:r>
      <w:r w:rsidRPr="00884427">
        <w:rPr>
          <w:sz w:val="24"/>
          <w:szCs w:val="24"/>
          <w:lang w:val="fi-FI"/>
        </w:rPr>
        <w:t xml:space="preserve"> L 468, 30.12.2021, </w:t>
      </w:r>
      <w:r>
        <w:rPr>
          <w:sz w:val="24"/>
          <w:szCs w:val="24"/>
          <w:lang w:val="fi-FI"/>
        </w:rPr>
        <w:t>s</w:t>
      </w:r>
      <w:r w:rsidRPr="00884427">
        <w:rPr>
          <w:sz w:val="24"/>
          <w:szCs w:val="24"/>
          <w:lang w:val="fi-FI"/>
        </w:rPr>
        <w:t xml:space="preserve">. 1, ELI: </w:t>
      </w:r>
      <w:hyperlink r:id="rId17" w:history="1">
        <w:r w:rsidRPr="00884427">
          <w:rPr>
            <w:rStyle w:val="Hyperlink"/>
            <w:sz w:val="24"/>
            <w:szCs w:val="24"/>
            <w:lang w:val="fi-FI"/>
          </w:rPr>
          <w:t>http://data.europa.eu/eli/reg/2021/2303/oj</w:t>
        </w:r>
      </w:hyperlink>
      <w:r w:rsidRPr="00884427">
        <w:rPr>
          <w:rStyle w:val="Hyperlink"/>
          <w:sz w:val="24"/>
          <w:szCs w:val="24"/>
          <w:lang w:val="fi-FI"/>
        </w:rPr>
        <w:t>).</w:t>
      </w:r>
    </w:p>
  </w:footnote>
  <w:footnote w:id="18">
    <w:p w14:paraId="5CFE1E5F" w14:textId="496E2104" w:rsidR="00892557" w:rsidRPr="00884427" w:rsidRDefault="00892557" w:rsidP="00F31C23">
      <w:pPr>
        <w:pStyle w:val="FootnoteText"/>
        <w:ind w:left="567" w:hanging="567"/>
        <w:rPr>
          <w:sz w:val="24"/>
          <w:szCs w:val="24"/>
          <w:lang w:val="fi-FI"/>
        </w:rPr>
      </w:pPr>
      <w:r w:rsidRPr="00F31C23">
        <w:rPr>
          <w:rStyle w:val="FootnoteReference"/>
          <w:sz w:val="24"/>
          <w:szCs w:val="24"/>
        </w:rPr>
        <w:footnoteRef/>
      </w:r>
      <w:r w:rsidRPr="00884427">
        <w:rPr>
          <w:sz w:val="24"/>
          <w:szCs w:val="24"/>
          <w:lang w:val="fi-FI"/>
        </w:rPr>
        <w:t xml:space="preserve"> </w:t>
      </w:r>
      <w:r w:rsidRPr="00884427">
        <w:rPr>
          <w:sz w:val="24"/>
          <w:szCs w:val="24"/>
          <w:lang w:val="fi-FI"/>
        </w:rPr>
        <w:tab/>
      </w:r>
      <w:r w:rsidR="006A41BD">
        <w:rPr>
          <w:sz w:val="24"/>
          <w:szCs w:val="24"/>
          <w:lang w:val="fi-FI"/>
        </w:rPr>
        <w:t>Úř. věst.</w:t>
      </w:r>
      <w:r w:rsidR="006A41BD" w:rsidRPr="00FF65B5">
        <w:rPr>
          <w:sz w:val="24"/>
          <w:szCs w:val="24"/>
          <w:lang w:val="pl-PL"/>
        </w:rPr>
        <w:t xml:space="preserve"> L, 2025/1681, 8.10.2025, ELI: </w:t>
      </w:r>
      <w:hyperlink r:id="rId18" w:tgtFrame="_blank" w:tooltip="Gives access to this document through its ELI URI." w:history="1">
        <w:r w:rsidR="006A41BD" w:rsidRPr="00FF65B5">
          <w:rPr>
            <w:rStyle w:val="Hyperlink"/>
            <w:sz w:val="24"/>
            <w:szCs w:val="24"/>
            <w:lang w:val="pl-PL"/>
          </w:rPr>
          <w:t>http://data.europa.eu/eli/res/2025/1681/oj</w:t>
        </w:r>
      </w:hyperlink>
      <w:r w:rsidR="006A41BD" w:rsidRPr="00FF65B5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3C903" w14:textId="77777777" w:rsidR="00892557" w:rsidRPr="00F725B3" w:rsidRDefault="008925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F9B50" w14:textId="77777777" w:rsidR="00892557" w:rsidRPr="00F725B3" w:rsidRDefault="008925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C41C4" w14:textId="77777777" w:rsidR="00892557" w:rsidRPr="00F725B3" w:rsidRDefault="0089255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4652F" w14:textId="77777777" w:rsidR="00064002" w:rsidRPr="00EA150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04E58" w14:textId="77777777" w:rsidR="00064002" w:rsidRPr="00EA150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C23EA" w14:textId="77777777" w:rsidR="00064002" w:rsidRPr="00EA15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4A68EB9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00DDC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6B047C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EEC75C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A56AC0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CACEC6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14487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50A0F6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074C6C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C2A0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2A7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842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B8F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E021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121A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C461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219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B029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9495048">
    <w:abstractNumId w:val="9"/>
  </w:num>
  <w:num w:numId="2" w16cid:durableId="773786982">
    <w:abstractNumId w:val="9"/>
  </w:num>
  <w:num w:numId="3" w16cid:durableId="544832119">
    <w:abstractNumId w:val="7"/>
  </w:num>
  <w:num w:numId="4" w16cid:durableId="1569148240">
    <w:abstractNumId w:val="7"/>
  </w:num>
  <w:num w:numId="5" w16cid:durableId="1603760909">
    <w:abstractNumId w:val="6"/>
  </w:num>
  <w:num w:numId="6" w16cid:durableId="297102631">
    <w:abstractNumId w:val="6"/>
  </w:num>
  <w:num w:numId="7" w16cid:durableId="981428931">
    <w:abstractNumId w:val="5"/>
  </w:num>
  <w:num w:numId="8" w16cid:durableId="712853857">
    <w:abstractNumId w:val="5"/>
  </w:num>
  <w:num w:numId="9" w16cid:durableId="1708794778">
    <w:abstractNumId w:val="4"/>
  </w:num>
  <w:num w:numId="10" w16cid:durableId="1808626491">
    <w:abstractNumId w:val="4"/>
  </w:num>
  <w:num w:numId="11" w16cid:durableId="152189367">
    <w:abstractNumId w:val="8"/>
  </w:num>
  <w:num w:numId="12" w16cid:durableId="437993638">
    <w:abstractNumId w:val="8"/>
  </w:num>
  <w:num w:numId="13" w16cid:durableId="89396104">
    <w:abstractNumId w:val="3"/>
  </w:num>
  <w:num w:numId="14" w16cid:durableId="2019579723">
    <w:abstractNumId w:val="3"/>
  </w:num>
  <w:num w:numId="15" w16cid:durableId="494107052">
    <w:abstractNumId w:val="2"/>
  </w:num>
  <w:num w:numId="16" w16cid:durableId="472676000">
    <w:abstractNumId w:val="2"/>
  </w:num>
  <w:num w:numId="17" w16cid:durableId="1385910107">
    <w:abstractNumId w:val="1"/>
  </w:num>
  <w:num w:numId="18" w16cid:durableId="552039111">
    <w:abstractNumId w:val="1"/>
  </w:num>
  <w:num w:numId="19" w16cid:durableId="831527677">
    <w:abstractNumId w:val="0"/>
  </w:num>
  <w:num w:numId="20" w16cid:durableId="1854688436">
    <w:abstractNumId w:val="0"/>
  </w:num>
  <w:num w:numId="21" w16cid:durableId="478770760">
    <w:abstractNumId w:val="9"/>
  </w:num>
  <w:num w:numId="22" w16cid:durableId="1579826300">
    <w:abstractNumId w:val="7"/>
  </w:num>
  <w:num w:numId="23" w16cid:durableId="1202278604">
    <w:abstractNumId w:val="6"/>
  </w:num>
  <w:num w:numId="24" w16cid:durableId="1578704594">
    <w:abstractNumId w:val="5"/>
  </w:num>
  <w:num w:numId="25" w16cid:durableId="1600797090">
    <w:abstractNumId w:val="4"/>
  </w:num>
  <w:num w:numId="26" w16cid:durableId="1212306899">
    <w:abstractNumId w:val="8"/>
  </w:num>
  <w:num w:numId="27" w16cid:durableId="747776686">
    <w:abstractNumId w:val="3"/>
  </w:num>
  <w:num w:numId="28" w16cid:durableId="1328167637">
    <w:abstractNumId w:val="2"/>
  </w:num>
  <w:num w:numId="29" w16cid:durableId="96754443">
    <w:abstractNumId w:val="1"/>
  </w:num>
  <w:num w:numId="30" w16cid:durableId="519440663">
    <w:abstractNumId w:val="0"/>
  </w:num>
  <w:num w:numId="31" w16cid:durableId="429471580">
    <w:abstractNumId w:val="9"/>
  </w:num>
  <w:num w:numId="32" w16cid:durableId="677076483">
    <w:abstractNumId w:val="7"/>
  </w:num>
  <w:num w:numId="33" w16cid:durableId="1671443622">
    <w:abstractNumId w:val="6"/>
  </w:num>
  <w:num w:numId="34" w16cid:durableId="1599484521">
    <w:abstractNumId w:val="5"/>
  </w:num>
  <w:num w:numId="35" w16cid:durableId="949045095">
    <w:abstractNumId w:val="4"/>
  </w:num>
  <w:num w:numId="36" w16cid:durableId="629362553">
    <w:abstractNumId w:val="8"/>
  </w:num>
  <w:num w:numId="37" w16cid:durableId="831529354">
    <w:abstractNumId w:val="3"/>
  </w:num>
  <w:num w:numId="38" w16cid:durableId="420834475">
    <w:abstractNumId w:val="2"/>
  </w:num>
  <w:num w:numId="39" w16cid:durableId="1457065774">
    <w:abstractNumId w:val="1"/>
  </w:num>
  <w:num w:numId="40" w16cid:durableId="1904757888">
    <w:abstractNumId w:val="0"/>
  </w:num>
  <w:num w:numId="41" w16cid:durableId="1424452059">
    <w:abstractNumId w:val="10"/>
  </w:num>
  <w:num w:numId="42" w16cid:durableId="522986465">
    <w:abstractNumId w:val="10"/>
  </w:num>
  <w:num w:numId="43" w16cid:durableId="436750405">
    <w:abstractNumId w:val="10"/>
  </w:num>
  <w:num w:numId="44" w16cid:durableId="1448431531">
    <w:abstractNumId w:val="12"/>
  </w:num>
  <w:num w:numId="45" w16cid:durableId="1653947406">
    <w:abstractNumId w:val="13"/>
  </w:num>
  <w:num w:numId="46" w16cid:durableId="3912012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5"/>
    <w:docVar w:name="dvlangue" w:val="CS"/>
    <w:docVar w:name="dvnumam" w:val="0"/>
    <w:docVar w:name="dvpe" w:val="774.259"/>
    <w:docVar w:name="dvrapporteur" w:val="Zpravodaj: "/>
    <w:docVar w:name="dvtitre" w:val="Rozhodnutí Evropského parlamentu ze dne 22. října 2025 o udělení absolutoria za plnění rozpočtu agentur Evropské unie na rozpočtový rok 2023(2024/2030(DEC))"/>
  </w:docVars>
  <w:rsids>
    <w:rsidRoot w:val="001307BF"/>
    <w:rsid w:val="00002272"/>
    <w:rsid w:val="00057843"/>
    <w:rsid w:val="00063078"/>
    <w:rsid w:val="00064002"/>
    <w:rsid w:val="000677B9"/>
    <w:rsid w:val="000831BA"/>
    <w:rsid w:val="000A42CC"/>
    <w:rsid w:val="000D0540"/>
    <w:rsid w:val="000E7DD9"/>
    <w:rsid w:val="000F28B6"/>
    <w:rsid w:val="0010095E"/>
    <w:rsid w:val="00125B37"/>
    <w:rsid w:val="001307BF"/>
    <w:rsid w:val="00187494"/>
    <w:rsid w:val="001F32AE"/>
    <w:rsid w:val="002767FF"/>
    <w:rsid w:val="002B18FE"/>
    <w:rsid w:val="002B5493"/>
    <w:rsid w:val="002D5689"/>
    <w:rsid w:val="0034159A"/>
    <w:rsid w:val="00343214"/>
    <w:rsid w:val="00361C00"/>
    <w:rsid w:val="003705DA"/>
    <w:rsid w:val="00395FA1"/>
    <w:rsid w:val="003E15D4"/>
    <w:rsid w:val="00411CCE"/>
    <w:rsid w:val="0041666E"/>
    <w:rsid w:val="00421060"/>
    <w:rsid w:val="004377B5"/>
    <w:rsid w:val="00471C19"/>
    <w:rsid w:val="004867E3"/>
    <w:rsid w:val="00494A28"/>
    <w:rsid w:val="004A34F2"/>
    <w:rsid w:val="004C0004"/>
    <w:rsid w:val="004C5D52"/>
    <w:rsid w:val="00503531"/>
    <w:rsid w:val="0050519A"/>
    <w:rsid w:val="005072A1"/>
    <w:rsid w:val="00514517"/>
    <w:rsid w:val="00545827"/>
    <w:rsid w:val="00560270"/>
    <w:rsid w:val="005B2A95"/>
    <w:rsid w:val="005C2568"/>
    <w:rsid w:val="005F1B17"/>
    <w:rsid w:val="006037C0"/>
    <w:rsid w:val="006362E9"/>
    <w:rsid w:val="006631B6"/>
    <w:rsid w:val="00680577"/>
    <w:rsid w:val="0068699D"/>
    <w:rsid w:val="006A41BD"/>
    <w:rsid w:val="006F74FA"/>
    <w:rsid w:val="0070127E"/>
    <w:rsid w:val="00731ADD"/>
    <w:rsid w:val="00734777"/>
    <w:rsid w:val="00747932"/>
    <w:rsid w:val="00751A4A"/>
    <w:rsid w:val="00756632"/>
    <w:rsid w:val="00762C74"/>
    <w:rsid w:val="00786EC0"/>
    <w:rsid w:val="007C3D8C"/>
    <w:rsid w:val="007D1690"/>
    <w:rsid w:val="007E22AD"/>
    <w:rsid w:val="00817416"/>
    <w:rsid w:val="00842779"/>
    <w:rsid w:val="00865F67"/>
    <w:rsid w:val="00881A7B"/>
    <w:rsid w:val="008840E5"/>
    <w:rsid w:val="00884427"/>
    <w:rsid w:val="00887B3E"/>
    <w:rsid w:val="00892557"/>
    <w:rsid w:val="008C2AC6"/>
    <w:rsid w:val="00913894"/>
    <w:rsid w:val="00930C23"/>
    <w:rsid w:val="0093193B"/>
    <w:rsid w:val="009509D8"/>
    <w:rsid w:val="00950B64"/>
    <w:rsid w:val="00981893"/>
    <w:rsid w:val="009866A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364"/>
    <w:rsid w:val="00C05BFE"/>
    <w:rsid w:val="00C23CD4"/>
    <w:rsid w:val="00C61C0C"/>
    <w:rsid w:val="00C941CB"/>
    <w:rsid w:val="00CA4214"/>
    <w:rsid w:val="00CC2357"/>
    <w:rsid w:val="00CE19EB"/>
    <w:rsid w:val="00CF071A"/>
    <w:rsid w:val="00D058B8"/>
    <w:rsid w:val="00D56C11"/>
    <w:rsid w:val="00D834A0"/>
    <w:rsid w:val="00D872DF"/>
    <w:rsid w:val="00D91E21"/>
    <w:rsid w:val="00DA7FCD"/>
    <w:rsid w:val="00DE6CA7"/>
    <w:rsid w:val="00E20051"/>
    <w:rsid w:val="00E365E1"/>
    <w:rsid w:val="00E55D4D"/>
    <w:rsid w:val="00E820A4"/>
    <w:rsid w:val="00EA1504"/>
    <w:rsid w:val="00EB006A"/>
    <w:rsid w:val="00EB4772"/>
    <w:rsid w:val="00EC5210"/>
    <w:rsid w:val="00ED169E"/>
    <w:rsid w:val="00ED4235"/>
    <w:rsid w:val="00F04346"/>
    <w:rsid w:val="00F075DC"/>
    <w:rsid w:val="00F149E9"/>
    <w:rsid w:val="00F31C23"/>
    <w:rsid w:val="00F5134D"/>
    <w:rsid w:val="00F74202"/>
    <w:rsid w:val="00F87713"/>
    <w:rsid w:val="00F968C8"/>
    <w:rsid w:val="00FA609C"/>
    <w:rsid w:val="00FB4360"/>
    <w:rsid w:val="00FB689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4FC3F"/>
  <w15:chartTrackingRefBased/>
  <w15:docId w15:val="{F1ED30F9-B53F-4E41-9A6E-7DA97A2B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200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20051"/>
    <w:pPr>
      <w:spacing w:before="480" w:after="240"/>
    </w:pPr>
  </w:style>
  <w:style w:type="paragraph" w:customStyle="1" w:styleId="NormalBold">
    <w:name w:val="NormalBold"/>
    <w:basedOn w:val="Normal"/>
    <w:rsid w:val="00E20051"/>
    <w:rPr>
      <w:b/>
    </w:rPr>
  </w:style>
  <w:style w:type="paragraph" w:customStyle="1" w:styleId="NormalHanging12a">
    <w:name w:val="NormalHanging12a"/>
    <w:basedOn w:val="Normal"/>
    <w:link w:val="NormalHanging12aChar"/>
    <w:rsid w:val="00E20051"/>
    <w:pPr>
      <w:spacing w:after="240"/>
      <w:ind w:left="567" w:hanging="567"/>
    </w:pPr>
  </w:style>
  <w:style w:type="paragraph" w:customStyle="1" w:styleId="EPFooter">
    <w:name w:val="EPFooter"/>
    <w:basedOn w:val="Normal"/>
    <w:rsid w:val="00E200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E20051"/>
    <w:rPr>
      <w:sz w:val="24"/>
      <w:lang w:val="cs-CZ"/>
    </w:rPr>
  </w:style>
  <w:style w:type="paragraph" w:customStyle="1" w:styleId="PageHeadingDec">
    <w:name w:val="PageHeadingDec"/>
    <w:basedOn w:val="Normal"/>
    <w:link w:val="PageHeadingDecChar"/>
    <w:qFormat/>
    <w:rsid w:val="00E20051"/>
    <w:pPr>
      <w:keepNext/>
      <w:spacing w:after="480"/>
      <w:jc w:val="center"/>
    </w:pPr>
    <w:rPr>
      <w:rFonts w:cs="Arial"/>
      <w:b/>
    </w:rPr>
  </w:style>
  <w:style w:type="character" w:customStyle="1" w:styleId="PageHeadingDecChar">
    <w:name w:val="PageHeadingDec Char"/>
    <w:basedOn w:val="DefaultParagraphFont"/>
    <w:link w:val="PageHeadingDec"/>
    <w:rsid w:val="00E20051"/>
    <w:rPr>
      <w:rFonts w:cs="Arial"/>
      <w:b/>
      <w:sz w:val="24"/>
      <w:lang w:val="cs-CZ"/>
    </w:rPr>
  </w:style>
  <w:style w:type="paragraph" w:customStyle="1" w:styleId="PageHeadingNotTOC">
    <w:name w:val="PageHeadingNotTOC"/>
    <w:basedOn w:val="Normal"/>
    <w:link w:val="PageHeadingNotTOCChar"/>
    <w:rsid w:val="00E20051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rsid w:val="00E200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20051"/>
    <w:rPr>
      <w:sz w:val="24"/>
      <w:lang w:val="cs-CZ"/>
    </w:rPr>
  </w:style>
  <w:style w:type="character" w:styleId="Hyperlink">
    <w:name w:val="Hyperlink"/>
    <w:basedOn w:val="DefaultParagraphFont"/>
    <w:uiPriority w:val="99"/>
    <w:rsid w:val="00E20051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EA15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A1504"/>
    <w:rPr>
      <w:sz w:val="24"/>
      <w:lang w:val="cs-CZ"/>
    </w:rPr>
  </w:style>
  <w:style w:type="character" w:customStyle="1" w:styleId="Heading1Char">
    <w:name w:val="Heading 1 Char"/>
    <w:basedOn w:val="DefaultParagraphFont"/>
    <w:link w:val="Heading1"/>
    <w:rsid w:val="0089255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9255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9255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9255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9255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9255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89255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89255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892557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892557"/>
    <w:pPr>
      <w:widowControl/>
      <w:spacing w:after="240"/>
    </w:pPr>
    <w:rPr>
      <w:lang w:val="en-GB"/>
    </w:rPr>
  </w:style>
  <w:style w:type="paragraph" w:customStyle="1" w:styleId="TOCPage">
    <w:name w:val="TOC Page"/>
    <w:basedOn w:val="Normal"/>
    <w:next w:val="TOC1"/>
    <w:rsid w:val="0089255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8925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892557"/>
    <w:pPr>
      <w:spacing w:after="480"/>
      <w:ind w:left="1417"/>
    </w:pPr>
  </w:style>
  <w:style w:type="paragraph" w:customStyle="1" w:styleId="CoverNormal">
    <w:name w:val="CoverNormal"/>
    <w:basedOn w:val="Normal"/>
    <w:rsid w:val="00892557"/>
    <w:pPr>
      <w:ind w:left="1418"/>
    </w:pPr>
  </w:style>
  <w:style w:type="paragraph" w:customStyle="1" w:styleId="NormalCenter12a">
    <w:name w:val="NormalCenter12a"/>
    <w:basedOn w:val="Normal"/>
    <w:rsid w:val="00892557"/>
    <w:pPr>
      <w:spacing w:after="240"/>
      <w:jc w:val="center"/>
    </w:pPr>
  </w:style>
  <w:style w:type="paragraph" w:customStyle="1" w:styleId="CoverReference">
    <w:name w:val="CoverReference"/>
    <w:basedOn w:val="Normal"/>
    <w:rsid w:val="00892557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8925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92557"/>
    <w:pPr>
      <w:spacing w:before="240" w:after="1200"/>
    </w:pPr>
  </w:style>
  <w:style w:type="paragraph" w:customStyle="1" w:styleId="EPBody">
    <w:name w:val="EPBody"/>
    <w:basedOn w:val="Normal"/>
    <w:rsid w:val="00892557"/>
    <w:pPr>
      <w:jc w:val="center"/>
    </w:pPr>
    <w:rPr>
      <w:rFonts w:ascii="Arial" w:hAnsi="Arial" w:cs="Arial"/>
      <w:i/>
      <w:sz w:val="22"/>
      <w:szCs w:val="22"/>
    </w:rPr>
  </w:style>
  <w:style w:type="character" w:customStyle="1" w:styleId="PageHeadingChar">
    <w:name w:val="PageHeading Char"/>
    <w:basedOn w:val="DefaultParagraphFont"/>
    <w:link w:val="PageHeading"/>
    <w:rsid w:val="00892557"/>
    <w:rPr>
      <w:rFonts w:ascii="Arial" w:hAnsi="Arial" w:cs="Arial"/>
      <w:b/>
      <w:sz w:val="24"/>
      <w:lang w:val="cs-CZ"/>
    </w:rPr>
  </w:style>
  <w:style w:type="paragraph" w:styleId="TOC9">
    <w:name w:val="toc 9"/>
    <w:basedOn w:val="Normal"/>
    <w:next w:val="Normal"/>
    <w:autoRedefine/>
    <w:uiPriority w:val="39"/>
    <w:rsid w:val="00892557"/>
    <w:pPr>
      <w:spacing w:after="100"/>
      <w:jc w:val="center"/>
    </w:pPr>
  </w:style>
  <w:style w:type="paragraph" w:styleId="TOC8">
    <w:name w:val="toc 8"/>
    <w:basedOn w:val="Normal"/>
    <w:next w:val="Normal"/>
    <w:autoRedefine/>
    <w:uiPriority w:val="39"/>
    <w:rsid w:val="00892557"/>
    <w:pPr>
      <w:tabs>
        <w:tab w:val="right" w:leader="dot" w:pos="9060"/>
      </w:tabs>
      <w:spacing w:after="240"/>
      <w:ind w:right="-144"/>
    </w:pPr>
    <w:rPr>
      <w:b/>
    </w:rPr>
  </w:style>
  <w:style w:type="paragraph" w:styleId="TOC7">
    <w:name w:val="toc 7"/>
    <w:basedOn w:val="Normal"/>
    <w:next w:val="Normal"/>
    <w:autoRedefine/>
    <w:uiPriority w:val="39"/>
    <w:rsid w:val="00892557"/>
    <w:pPr>
      <w:tabs>
        <w:tab w:val="right" w:leader="dot" w:pos="9060"/>
      </w:tabs>
      <w:spacing w:after="240"/>
      <w:ind w:left="709" w:hanging="720"/>
    </w:pPr>
  </w:style>
  <w:style w:type="paragraph" w:styleId="BalloonText">
    <w:name w:val="Balloon Text"/>
    <w:basedOn w:val="Normal"/>
    <w:link w:val="BalloonTextChar"/>
    <w:unhideWhenUsed/>
    <w:rsid w:val="008925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2557"/>
    <w:rPr>
      <w:rFonts w:ascii="Segoe UI" w:hAnsi="Segoe UI" w:cs="Segoe UI"/>
      <w:sz w:val="18"/>
      <w:szCs w:val="18"/>
      <w:lang w:val="cs-CZ"/>
    </w:rPr>
  </w:style>
  <w:style w:type="paragraph" w:styleId="ListParagraph">
    <w:name w:val="List Paragraph"/>
    <w:basedOn w:val="Normal"/>
    <w:uiPriority w:val="34"/>
    <w:qFormat/>
    <w:rsid w:val="00892557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customStyle="1" w:styleId="Normal12Hanging">
    <w:name w:val="Normal12Hanging"/>
    <w:basedOn w:val="Normal"/>
    <w:rsid w:val="00892557"/>
    <w:pPr>
      <w:spacing w:after="240"/>
      <w:ind w:left="567" w:hanging="567"/>
    </w:pPr>
    <w:rPr>
      <w:lang w:val="en-GB"/>
    </w:rPr>
  </w:style>
  <w:style w:type="paragraph" w:customStyle="1" w:styleId="Normal24a">
    <w:name w:val="Normal24a"/>
    <w:basedOn w:val="Normal"/>
    <w:rsid w:val="00892557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892557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892557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892557"/>
    <w:rPr>
      <w:szCs w:val="24"/>
      <w:lang w:val="en-GB"/>
    </w:rPr>
  </w:style>
  <w:style w:type="character" w:styleId="CommentReference">
    <w:name w:val="annotation reference"/>
    <w:basedOn w:val="DefaultParagraphFont"/>
    <w:uiPriority w:val="99"/>
    <w:rsid w:val="008925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9255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55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92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2557"/>
    <w:rPr>
      <w:b/>
      <w:bCs/>
      <w:lang w:val="cs-CZ"/>
    </w:rPr>
  </w:style>
  <w:style w:type="paragraph" w:styleId="Revision">
    <w:name w:val="Revision"/>
    <w:hidden/>
    <w:uiPriority w:val="99"/>
    <w:semiHidden/>
    <w:rsid w:val="00892557"/>
    <w:rPr>
      <w:sz w:val="24"/>
      <w:lang w:val="cs-CZ"/>
    </w:rPr>
  </w:style>
  <w:style w:type="character" w:styleId="FollowedHyperlink">
    <w:name w:val="FollowedHyperlink"/>
    <w:basedOn w:val="DefaultParagraphFont"/>
    <w:rsid w:val="00892557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892557"/>
    <w:pPr>
      <w:spacing w:after="240"/>
    </w:pPr>
    <w:rPr>
      <w:lang w:val="en-GB"/>
    </w:rPr>
  </w:style>
  <w:style w:type="paragraph" w:customStyle="1" w:styleId="RollCallSymbols14pt">
    <w:name w:val="RollCallSymbols14pt"/>
    <w:basedOn w:val="Normal"/>
    <w:rsid w:val="00892557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892557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892557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892557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Visa">
    <w:name w:val="Visa"/>
    <w:basedOn w:val="Normal"/>
    <w:rsid w:val="00892557"/>
    <w:pPr>
      <w:tabs>
        <w:tab w:val="left" w:pos="357"/>
      </w:tabs>
      <w:snapToGrid w:val="0"/>
      <w:spacing w:after="240"/>
      <w:ind w:left="357" w:hanging="357"/>
    </w:pPr>
    <w:rPr>
      <w:lang w:val="en-GB" w:eastAsia="en-US"/>
    </w:rPr>
  </w:style>
  <w:style w:type="paragraph" w:customStyle="1" w:styleId="Normal6a">
    <w:name w:val="Normal6a"/>
    <w:basedOn w:val="Normal"/>
    <w:rsid w:val="00892557"/>
    <w:pPr>
      <w:spacing w:after="120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892557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RollCallSubtitle">
    <w:name w:val="RollCallSubtitle"/>
    <w:basedOn w:val="Normal"/>
    <w:qFormat/>
    <w:rsid w:val="00892557"/>
    <w:pPr>
      <w:snapToGrid w:val="0"/>
      <w:spacing w:after="240"/>
    </w:pPr>
    <w:rPr>
      <w:lang w:val="en-GB" w:eastAsia="en-US"/>
    </w:rPr>
  </w:style>
  <w:style w:type="paragraph" w:customStyle="1" w:styleId="msonormal0">
    <w:name w:val="msonormal"/>
    <w:basedOn w:val="Normal"/>
    <w:rsid w:val="00892557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892557"/>
    <w:rPr>
      <w:rFonts w:ascii="Arial" w:hAnsi="Arial" w:cs="Arial"/>
      <w:b/>
      <w:sz w:val="24"/>
      <w:lang w:val="cs-CZ"/>
    </w:rPr>
  </w:style>
  <w:style w:type="character" w:customStyle="1" w:styleId="citation-88">
    <w:name w:val="citation-88"/>
    <w:basedOn w:val="DefaultParagraphFont"/>
    <w:rsid w:val="003705DA"/>
  </w:style>
  <w:style w:type="character" w:styleId="UnresolvedMention">
    <w:name w:val="Unresolved Mention"/>
    <w:basedOn w:val="DefaultParagraphFont"/>
    <w:uiPriority w:val="99"/>
    <w:semiHidden/>
    <w:unhideWhenUsed/>
    <w:rsid w:val="00370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del/2019/715/oj" TargetMode="External"/><Relationship Id="rId13" Type="http://schemas.openxmlformats.org/officeDocument/2006/relationships/hyperlink" Target="http://data.europa.eu/eli/reg/2024/2509/oj" TargetMode="External"/><Relationship Id="rId18" Type="http://schemas.openxmlformats.org/officeDocument/2006/relationships/hyperlink" Target="http://data.europa.eu/eli/res/2025/1681/oj" TargetMode="External"/><Relationship Id="rId3" Type="http://schemas.openxmlformats.org/officeDocument/2006/relationships/hyperlink" Target="http://data.europa.eu/eli/dec/2025/1663/oj" TargetMode="External"/><Relationship Id="rId7" Type="http://schemas.openxmlformats.org/officeDocument/2006/relationships/hyperlink" Target="http://data.europa.eu/eli/reg/2021/2303/oj" TargetMode="External"/><Relationship Id="rId12" Type="http://schemas.openxmlformats.org/officeDocument/2006/relationships/hyperlink" Target="http://data.europa.eu/eli/reg/2018/1046/oj" TargetMode="External"/><Relationship Id="rId17" Type="http://schemas.openxmlformats.org/officeDocument/2006/relationships/hyperlink" Target="http://data.europa.eu/eli/reg/2021/2303/oj" TargetMode="External"/><Relationship Id="rId2" Type="http://schemas.openxmlformats.org/officeDocument/2006/relationships/hyperlink" Target="http://data.europa.eu/eli/C/2024/6041/oj" TargetMode="External"/><Relationship Id="rId16" Type="http://schemas.openxmlformats.org/officeDocument/2006/relationships/hyperlink" Target="http://data.europa.eu/eli/reg_del/2019/715/oj" TargetMode="External"/><Relationship Id="rId1" Type="http://schemas.openxmlformats.org/officeDocument/2006/relationships/hyperlink" Target="http://data.europa.eu/eli/C/2024/6332/oj" TargetMode="External"/><Relationship Id="rId6" Type="http://schemas.openxmlformats.org/officeDocument/2006/relationships/hyperlink" Target="http://data.europa.eu/eli/reg/2010/439/oj" TargetMode="External"/><Relationship Id="rId11" Type="http://schemas.openxmlformats.org/officeDocument/2006/relationships/hyperlink" Target="http://data.europa.eu/eli/dec/2025/1663/oj" TargetMode="External"/><Relationship Id="rId5" Type="http://schemas.openxmlformats.org/officeDocument/2006/relationships/hyperlink" Target="http://data.europa.eu/eli/reg/2024/2509/oj" TargetMode="External"/><Relationship Id="rId15" Type="http://schemas.openxmlformats.org/officeDocument/2006/relationships/hyperlink" Target="http://data.europa.eu/eli/reg/2021/2303/oj" TargetMode="External"/><Relationship Id="rId10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reg/2018/1046/oj" TargetMode="External"/><Relationship Id="rId9" Type="http://schemas.openxmlformats.org/officeDocument/2006/relationships/hyperlink" Target="http://data.europa.eu/eli/C/2024/6332/oj" TargetMode="External"/><Relationship Id="rId14" Type="http://schemas.openxmlformats.org/officeDocument/2006/relationships/hyperlink" Target="http://data.europa.eu/eli/reg/2010/4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2918</Words>
  <Characters>17069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 LEX</dc:creator>
  <cp:keywords/>
  <cp:lastModifiedBy>SMAKALOVA Sona</cp:lastModifiedBy>
  <cp:revision>2</cp:revision>
  <cp:lastPrinted>2004-11-19T15:42:00Z</cp:lastPrinted>
  <dcterms:created xsi:type="dcterms:W3CDTF">2025-11-27T08:45:00Z</dcterms:created>
  <dcterms:modified xsi:type="dcterms:W3CDTF">2025-11-27T08:45:00Z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A10-0169/2025</vt:lpwstr>
  </property>
  <property fmtid="{D5CDD505-2E9C-101B-9397-08002B2CF9AE}" pid="4" name="&lt;Type&gt;">
    <vt:lpwstr>RR</vt:lpwstr>
  </property>
</Properties>
</file>