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72DA" w14:paraId="04E2DFC9" w14:textId="77777777" w:rsidTr="0010095E">
        <w:trPr>
          <w:trHeight w:hRule="exact" w:val="1418"/>
        </w:trPr>
        <w:tc>
          <w:tcPr>
            <w:tcW w:w="6804" w:type="dxa"/>
            <w:shd w:val="clear" w:color="auto" w:fill="auto"/>
            <w:vAlign w:val="center"/>
          </w:tcPr>
          <w:p w14:paraId="73FDEDCB" w14:textId="77777777" w:rsidR="00751A4A" w:rsidRPr="00DC72DA" w:rsidRDefault="00A40144" w:rsidP="0010095E">
            <w:pPr>
              <w:pStyle w:val="EPName"/>
            </w:pPr>
            <w:r w:rsidRPr="00DC72DA">
              <w:t>Europa-Parlamentet</w:t>
            </w:r>
          </w:p>
          <w:p w14:paraId="6F98882B" w14:textId="77777777" w:rsidR="00751A4A" w:rsidRPr="00DC72DA" w:rsidRDefault="005F1B17" w:rsidP="005F1B17">
            <w:pPr>
              <w:pStyle w:val="EPTerm"/>
              <w:rPr>
                <w:rStyle w:val="HideTWBExt"/>
                <w:noProof w:val="0"/>
                <w:vanish w:val="0"/>
                <w:color w:val="auto"/>
              </w:rPr>
            </w:pPr>
            <w:r w:rsidRPr="00DC72DA">
              <w:t>2024</w:t>
            </w:r>
            <w:r w:rsidR="00817416" w:rsidRPr="00DC72DA">
              <w:t>-202</w:t>
            </w:r>
            <w:r w:rsidRPr="00DC72DA">
              <w:t>9</w:t>
            </w:r>
          </w:p>
        </w:tc>
        <w:tc>
          <w:tcPr>
            <w:tcW w:w="2268" w:type="dxa"/>
            <w:shd w:val="clear" w:color="auto" w:fill="auto"/>
          </w:tcPr>
          <w:p w14:paraId="49ACCA8A" w14:textId="77777777" w:rsidR="00751A4A" w:rsidRPr="00DC72DA" w:rsidRDefault="00187494" w:rsidP="0010095E">
            <w:pPr>
              <w:pStyle w:val="EPLogo"/>
            </w:pPr>
            <w:r w:rsidRPr="00DC72DA">
              <w:rPr>
                <w:noProof/>
                <w:lang w:eastAsia="ja-JP"/>
              </w:rPr>
              <w:drawing>
                <wp:inline distT="0" distB="0" distL="0" distR="0" wp14:anchorId="6D6B7D24" wp14:editId="4FACCD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AFD8B8" w14:textId="77777777" w:rsidR="00D058B8" w:rsidRPr="00DC72DA" w:rsidRDefault="00D058B8" w:rsidP="004C5D52">
      <w:pPr>
        <w:pStyle w:val="LineTop"/>
      </w:pPr>
    </w:p>
    <w:p w14:paraId="0B19D540" w14:textId="77777777" w:rsidR="00680577" w:rsidRPr="00DC72DA" w:rsidRDefault="00A40144" w:rsidP="00680577">
      <w:pPr>
        <w:pStyle w:val="EPBodyTA1"/>
      </w:pPr>
      <w:r w:rsidRPr="00DC72DA">
        <w:t>VEDTAGNE TEKSTER</w:t>
      </w:r>
    </w:p>
    <w:p w14:paraId="7916B9E2" w14:textId="77777777" w:rsidR="00D058B8" w:rsidRPr="00DC72DA" w:rsidRDefault="00D058B8" w:rsidP="00D058B8">
      <w:pPr>
        <w:pStyle w:val="LineBottom"/>
      </w:pPr>
    </w:p>
    <w:p w14:paraId="3EC8D490" w14:textId="08801CA6" w:rsidR="00A40144" w:rsidRPr="00DC72DA" w:rsidRDefault="00A40144" w:rsidP="00A40144">
      <w:pPr>
        <w:pStyle w:val="ATHeading1"/>
      </w:pPr>
      <w:bookmarkStart w:id="0" w:name="TANumber"/>
      <w:r w:rsidRPr="00DC72DA">
        <w:t>P10_TA(2025)0</w:t>
      </w:r>
      <w:bookmarkEnd w:id="0"/>
      <w:r w:rsidR="00596B01">
        <w:t>246</w:t>
      </w:r>
    </w:p>
    <w:p w14:paraId="78CBB190" w14:textId="35B8ABB7" w:rsidR="00A40144" w:rsidRPr="00FE7F76" w:rsidRDefault="00FE7F76" w:rsidP="00A40144">
      <w:pPr>
        <w:pStyle w:val="ATHeading2"/>
      </w:pPr>
      <w:r w:rsidRPr="0071617F">
        <w:t xml:space="preserve">Decharge 2023: </w:t>
      </w:r>
      <w:r w:rsidR="00513D33" w:rsidRPr="0071617F">
        <w:rPr>
          <w:bCs/>
        </w:rPr>
        <w:t>EU's almindelige budget</w:t>
      </w:r>
      <w:r w:rsidR="00513D33">
        <w:rPr>
          <w:bCs/>
        </w:rPr>
        <w:t xml:space="preserve"> - </w:t>
      </w:r>
      <w:r w:rsidRPr="0071617F">
        <w:t>Agenturer</w:t>
      </w:r>
    </w:p>
    <w:p w14:paraId="0430E6FC" w14:textId="77777777" w:rsidR="00A40144" w:rsidRPr="00DC72DA" w:rsidRDefault="00A40144" w:rsidP="00A40144">
      <w:pPr>
        <w:rPr>
          <w:i/>
          <w:vanish/>
        </w:rPr>
      </w:pPr>
      <w:r w:rsidRPr="00DC72DA">
        <w:rPr>
          <w:i/>
        </w:rPr>
        <w:fldChar w:fldCharType="begin"/>
      </w:r>
      <w:r w:rsidRPr="00DC72DA">
        <w:rPr>
          <w:i/>
        </w:rPr>
        <w:instrText xml:space="preserve"> TC"(</w:instrText>
      </w:r>
      <w:bookmarkStart w:id="1" w:name="DocNumber"/>
      <w:r w:rsidRPr="00DC72DA">
        <w:rPr>
          <w:i/>
        </w:rPr>
        <w:instrText>A10-0169/2025</w:instrText>
      </w:r>
      <w:bookmarkEnd w:id="1"/>
      <w:r w:rsidRPr="00DC72DA">
        <w:rPr>
          <w:i/>
        </w:rPr>
        <w:instrText xml:space="preserve"> - Ordfører: Erik Marquardt)"\l3 \n&gt; \* MERGEFORMAT </w:instrText>
      </w:r>
      <w:r w:rsidRPr="00DC72DA">
        <w:rPr>
          <w:i/>
        </w:rPr>
        <w:fldChar w:fldCharType="end"/>
      </w:r>
    </w:p>
    <w:p w14:paraId="291BAEF8" w14:textId="77777777" w:rsidR="00A40144" w:rsidRPr="00DC72DA" w:rsidRDefault="00A40144" w:rsidP="00A40144">
      <w:pPr>
        <w:rPr>
          <w:vanish/>
        </w:rPr>
      </w:pPr>
      <w:bookmarkStart w:id="2" w:name="Commission"/>
      <w:r w:rsidRPr="00DC72DA">
        <w:rPr>
          <w:vanish/>
        </w:rPr>
        <w:t>Budgetkontroludvalget</w:t>
      </w:r>
      <w:bookmarkEnd w:id="2"/>
    </w:p>
    <w:p w14:paraId="73AF8F34" w14:textId="77777777" w:rsidR="00A40144" w:rsidRPr="00DC72DA" w:rsidRDefault="00A40144" w:rsidP="00A40144">
      <w:pPr>
        <w:rPr>
          <w:vanish/>
        </w:rPr>
      </w:pPr>
      <w:bookmarkStart w:id="3" w:name="PE"/>
      <w:r w:rsidRPr="00DC72DA">
        <w:rPr>
          <w:vanish/>
        </w:rPr>
        <w:t>PE774.259</w:t>
      </w:r>
      <w:bookmarkEnd w:id="3"/>
    </w:p>
    <w:p w14:paraId="74F6056B" w14:textId="1F6D6E3B" w:rsidR="00A40144" w:rsidRPr="00DC72DA" w:rsidRDefault="00715D77" w:rsidP="00A40144">
      <w:pPr>
        <w:pStyle w:val="ATHeading3"/>
      </w:pPr>
      <w:bookmarkStart w:id="4" w:name="Sujet"/>
      <w:r>
        <w:t xml:space="preserve">1. </w:t>
      </w:r>
      <w:r w:rsidR="00A40144" w:rsidRPr="00DC72DA">
        <w:t xml:space="preserve">Europa-Parlamentets afgørelse af </w:t>
      </w:r>
      <w:r w:rsidR="00EF4124">
        <w:t>22</w:t>
      </w:r>
      <w:r w:rsidR="00A40144" w:rsidRPr="00DC72DA">
        <w:t>.</w:t>
      </w:r>
      <w:r w:rsidR="00FE7F76">
        <w:t xml:space="preserve"> oktober</w:t>
      </w:r>
      <w:r w:rsidR="00A40144" w:rsidRPr="00DC72DA">
        <w:t xml:space="preserve"> 2025 om decharge for gennemførelsen af budgettet for Den Europæiske Unions </w:t>
      </w:r>
      <w:r w:rsidR="00D825B4" w:rsidRPr="00DC72DA">
        <w:t xml:space="preserve">Asylagentur </w:t>
      </w:r>
      <w:r w:rsidR="00A40144" w:rsidRPr="00DC72DA">
        <w:t>for regnskabsåret 2023</w:t>
      </w:r>
      <w:bookmarkEnd w:id="4"/>
      <w:r w:rsidR="00A40144" w:rsidRPr="00DC72DA">
        <w:t xml:space="preserve"> </w:t>
      </w:r>
      <w:bookmarkStart w:id="5" w:name="References"/>
      <w:r w:rsidR="00A40144" w:rsidRPr="00DC72DA">
        <w:t>(2024/2030(DEC))</w:t>
      </w:r>
      <w:bookmarkEnd w:id="5"/>
    </w:p>
    <w:p w14:paraId="02C8CA0B" w14:textId="77777777" w:rsidR="00A8062D" w:rsidRPr="00DC72DA" w:rsidRDefault="00A8062D" w:rsidP="00A8062D">
      <w:pPr>
        <w:pStyle w:val="EPComma"/>
      </w:pPr>
      <w:bookmarkStart w:id="6" w:name="TextBodyBegin"/>
      <w:bookmarkEnd w:id="6"/>
      <w:r w:rsidRPr="00DC72DA">
        <w:rPr>
          <w:i/>
          <w:iCs/>
        </w:rPr>
        <w:t>Europa-Parlamentet</w:t>
      </w:r>
      <w:r w:rsidRPr="00DC72DA">
        <w:t>,</w:t>
      </w:r>
    </w:p>
    <w:p w14:paraId="6BFBC489" w14:textId="77777777" w:rsidR="00A8062D" w:rsidRPr="00DC72DA" w:rsidRDefault="00A8062D" w:rsidP="00A8062D">
      <w:pPr>
        <w:pStyle w:val="NormalHanging12a"/>
      </w:pPr>
      <w:r w:rsidRPr="00DC72DA">
        <w:t>–</w:t>
      </w:r>
      <w:r w:rsidRPr="00DC72DA">
        <w:tab/>
        <w:t>der henviser til det endelige årsregnskab for Den Europæiske Unions Asylagentur for regnskabsåret 2023,</w:t>
      </w:r>
    </w:p>
    <w:p w14:paraId="34AFB2FC" w14:textId="77777777" w:rsidR="00A8062D" w:rsidRPr="00DC72DA" w:rsidRDefault="00A8062D" w:rsidP="00A8062D">
      <w:pPr>
        <w:pStyle w:val="NormalHanging12a"/>
      </w:pPr>
      <w:r w:rsidRPr="00DC72DA">
        <w:t>–</w:t>
      </w:r>
      <w:r w:rsidRPr="00DC72DA">
        <w:tab/>
        <w:t>der henviser til Revisionsrettens årsberetning om EU-agenturerne for regnskabsåret 2023, med agenturernes svar</w:t>
      </w:r>
      <w:r w:rsidRPr="00DC72DA">
        <w:rPr>
          <w:rStyle w:val="FootnoteReference"/>
        </w:rPr>
        <w:footnoteReference w:id="1"/>
      </w:r>
      <w:r w:rsidRPr="00DC72DA">
        <w:t>,</w:t>
      </w:r>
    </w:p>
    <w:p w14:paraId="537237A6" w14:textId="77777777" w:rsidR="00A8062D" w:rsidRPr="00DC72DA" w:rsidRDefault="00A8062D" w:rsidP="00A8062D">
      <w:pPr>
        <w:pStyle w:val="NormalHanging12a"/>
      </w:pPr>
      <w:r w:rsidRPr="00DC72DA">
        <w:t>–</w:t>
      </w:r>
      <w:r w:rsidRPr="00DC72DA">
        <w:tab/>
        <w:t>der henviser til Revisionsrettens erklæring</w:t>
      </w:r>
      <w:r w:rsidRPr="00DC72DA">
        <w:rPr>
          <w:rStyle w:val="FootnoteReference"/>
        </w:rPr>
        <w:footnoteReference w:id="2"/>
      </w:r>
      <w:r w:rsidRPr="00DC72DA">
        <w:t xml:space="preserve"> for regnskabsåret 2023 om regnskabernes rigtighed og de underliggende transaktioners lovlighed og formelle rigtighed, jf. artikel 287 i traktaten om Den Europæiske Unions funktionsmåde,</w:t>
      </w:r>
    </w:p>
    <w:p w14:paraId="5FCDCDCB" w14:textId="77777777" w:rsidR="00A8062D" w:rsidRPr="00DC72DA" w:rsidRDefault="00A8062D" w:rsidP="00A8062D">
      <w:pPr>
        <w:pStyle w:val="NormalHanging12a"/>
      </w:pPr>
      <w:r w:rsidRPr="00DC72DA">
        <w:t>–</w:t>
      </w:r>
      <w:r w:rsidRPr="00DC72DA">
        <w:tab/>
        <w:t>der henviser til Rådets henstilling af 17. februar 2025 om decharge til agenturet for gennemførelsen af budgettet for regnskabsåret 2023 (05755/2025 – C10</w:t>
      </w:r>
      <w:r w:rsidRPr="00DC72DA">
        <w:noBreakHyphen/>
        <w:t>0024/2025),</w:t>
      </w:r>
    </w:p>
    <w:p w14:paraId="755CD390" w14:textId="77777777" w:rsidR="00A8062D" w:rsidRPr="00DC72DA" w:rsidRDefault="00A8062D" w:rsidP="00A8062D">
      <w:pPr>
        <w:pStyle w:val="NormalHanging12a"/>
      </w:pPr>
      <w:r w:rsidRPr="00DC72DA">
        <w:t>–</w:t>
      </w:r>
      <w:r w:rsidRPr="00DC72DA">
        <w:tab/>
        <w:t>der henviser til sin afgørelse af 7. maj 2025</w:t>
      </w:r>
      <w:r w:rsidRPr="00DC72DA">
        <w:rPr>
          <w:rStyle w:val="FootnoteReference"/>
        </w:rPr>
        <w:footnoteReference w:id="3"/>
      </w:r>
      <w:r w:rsidRPr="00DC72DA">
        <w:t xml:space="preserve"> om udsættelse af afgørelsen om decharge for regnskabsåret 2023 og svarene fra den administrerende direktør for Den Europæiske Unions Asylagentur,</w:t>
      </w:r>
    </w:p>
    <w:p w14:paraId="052D2DF5" w14:textId="77777777" w:rsidR="00A8062D" w:rsidRPr="00DC72DA" w:rsidRDefault="00A8062D" w:rsidP="00A8062D">
      <w:pPr>
        <w:pStyle w:val="NormalHanging12a"/>
      </w:pPr>
      <w:r w:rsidRPr="00DC72DA">
        <w:t>–</w:t>
      </w:r>
      <w:r w:rsidRPr="00DC72DA">
        <w:tab/>
        <w:t>der henviser til artikel 319 i traktaten om Den Europæiske Unions funktionsmåde,</w:t>
      </w:r>
    </w:p>
    <w:p w14:paraId="3148C02F" w14:textId="77777777" w:rsidR="00A8062D" w:rsidRPr="00DC72DA" w:rsidRDefault="00A8062D" w:rsidP="00A8062D">
      <w:pPr>
        <w:pStyle w:val="NormalHanging12a"/>
      </w:pPr>
      <w:r w:rsidRPr="00DC72DA">
        <w:t>–</w:t>
      </w:r>
      <w:r w:rsidRPr="00DC72DA">
        <w:tab/>
        <w:t xml:space="preserve">der henviser til Europa-Parlamentets og Rådets forordning (EU, </w:t>
      </w:r>
      <w:proofErr w:type="spellStart"/>
      <w:r w:rsidRPr="00DC72DA">
        <w:t>Euratom</w:t>
      </w:r>
      <w:proofErr w:type="spellEnd"/>
      <w:r w:rsidRPr="00DC72DA">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DC72DA">
        <w:t>Euratom</w:t>
      </w:r>
      <w:proofErr w:type="spellEnd"/>
      <w:r w:rsidRPr="00DC72DA">
        <w:t>) nr. 966/2012</w:t>
      </w:r>
      <w:r w:rsidRPr="00DC72DA">
        <w:rPr>
          <w:rStyle w:val="FootnoteReference"/>
        </w:rPr>
        <w:footnoteReference w:id="4"/>
      </w:r>
      <w:r w:rsidRPr="00DC72DA">
        <w:t>, særlig artikel 70,</w:t>
      </w:r>
    </w:p>
    <w:p w14:paraId="4F019D0C" w14:textId="77777777" w:rsidR="00A8062D" w:rsidRPr="00DC72DA" w:rsidRDefault="00A8062D" w:rsidP="00A8062D">
      <w:pPr>
        <w:pStyle w:val="NormalHanging12a"/>
      </w:pPr>
      <w:r w:rsidRPr="00DC72DA">
        <w:t>–</w:t>
      </w:r>
      <w:r w:rsidRPr="00DC72DA">
        <w:tab/>
        <w:t xml:space="preserve">der henviser til Europa-Parlamentets og Rådets forordning (EU, </w:t>
      </w:r>
      <w:proofErr w:type="spellStart"/>
      <w:r w:rsidRPr="00DC72DA">
        <w:t>Euratom</w:t>
      </w:r>
      <w:proofErr w:type="spellEnd"/>
      <w:r w:rsidRPr="00DC72DA">
        <w:t xml:space="preserve">) 2024/2509 af </w:t>
      </w:r>
      <w:r w:rsidRPr="00DC72DA">
        <w:lastRenderedPageBreak/>
        <w:t>23. september 2024 om de finansielle regler vedrørende Unionens almindelige budget</w:t>
      </w:r>
      <w:r w:rsidRPr="00DC72DA">
        <w:rPr>
          <w:rStyle w:val="FootnoteReference"/>
        </w:rPr>
        <w:footnoteReference w:id="5"/>
      </w:r>
      <w:r w:rsidRPr="00DC72DA">
        <w:t>, særlig artikel 70,</w:t>
      </w:r>
    </w:p>
    <w:p w14:paraId="0BF2A443" w14:textId="77777777" w:rsidR="00A8062D" w:rsidRPr="00DC72DA" w:rsidRDefault="00A8062D" w:rsidP="00A8062D">
      <w:pPr>
        <w:pStyle w:val="NormalHanging12a"/>
      </w:pPr>
      <w:r w:rsidRPr="00DC72DA">
        <w:t>–</w:t>
      </w:r>
      <w:r w:rsidRPr="00DC72DA">
        <w:tab/>
        <w:t>der henviser til Europa-Parlamentets og Rådets forordning (EU) nr. 439/2010 af 19. maj 2010 om oprettelse af et europæisk asylstøttekontor</w:t>
      </w:r>
      <w:r w:rsidRPr="00DC72DA">
        <w:rPr>
          <w:rStyle w:val="FootnoteReference"/>
        </w:rPr>
        <w:footnoteReference w:id="6"/>
      </w:r>
      <w:r w:rsidRPr="00DC72DA">
        <w:t>, særlig artikel 36,</w:t>
      </w:r>
    </w:p>
    <w:p w14:paraId="76945C14" w14:textId="77777777" w:rsidR="00A8062D" w:rsidRPr="00DC72DA" w:rsidRDefault="00A8062D" w:rsidP="00A8062D">
      <w:pPr>
        <w:pStyle w:val="NormalHanging12a"/>
      </w:pPr>
      <w:r w:rsidRPr="00DC72DA">
        <w:t>–</w:t>
      </w:r>
      <w:r w:rsidRPr="00DC72DA">
        <w:tab/>
        <w:t>der henviser til Europa-Parlamentets og Rådets forordning (EU) 2021/2303 af 15. december 2021 om Den Europæiske Unions Asylagentur og om ophævelse af forordning (EU) nr. 439/2010</w:t>
      </w:r>
      <w:r w:rsidRPr="00DC72DA">
        <w:rPr>
          <w:rStyle w:val="FootnoteReference"/>
        </w:rPr>
        <w:footnoteReference w:id="7"/>
      </w:r>
      <w:r w:rsidRPr="00DC72DA">
        <w:t>, særlig artikel 55,</w:t>
      </w:r>
    </w:p>
    <w:p w14:paraId="349D5EE2" w14:textId="77777777" w:rsidR="00A8062D" w:rsidRPr="00DC72DA" w:rsidRDefault="00A8062D" w:rsidP="00A8062D">
      <w:pPr>
        <w:pStyle w:val="NormalHanging12a"/>
      </w:pPr>
      <w:r w:rsidRPr="00DC72DA">
        <w:t>–</w:t>
      </w:r>
      <w:r w:rsidRPr="00DC72DA">
        <w:tab/>
        <w:t xml:space="preserve">der henviser til Kommissionens delegerede forordning (EU) 2019/715 af 18. december 2018 om rammefinansforordningen for de organer, der er nedsat i henhold til TEUF og </w:t>
      </w:r>
      <w:proofErr w:type="spellStart"/>
      <w:r w:rsidRPr="00DC72DA">
        <w:t>Euratomtraktaten</w:t>
      </w:r>
      <w:proofErr w:type="spellEnd"/>
      <w:r w:rsidRPr="00DC72DA">
        <w:t xml:space="preserve"> og omhandlet i artikel 70 i Europa-Parlamentets og Rådets forordning (EU, </w:t>
      </w:r>
      <w:proofErr w:type="spellStart"/>
      <w:r w:rsidRPr="00DC72DA">
        <w:t>Euratom</w:t>
      </w:r>
      <w:proofErr w:type="spellEnd"/>
      <w:r w:rsidRPr="00DC72DA">
        <w:t>) 2018/1046</w:t>
      </w:r>
      <w:r w:rsidRPr="00DC72DA">
        <w:rPr>
          <w:rStyle w:val="FootnoteReference"/>
        </w:rPr>
        <w:footnoteReference w:id="8"/>
      </w:r>
      <w:r w:rsidRPr="00DC72DA">
        <w:t>, særlig artikel 105,</w:t>
      </w:r>
    </w:p>
    <w:p w14:paraId="144DC212" w14:textId="77777777" w:rsidR="00A8062D" w:rsidRPr="00DC72DA" w:rsidRDefault="00A8062D" w:rsidP="00A8062D">
      <w:pPr>
        <w:pStyle w:val="NormalHanging12a"/>
      </w:pPr>
      <w:r w:rsidRPr="00DC72DA">
        <w:t>–</w:t>
      </w:r>
      <w:r w:rsidRPr="00DC72DA">
        <w:tab/>
        <w:t>der henviser til forretningsordenens artikel 102 og bilag V,</w:t>
      </w:r>
    </w:p>
    <w:p w14:paraId="061AE856" w14:textId="77777777" w:rsidR="00A8062D" w:rsidRPr="00DC72DA" w:rsidRDefault="00A8062D" w:rsidP="00A8062D">
      <w:pPr>
        <w:pStyle w:val="NormalHanging12a"/>
      </w:pPr>
      <w:r w:rsidRPr="00DC72DA">
        <w:t>–</w:t>
      </w:r>
      <w:r w:rsidRPr="00DC72DA">
        <w:tab/>
        <w:t>der henviser til anden betænkning fra Budgetkontroludvalget (A10-0169/2025),</w:t>
      </w:r>
    </w:p>
    <w:p w14:paraId="514FDCC5" w14:textId="77777777" w:rsidR="00A8062D" w:rsidRPr="00DC72DA" w:rsidRDefault="00A8062D" w:rsidP="00A8062D">
      <w:pPr>
        <w:pStyle w:val="NormalHanging12a"/>
      </w:pPr>
      <w:r w:rsidRPr="00DC72DA">
        <w:t>1.</w:t>
      </w:r>
      <w:r w:rsidRPr="00DC72DA">
        <w:tab/>
        <w:t>meddeler den administrerende direktør for Den Europæiske Unions Asylagentur decharge for gennemførelsen af agenturets budget for regnskabsåret 2023;</w:t>
      </w:r>
    </w:p>
    <w:p w14:paraId="7FD54DE0" w14:textId="77777777" w:rsidR="00A8062D" w:rsidRPr="00DC72DA" w:rsidRDefault="00A8062D" w:rsidP="00A8062D">
      <w:pPr>
        <w:pStyle w:val="NormalHanging12a"/>
      </w:pPr>
      <w:r w:rsidRPr="00DC72DA">
        <w:t>2.</w:t>
      </w:r>
      <w:r w:rsidRPr="00DC72DA">
        <w:tab/>
        <w:t>fremsætter sine bemærkninger i nedenstående beslutning;</w:t>
      </w:r>
    </w:p>
    <w:p w14:paraId="35198230" w14:textId="77777777" w:rsidR="00A8062D" w:rsidRPr="00DC72DA" w:rsidRDefault="00A8062D" w:rsidP="00A8062D">
      <w:pPr>
        <w:pStyle w:val="NormalHanging12a"/>
      </w:pPr>
      <w:r w:rsidRPr="00DC72DA">
        <w:t>3.</w:t>
      </w:r>
      <w:r w:rsidRPr="00DC72DA">
        <w:tab/>
        <w:t xml:space="preserve">pålægger sin formand at sende denne afgørelse og beslutningen, der er en integrerende del heraf, til den administrerende direktør for Den Europæiske Unions Asylagentur, Rådet, Kommissionen og Revisionsretten og drage omsorg for, at de offentliggøres i </w:t>
      </w:r>
      <w:r w:rsidRPr="00DC72DA">
        <w:rPr>
          <w:i/>
          <w:iCs/>
        </w:rPr>
        <w:t>Den Europæiske Unions Tidende</w:t>
      </w:r>
      <w:r w:rsidRPr="00DC72DA">
        <w:t xml:space="preserve"> (L-udgaven).</w:t>
      </w:r>
    </w:p>
    <w:p w14:paraId="2EA43000" w14:textId="77777777" w:rsidR="00A8062D" w:rsidRPr="00DC72DA" w:rsidRDefault="00A8062D" w:rsidP="00A8062D"/>
    <w:p w14:paraId="6BD22B31" w14:textId="77777777" w:rsidR="00A8062D" w:rsidRPr="00DC72DA" w:rsidRDefault="00A8062D" w:rsidP="00A8062D">
      <w:pPr>
        <w:pStyle w:val="PageHeadingDec"/>
        <w:sectPr w:rsidR="00A8062D" w:rsidRPr="00DC72DA" w:rsidSect="00DC72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4461D0" w14:textId="0E77C830" w:rsidR="00A8062D" w:rsidRPr="00DC72DA" w:rsidRDefault="00715D77" w:rsidP="00A8062D">
      <w:pPr>
        <w:pStyle w:val="NormalBold"/>
      </w:pPr>
      <w:r>
        <w:lastRenderedPageBreak/>
        <w:t xml:space="preserve">2. </w:t>
      </w:r>
      <w:r w:rsidRPr="00123221">
        <w:t xml:space="preserve">Europa-Parlamentets afgørelse </w:t>
      </w:r>
      <w:r>
        <w:t xml:space="preserve">af 22. oktober 2025 </w:t>
      </w:r>
      <w:r w:rsidR="00A8062D" w:rsidRPr="00DC72DA">
        <w:t>om afslutning af regnskaberne for Den Europæiske Unions Asylagentur for regnskabsåret 2023</w:t>
      </w:r>
      <w:r>
        <w:t xml:space="preserve"> </w:t>
      </w:r>
      <w:r w:rsidR="00A8062D" w:rsidRPr="00DC72DA">
        <w:t>(2024/2030(DEC))</w:t>
      </w:r>
    </w:p>
    <w:p w14:paraId="68694C11" w14:textId="77777777" w:rsidR="00A8062D" w:rsidRPr="00DC72DA" w:rsidRDefault="00A8062D" w:rsidP="00A8062D">
      <w:pPr>
        <w:pStyle w:val="EPComma"/>
      </w:pPr>
      <w:r w:rsidRPr="00DC72DA">
        <w:rPr>
          <w:i/>
          <w:iCs/>
        </w:rPr>
        <w:t>Europa-Parlamentet,</w:t>
      </w:r>
    </w:p>
    <w:p w14:paraId="2A980A69" w14:textId="77777777" w:rsidR="00A8062D" w:rsidRPr="00DC72DA" w:rsidRDefault="00A8062D" w:rsidP="00A8062D">
      <w:pPr>
        <w:pStyle w:val="NormalHanging12a"/>
      </w:pPr>
      <w:r w:rsidRPr="00DC72DA">
        <w:t>–</w:t>
      </w:r>
      <w:r w:rsidRPr="00DC72DA">
        <w:tab/>
        <w:t>der henviser til det endelige årsregnskab for Den Europæiske Unions Asylagentur for regnskabsåret 2023,</w:t>
      </w:r>
    </w:p>
    <w:p w14:paraId="25D416A4" w14:textId="77777777" w:rsidR="00A8062D" w:rsidRPr="00DC72DA" w:rsidRDefault="00A8062D" w:rsidP="00A8062D">
      <w:pPr>
        <w:pStyle w:val="NormalHanging12a"/>
      </w:pPr>
      <w:r w:rsidRPr="00DC72DA">
        <w:t>–</w:t>
      </w:r>
      <w:r w:rsidRPr="00DC72DA">
        <w:tab/>
        <w:t>der henviser til Revisionsrettens årsberetning om EU-agenturerne for regnskabsåret 2023, med agenturernes svar</w:t>
      </w:r>
      <w:r w:rsidRPr="00DC72DA">
        <w:rPr>
          <w:rStyle w:val="FootnoteReference"/>
        </w:rPr>
        <w:footnoteReference w:id="9"/>
      </w:r>
      <w:r w:rsidRPr="00DC72DA">
        <w:t>,</w:t>
      </w:r>
    </w:p>
    <w:p w14:paraId="547569C5" w14:textId="77777777" w:rsidR="00A8062D" w:rsidRPr="00DC72DA" w:rsidRDefault="00A8062D" w:rsidP="00A8062D">
      <w:pPr>
        <w:pStyle w:val="NormalHanging12a"/>
      </w:pPr>
      <w:r w:rsidRPr="00DC72DA">
        <w:t>–</w:t>
      </w:r>
      <w:r w:rsidRPr="00DC72DA">
        <w:tab/>
        <w:t>der henviser til Revisionsrettens erklæring</w:t>
      </w:r>
      <w:r w:rsidRPr="00DC72DA">
        <w:rPr>
          <w:rStyle w:val="FootnoteReference"/>
        </w:rPr>
        <w:footnoteReference w:id="10"/>
      </w:r>
      <w:r w:rsidRPr="00DC72DA">
        <w:t xml:space="preserve"> for regnskabsåret 2023 om regnskabernes rigtighed og de underliggende transaktioners lovlighed og formelle rigtighed, jf. artikel 287 i traktaten om Den Europæiske Unions funktionsmåde,</w:t>
      </w:r>
    </w:p>
    <w:p w14:paraId="37677C64" w14:textId="77777777" w:rsidR="00A8062D" w:rsidRPr="00DC72DA" w:rsidRDefault="00A8062D" w:rsidP="00A8062D">
      <w:pPr>
        <w:pStyle w:val="NormalHanging12a"/>
      </w:pPr>
      <w:r w:rsidRPr="00DC72DA">
        <w:t>–</w:t>
      </w:r>
      <w:r w:rsidRPr="00DC72DA">
        <w:tab/>
        <w:t>der henviser til Rådets henstilling af 17. februar 2025 om decharge til agenturet for gennemførelsen af budgettet for regnskabsåret 2023 (05755/2025 – C10</w:t>
      </w:r>
      <w:r w:rsidRPr="00DC72DA">
        <w:noBreakHyphen/>
        <w:t>0024/2025),</w:t>
      </w:r>
    </w:p>
    <w:p w14:paraId="181BC94B" w14:textId="77777777" w:rsidR="00A8062D" w:rsidRPr="00DC72DA" w:rsidRDefault="00A8062D" w:rsidP="00A8062D">
      <w:pPr>
        <w:pStyle w:val="NormalHanging12a"/>
      </w:pPr>
      <w:r w:rsidRPr="00DC72DA">
        <w:t>–</w:t>
      </w:r>
      <w:r w:rsidRPr="00DC72DA">
        <w:tab/>
        <w:t>der henviser til sin afgørelse af 7. maj 2025</w:t>
      </w:r>
      <w:r w:rsidRPr="00DC72DA">
        <w:rPr>
          <w:rStyle w:val="FootnoteReference"/>
        </w:rPr>
        <w:footnoteReference w:id="11"/>
      </w:r>
      <w:r w:rsidRPr="00DC72DA">
        <w:t xml:space="preserve"> om udsættelse af afgørelsen om decharge for regnskabsåret 2023 og svarene fra den administrerende direktør for Den Europæiske Unions Asylagentur,</w:t>
      </w:r>
    </w:p>
    <w:p w14:paraId="7D06083A" w14:textId="77777777" w:rsidR="00A8062D" w:rsidRPr="00DC72DA" w:rsidRDefault="00A8062D" w:rsidP="00A8062D">
      <w:pPr>
        <w:pStyle w:val="NormalHanging12a"/>
      </w:pPr>
      <w:r w:rsidRPr="00DC72DA">
        <w:t>–</w:t>
      </w:r>
      <w:r w:rsidRPr="00DC72DA">
        <w:tab/>
        <w:t>der henviser til artikel 319 i traktaten om Den Europæiske Unions funktionsmåde,</w:t>
      </w:r>
    </w:p>
    <w:p w14:paraId="6B768BEF" w14:textId="77777777" w:rsidR="00A8062D" w:rsidRPr="00DC72DA" w:rsidRDefault="00A8062D" w:rsidP="00A8062D">
      <w:pPr>
        <w:pStyle w:val="NormalHanging12a"/>
      </w:pPr>
      <w:r w:rsidRPr="00DC72DA">
        <w:t>–</w:t>
      </w:r>
      <w:r w:rsidRPr="00DC72DA">
        <w:tab/>
        <w:t xml:space="preserve">der henviser til Europa-Parlamentets og Rådets forordning (EU, </w:t>
      </w:r>
      <w:proofErr w:type="spellStart"/>
      <w:r w:rsidRPr="00DC72DA">
        <w:t>Euratom</w:t>
      </w:r>
      <w:proofErr w:type="spellEnd"/>
      <w:r w:rsidRPr="00DC72DA">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DC72DA">
        <w:t>Euratom</w:t>
      </w:r>
      <w:proofErr w:type="spellEnd"/>
      <w:r w:rsidRPr="00DC72DA">
        <w:t>) nr. 966/2012</w:t>
      </w:r>
      <w:r w:rsidRPr="00DC72DA">
        <w:rPr>
          <w:rStyle w:val="FootnoteReference"/>
        </w:rPr>
        <w:footnoteReference w:id="12"/>
      </w:r>
      <w:r w:rsidRPr="00DC72DA">
        <w:t>, særlig artikel 70,</w:t>
      </w:r>
    </w:p>
    <w:p w14:paraId="3DE33B32" w14:textId="77777777" w:rsidR="00A8062D" w:rsidRPr="00DC72DA" w:rsidRDefault="00A8062D" w:rsidP="00A8062D">
      <w:pPr>
        <w:pStyle w:val="NormalHanging12a"/>
      </w:pPr>
      <w:r w:rsidRPr="00DC72DA">
        <w:t>–</w:t>
      </w:r>
      <w:r w:rsidRPr="00DC72DA">
        <w:tab/>
        <w:t xml:space="preserve">der henviser til Europa-Parlamentets og Rådets forordning (EU, </w:t>
      </w:r>
      <w:proofErr w:type="spellStart"/>
      <w:r w:rsidRPr="00DC72DA">
        <w:t>Euratom</w:t>
      </w:r>
      <w:proofErr w:type="spellEnd"/>
      <w:r w:rsidRPr="00DC72DA">
        <w:t>) 2024/2509 af 23. september 2024 om de finansielle regler vedrørende Unionens almindelige budget</w:t>
      </w:r>
      <w:r w:rsidRPr="00DC72DA">
        <w:rPr>
          <w:rStyle w:val="FootnoteReference"/>
        </w:rPr>
        <w:footnoteReference w:id="13"/>
      </w:r>
      <w:r w:rsidRPr="00DC72DA">
        <w:t>, særlig artikel 70,</w:t>
      </w:r>
    </w:p>
    <w:p w14:paraId="5162D23E" w14:textId="77777777" w:rsidR="00A8062D" w:rsidRPr="00DC72DA" w:rsidRDefault="00A8062D" w:rsidP="00A8062D">
      <w:pPr>
        <w:pStyle w:val="NormalHanging12a"/>
      </w:pPr>
      <w:r w:rsidRPr="00DC72DA">
        <w:t>–</w:t>
      </w:r>
      <w:r w:rsidRPr="00DC72DA">
        <w:tab/>
        <w:t>der henviser til Europa-Parlamentets og Rådets forordning (EU) nr. 439/2010 af 19. maj 2010 om oprettelse af et europæisk asylstøttekontor</w:t>
      </w:r>
      <w:r w:rsidRPr="00DC72DA">
        <w:rPr>
          <w:rStyle w:val="FootnoteReference"/>
        </w:rPr>
        <w:footnoteReference w:id="14"/>
      </w:r>
      <w:r w:rsidRPr="00DC72DA">
        <w:t>, særlig artikel 36,</w:t>
      </w:r>
    </w:p>
    <w:p w14:paraId="57286FA3" w14:textId="77777777" w:rsidR="00A8062D" w:rsidRPr="00DC72DA" w:rsidRDefault="00A8062D" w:rsidP="00A8062D">
      <w:pPr>
        <w:pStyle w:val="NormalHanging12a"/>
      </w:pPr>
      <w:r w:rsidRPr="00DC72DA">
        <w:t>–</w:t>
      </w:r>
      <w:r w:rsidRPr="00DC72DA">
        <w:tab/>
        <w:t>der henviser til Europa-Parlamentets og Rådets forordning (EU) 2021/2303 af 15. december 2021 om Den Europæiske Unions Asylagentur og om ophævelse af forordning (EU) nr. 439/2010</w:t>
      </w:r>
      <w:r w:rsidRPr="00DC72DA">
        <w:rPr>
          <w:rStyle w:val="FootnoteReference"/>
        </w:rPr>
        <w:footnoteReference w:id="15"/>
      </w:r>
      <w:r w:rsidRPr="00DC72DA">
        <w:t>, særlig artikel 55,</w:t>
      </w:r>
    </w:p>
    <w:p w14:paraId="454F9542" w14:textId="77777777" w:rsidR="00A8062D" w:rsidRPr="00DC72DA" w:rsidRDefault="00A8062D" w:rsidP="00A8062D">
      <w:pPr>
        <w:pStyle w:val="NormalHanging12a"/>
      </w:pPr>
      <w:r w:rsidRPr="00DC72DA">
        <w:t>–</w:t>
      </w:r>
      <w:r w:rsidRPr="00DC72DA">
        <w:tab/>
        <w:t xml:space="preserve">der henviser til Kommissionens delegerede forordning (EU) 2019/715 af 18. december 2018 om rammefinansforordningen for de organer, der er nedsat i henhold til TEUF og </w:t>
      </w:r>
      <w:proofErr w:type="spellStart"/>
      <w:r w:rsidRPr="00DC72DA">
        <w:lastRenderedPageBreak/>
        <w:t>Euratomtraktaten</w:t>
      </w:r>
      <w:proofErr w:type="spellEnd"/>
      <w:r w:rsidRPr="00DC72DA">
        <w:t xml:space="preserve"> og omhandlet i artikel 70 i Europa-Parlamentets og Rådets forordning (EU, </w:t>
      </w:r>
      <w:proofErr w:type="spellStart"/>
      <w:r w:rsidRPr="00DC72DA">
        <w:t>Euratom</w:t>
      </w:r>
      <w:proofErr w:type="spellEnd"/>
      <w:r w:rsidRPr="00DC72DA">
        <w:t>) 2018/1046</w:t>
      </w:r>
      <w:r w:rsidRPr="00DC72DA">
        <w:rPr>
          <w:rStyle w:val="FootnoteReference"/>
        </w:rPr>
        <w:footnoteReference w:id="16"/>
      </w:r>
      <w:r w:rsidRPr="00DC72DA">
        <w:t>, særlig artikel 105,</w:t>
      </w:r>
    </w:p>
    <w:p w14:paraId="191DE50A" w14:textId="77777777" w:rsidR="00A8062D" w:rsidRPr="00DC72DA" w:rsidRDefault="00A8062D" w:rsidP="00A8062D">
      <w:pPr>
        <w:pStyle w:val="NormalHanging12a"/>
      </w:pPr>
      <w:r w:rsidRPr="00DC72DA">
        <w:t>–</w:t>
      </w:r>
      <w:r w:rsidRPr="00DC72DA">
        <w:tab/>
        <w:t>der henviser til forretningsordenens artikel 102 og bilag V,</w:t>
      </w:r>
    </w:p>
    <w:p w14:paraId="2AE85EDD" w14:textId="77777777" w:rsidR="00A8062D" w:rsidRPr="00DC72DA" w:rsidRDefault="00A8062D" w:rsidP="00A8062D">
      <w:pPr>
        <w:pStyle w:val="NormalHanging12a"/>
      </w:pPr>
      <w:r w:rsidRPr="00DC72DA">
        <w:t>–</w:t>
      </w:r>
      <w:r w:rsidRPr="00DC72DA">
        <w:tab/>
        <w:t>der henviser til anden betænkning fra Budgetkontroludvalget (A10-0169/2025),</w:t>
      </w:r>
    </w:p>
    <w:p w14:paraId="2F8C20E6" w14:textId="77777777" w:rsidR="00A8062D" w:rsidRPr="00DC72DA" w:rsidRDefault="00A8062D" w:rsidP="00A8062D">
      <w:pPr>
        <w:pStyle w:val="NormalHanging12a"/>
      </w:pPr>
      <w:r w:rsidRPr="00DC72DA">
        <w:t>1.</w:t>
      </w:r>
      <w:r w:rsidRPr="00DC72DA">
        <w:tab/>
        <w:t>godkender afslutningen af regnskaberne for Den Europæiske Unions Asylagentur for regnskabsåret 2023;</w:t>
      </w:r>
    </w:p>
    <w:p w14:paraId="2DD6DE83" w14:textId="77777777" w:rsidR="00A8062D" w:rsidRPr="00DC72DA" w:rsidRDefault="00A8062D" w:rsidP="00A8062D">
      <w:pPr>
        <w:pStyle w:val="NormalHanging12a"/>
      </w:pPr>
      <w:r w:rsidRPr="00DC72DA">
        <w:t>2.</w:t>
      </w:r>
      <w:r w:rsidRPr="00DC72DA">
        <w:tab/>
        <w:t xml:space="preserve">pålægger sin formand at sende denne afgørelse til den administrerende direktør for Den Europæiske Unions Asylagentur, Rådet, Kommissionen og Revisionsretten og drage omsorg for, at den offentliggøres i </w:t>
      </w:r>
      <w:r w:rsidRPr="00DC72DA">
        <w:rPr>
          <w:i/>
          <w:iCs/>
        </w:rPr>
        <w:t>Den Europæiske Unions Tidende</w:t>
      </w:r>
      <w:r w:rsidRPr="00DC72DA">
        <w:t xml:space="preserve"> (L-udgaven).</w:t>
      </w:r>
    </w:p>
    <w:p w14:paraId="272321F5" w14:textId="77777777" w:rsidR="00A8062D" w:rsidRPr="00DC72DA" w:rsidRDefault="00A8062D" w:rsidP="00A8062D"/>
    <w:p w14:paraId="09DA69BB" w14:textId="77777777" w:rsidR="00A8062D" w:rsidRPr="00DC72DA" w:rsidRDefault="00A8062D" w:rsidP="00A8062D"/>
    <w:p w14:paraId="1B16E77A" w14:textId="77777777" w:rsidR="00A8062D" w:rsidRPr="00DC72DA" w:rsidRDefault="00A8062D" w:rsidP="00A8062D">
      <w:pPr>
        <w:pStyle w:val="PageHeadingDec"/>
        <w:sectPr w:rsidR="00A8062D" w:rsidRPr="00DC72DA" w:rsidSect="00DC72DA">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FE8431" w14:textId="2358092E" w:rsidR="00A8062D" w:rsidRPr="00DC72DA" w:rsidRDefault="00715D77" w:rsidP="00A8062D">
      <w:pPr>
        <w:pStyle w:val="NormalBold"/>
      </w:pPr>
      <w:r>
        <w:lastRenderedPageBreak/>
        <w:t xml:space="preserve">3. </w:t>
      </w:r>
      <w:r w:rsidRPr="00123221">
        <w:t xml:space="preserve">Europa-Parlamentets </w:t>
      </w:r>
      <w:r>
        <w:t>b</w:t>
      </w:r>
      <w:r w:rsidRPr="00123221">
        <w:t>eslutning</w:t>
      </w:r>
      <w:r>
        <w:t xml:space="preserve"> af 22. oktober 2025 </w:t>
      </w:r>
      <w:r w:rsidRPr="00123221">
        <w:t>med bemærkningerne</w:t>
      </w:r>
      <w:r w:rsidR="00A8062D" w:rsidRPr="00DC72DA">
        <w:t>, der er en integrerende del af afgørelsen om decharge for gennemførelsen af budgettet for Den Europæiske Unions agenturer for regnskabsåret 2023</w:t>
      </w:r>
      <w:r>
        <w:t xml:space="preserve"> </w:t>
      </w:r>
      <w:r w:rsidR="00A8062D" w:rsidRPr="00DC72DA">
        <w:t>(2024/2030(DEC))</w:t>
      </w:r>
    </w:p>
    <w:p w14:paraId="6D21ED11" w14:textId="77777777" w:rsidR="00A8062D" w:rsidRPr="00DC72DA" w:rsidRDefault="00A8062D" w:rsidP="00A8062D">
      <w:pPr>
        <w:pStyle w:val="EPComma"/>
      </w:pPr>
      <w:r w:rsidRPr="00DC72DA">
        <w:rPr>
          <w:i/>
          <w:iCs/>
        </w:rPr>
        <w:t>Europa-Parlamentet,</w:t>
      </w:r>
    </w:p>
    <w:p w14:paraId="499097E4" w14:textId="77777777" w:rsidR="00A8062D" w:rsidRPr="00DC72DA" w:rsidRDefault="00A8062D" w:rsidP="00A8062D">
      <w:pPr>
        <w:pStyle w:val="NormalHanging12a"/>
      </w:pPr>
      <w:r w:rsidRPr="00DC72DA">
        <w:t>–</w:t>
      </w:r>
      <w:r w:rsidRPr="00DC72DA">
        <w:tab/>
        <w:t>der henviser til sin afgørelse om decharge for gennemførelsen af budgettet for Den Europæiske Unions Asylagentur for regnskabsåret 2023,</w:t>
      </w:r>
    </w:p>
    <w:p w14:paraId="4B1FE343" w14:textId="77777777" w:rsidR="00A8062D" w:rsidRPr="00DC72DA" w:rsidRDefault="00A8062D" w:rsidP="00A8062D">
      <w:pPr>
        <w:pStyle w:val="NormalHanging12a"/>
      </w:pPr>
      <w:r w:rsidRPr="00DC72DA">
        <w:t>–</w:t>
      </w:r>
      <w:r w:rsidRPr="00DC72DA">
        <w:tab/>
        <w:t>der henviser til forretningsordenens artikel 102 og bilag V,</w:t>
      </w:r>
    </w:p>
    <w:p w14:paraId="215E6E96" w14:textId="5B8E4674" w:rsidR="00A8062D" w:rsidRPr="00DC72DA" w:rsidRDefault="00A8062D" w:rsidP="00A8062D">
      <w:pPr>
        <w:pStyle w:val="NormalHanging12a"/>
      </w:pPr>
      <w:r w:rsidRPr="00DC72DA">
        <w:t>–</w:t>
      </w:r>
      <w:r w:rsidRPr="00DC72DA">
        <w:tab/>
        <w:t xml:space="preserve">der med hensyn til det fælles europæiske asylsystems funktionsmåde henviser til, at respekt for og korrekt gennemførelse og håndhævelse af reglerne samt holdbar og passende finansiel støtte til </w:t>
      </w:r>
      <w:r w:rsidR="00EF4124" w:rsidRPr="00DC72DA">
        <w:t>Den Europæiske Unions Asylagentur</w:t>
      </w:r>
      <w:r w:rsidRPr="00DC72DA">
        <w:t xml:space="preserve"> er af afgørende betydning for at sikre systemet med delt ansvar og solidaritet mellem Den Europæiske Unions medlemsstater,</w:t>
      </w:r>
    </w:p>
    <w:p w14:paraId="3EC543E3" w14:textId="77777777" w:rsidR="00A8062D" w:rsidRPr="00DC72DA" w:rsidRDefault="00A8062D" w:rsidP="00A8062D">
      <w:pPr>
        <w:pStyle w:val="NormalHanging12a"/>
      </w:pPr>
      <w:r w:rsidRPr="00DC72DA">
        <w:t>–</w:t>
      </w:r>
      <w:r w:rsidRPr="00DC72DA">
        <w:tab/>
        <w:t xml:space="preserve">der henviser til </w:t>
      </w:r>
      <w:proofErr w:type="spellStart"/>
      <w:r w:rsidRPr="00DC72DA">
        <w:t>OLAF's</w:t>
      </w:r>
      <w:proofErr w:type="spellEnd"/>
      <w:r w:rsidRPr="00DC72DA">
        <w:t xml:space="preserve"> endelige rapport (OC-2022-0717) om Den Europæiske Unions Asylagentur, som blev færdiggjort i oktober 2024 og stillet til rådighed for medlemmerne af Budgetkontroludvalget i marts 2025,</w:t>
      </w:r>
    </w:p>
    <w:p w14:paraId="3EA7D813" w14:textId="5C820EFC" w:rsidR="00D825B4" w:rsidRPr="00DC72DA" w:rsidRDefault="00A8062D" w:rsidP="00D825B4">
      <w:pPr>
        <w:pStyle w:val="NormalHanging12a"/>
        <w:rPr>
          <w:bCs/>
        </w:rPr>
      </w:pPr>
      <w:r w:rsidRPr="00DC72DA">
        <w:t>–</w:t>
      </w:r>
      <w:r w:rsidRPr="00DC72DA">
        <w:tab/>
        <w:t xml:space="preserve">der henviser til skrivelser fremsendt af formanden </w:t>
      </w:r>
      <w:r w:rsidR="00D825B4" w:rsidRPr="00D825B4">
        <w:rPr>
          <w:bCs/>
        </w:rPr>
        <w:t xml:space="preserve">for bestyrelsen </w:t>
      </w:r>
      <w:r w:rsidRPr="00DC72DA">
        <w:t xml:space="preserve">for </w:t>
      </w:r>
      <w:r w:rsidR="00EF4124" w:rsidRPr="00DC72DA">
        <w:t>Den Europæiske Unions Asylagentur</w:t>
      </w:r>
      <w:r w:rsidRPr="00DC72DA">
        <w:t xml:space="preserve"> i marts 2025 og den administrerende direktør for Den Europæiske Unions Asylagentur i juli 2025,</w:t>
      </w:r>
    </w:p>
    <w:p w14:paraId="59601804" w14:textId="77777777" w:rsidR="00A8062D" w:rsidRPr="00DC72DA" w:rsidRDefault="00A8062D" w:rsidP="00A8062D">
      <w:pPr>
        <w:pStyle w:val="NormalHanging12a"/>
      </w:pPr>
      <w:r w:rsidRPr="00DC72DA">
        <w:t xml:space="preserve">– </w:t>
      </w:r>
      <w:r w:rsidRPr="00DC72DA">
        <w:tab/>
        <w:t>der henviser til drøftelsen med repræsentanter for OLAF, Den Europæiske Unions Asylagentur og GD HOME den 15. juli 2025,</w:t>
      </w:r>
    </w:p>
    <w:p w14:paraId="568625D2" w14:textId="77777777" w:rsidR="00A8062D" w:rsidRPr="00DC72DA" w:rsidRDefault="00A8062D" w:rsidP="00A8062D">
      <w:pPr>
        <w:pStyle w:val="NormalHanging12a"/>
      </w:pPr>
      <w:r w:rsidRPr="00DC72DA">
        <w:t>–</w:t>
      </w:r>
      <w:r w:rsidRPr="00DC72DA">
        <w:tab/>
        <w:t>der henviser til anden betænkning fra Budgetkontroludvalget (A10-0169/2025),</w:t>
      </w:r>
    </w:p>
    <w:p w14:paraId="7365D75B" w14:textId="77777777" w:rsidR="00A8062D" w:rsidRPr="00DC72DA" w:rsidRDefault="00A8062D" w:rsidP="00A8062D">
      <w:pPr>
        <w:pStyle w:val="NormalHanging12a"/>
      </w:pPr>
      <w:r w:rsidRPr="00DC72DA">
        <w:t>A.</w:t>
      </w:r>
      <w:r w:rsidRPr="00DC72DA">
        <w:tab/>
        <w:t>der henviser til, at alle Unionens decentrale agenturer skal udvise åbenhed og stå fuldt ud til regnskab over for EU-borgerne for de midler, de som EU-organer er blevet betroet;</w:t>
      </w:r>
    </w:p>
    <w:p w14:paraId="2503B7BE" w14:textId="77777777" w:rsidR="00A8062D" w:rsidRPr="00DC72DA" w:rsidRDefault="00A8062D" w:rsidP="00A8062D">
      <w:pPr>
        <w:pStyle w:val="NormalHanging12a"/>
      </w:pPr>
      <w:r w:rsidRPr="00DC72DA">
        <w:t>B.</w:t>
      </w:r>
      <w:r w:rsidRPr="00DC72DA">
        <w:tab/>
        <w:t>der henviser til, at Den Europæiske Unions Asylagentur som et EU-organ med betydelige ansvarsområder og ressourcer har en tilsvarende forpligtelse til at agere med de højeste standarder for gennemsigtighed, ansvarlighed og eksemplarisk adfærd og dermed sikre EU-borgernes og -institutionernes tillid;</w:t>
      </w:r>
    </w:p>
    <w:p w14:paraId="1AACCD44" w14:textId="77777777" w:rsidR="00A8062D" w:rsidRPr="00DC72DA" w:rsidRDefault="00A8062D" w:rsidP="00A8062D">
      <w:pPr>
        <w:pStyle w:val="NormalHanging12a"/>
      </w:pPr>
      <w:r w:rsidRPr="00DC72DA">
        <w:t>C.</w:t>
      </w:r>
      <w:r w:rsidRPr="00DC72DA">
        <w:tab/>
        <w:t>der henviser til, at Parlamentets rolle i forbindelse med decharge er fastsat i traktaten om Den Europæiske Unions funktionsmåde (TEUF), i finansforordningen og i rammefinansforordningen;</w:t>
      </w:r>
    </w:p>
    <w:p w14:paraId="724B69FD" w14:textId="77777777" w:rsidR="00A8062D" w:rsidRPr="00DC72DA" w:rsidRDefault="00A8062D" w:rsidP="00A8062D">
      <w:pPr>
        <w:pStyle w:val="NormalHanging12a"/>
      </w:pPr>
      <w:r w:rsidRPr="00DC72DA">
        <w:t>D.</w:t>
      </w:r>
      <w:r w:rsidRPr="00DC72DA">
        <w:tab/>
        <w:t>der henviser til, at OLAF som EU's organ for bekæmpelse af svig har pligt til at give Europa-Parlamentet rettidig og tilstrækkelig adgang til sine undersøgelsesresultater med henblik på at muliggøre en effektiv dechargekontrol;</w:t>
      </w:r>
    </w:p>
    <w:p w14:paraId="522E0944" w14:textId="77777777" w:rsidR="00A8062D" w:rsidRPr="00DC72DA" w:rsidRDefault="00A8062D" w:rsidP="00A8062D">
      <w:pPr>
        <w:pStyle w:val="NormalHanging12a"/>
      </w:pPr>
      <w:r w:rsidRPr="00DC72DA">
        <w:t>1.</w:t>
      </w:r>
      <w:r w:rsidRPr="00DC72DA">
        <w:tab/>
        <w:t>minder om den rolle, som Parlamentet spiller i forbindelse med dechargeproceduren, således som den er reguleret i TEUF, finansforordningen og Europa-Parlamentets forretningsorden;</w:t>
      </w:r>
    </w:p>
    <w:p w14:paraId="4B26675E" w14:textId="77777777" w:rsidR="00A8062D" w:rsidRPr="00DC72DA" w:rsidRDefault="00A8062D" w:rsidP="00A8062D">
      <w:pPr>
        <w:pStyle w:val="NormalHanging12a"/>
      </w:pPr>
      <w:r w:rsidRPr="00DC72DA">
        <w:lastRenderedPageBreak/>
        <w:t>2.</w:t>
      </w:r>
      <w:r w:rsidRPr="00DC72DA">
        <w:tab/>
        <w:t>minder om, at Parlamentet den 7. maj 2025 besluttede at udsætte afgørelsen om decharge til Den Europæiske Unions Asylagentur ("agenturet") for gennemførelsen af agenturets budget for 2023;</w:t>
      </w:r>
    </w:p>
    <w:p w14:paraId="1B58700B" w14:textId="77777777" w:rsidR="00A8062D" w:rsidRPr="00DC72DA" w:rsidRDefault="00A8062D" w:rsidP="00A8062D">
      <w:pPr>
        <w:pStyle w:val="NormalHanging12a"/>
      </w:pPr>
      <w:r w:rsidRPr="00DC72DA">
        <w:t>3.</w:t>
      </w:r>
      <w:r w:rsidRPr="00DC72DA">
        <w:tab/>
        <w:t>fremhæver den altafgørende betydning af at agere på en ansvarlig og gennemsigtig måde i forbindelse med gennemførelsen af Unionens budget; fastholder, at enhver undladelse af at overholde disse principper i alvorlig grad undergraver offentlighedens tillid;</w:t>
      </w:r>
    </w:p>
    <w:p w14:paraId="2ACF293E" w14:textId="77777777" w:rsidR="00A8062D" w:rsidRPr="00DC72DA" w:rsidRDefault="00A8062D" w:rsidP="0071617F">
      <w:pPr>
        <w:pStyle w:val="NormalHanging12a"/>
        <w:ind w:left="0" w:firstLine="0"/>
        <w:rPr>
          <w:b/>
          <w:i/>
        </w:rPr>
      </w:pPr>
      <w:r w:rsidRPr="00DC72DA">
        <w:rPr>
          <w:b/>
          <w:i/>
        </w:rPr>
        <w:t>Resultatet af den undersøgelse, der er foretaget af Det Europæiske Kontor for Bekæmpelse af Svig (OLAF)</w:t>
      </w:r>
    </w:p>
    <w:p w14:paraId="686E01CB" w14:textId="77777777" w:rsidR="00A8062D" w:rsidRPr="00DC72DA" w:rsidRDefault="00A8062D" w:rsidP="00A8062D">
      <w:pPr>
        <w:pStyle w:val="NormalHanging12a"/>
      </w:pPr>
      <w:r w:rsidRPr="00DC72DA">
        <w:t>4.</w:t>
      </w:r>
      <w:r w:rsidRPr="00DC72DA">
        <w:tab/>
        <w:t>bemærker, at OLAF stillede en anonymiseret udgave af sin endelige rapport om undersøgelsen til rådighed for medlemmerne af Budgetkontroludvalget i marts 2025 og for Udvalget om Borgernes Rettigheder og Retlige og Indre Anliggender i juli 2025; beklager den forsinkede adgang til undersøgelsen, som først blev givet i marts til trods for ordførerens anmodning herom i december 2024, idet OLAF henviste til indsigelser fra Den Europæiske Unions Asylagenturs bestyrelse; fastholder, at CONT-medlemmerne burde have fået adgang til rapporten på et tidligere tidspunkt med henblik på at sikre udøvelsen af deres mandat på passende vis;</w:t>
      </w:r>
    </w:p>
    <w:p w14:paraId="5F47B384" w14:textId="77777777" w:rsidR="00A8062D" w:rsidRPr="00DC72DA" w:rsidRDefault="00A8062D" w:rsidP="00A8062D">
      <w:pPr>
        <w:pStyle w:val="NormalHanging12a"/>
      </w:pPr>
      <w:r w:rsidRPr="00DC72DA">
        <w:t>5.</w:t>
      </w:r>
      <w:r w:rsidRPr="00DC72DA">
        <w:tab/>
        <w:t xml:space="preserve">er vidende om, at </w:t>
      </w:r>
      <w:proofErr w:type="spellStart"/>
      <w:r w:rsidRPr="00DC72DA">
        <w:t>OLAF's</w:t>
      </w:r>
      <w:proofErr w:type="spellEnd"/>
      <w:r w:rsidRPr="00DC72DA">
        <w:t xml:space="preserve"> undersøgelser skal gennemføres uden ophold igennem en periode, som skal stå i et rimeligt forhold til sagens omstændigheder og kompleksitet; er bekymret over varigheden af </w:t>
      </w:r>
      <w:proofErr w:type="spellStart"/>
      <w:r w:rsidRPr="00DC72DA">
        <w:t>OLAF's</w:t>
      </w:r>
      <w:proofErr w:type="spellEnd"/>
      <w:r w:rsidRPr="00DC72DA">
        <w:t xml:space="preserve"> undersøgelser, da den undergraver dechargemyndighedens mulighed for at tage højde for resultaterne heraf på effektiv vis: fastholder, at rettidige undersøgelser spiller en helt afgørende rolle i forbindelse med opretholdelsen af effektiv parlamentarisk kontrol; opfordrer OLAF til at revidere og fremskynde proceduren for færdiggørelse og deling af undersøgelser med dechargemyndigheden; understreger, at sådanne forsinkelser undergraver CONT-medlemmernes mulighed for at udøve deres kontrolmandat på effektiv vis, og opfordrer til, at der træffes foranstaltninger til at sikre hurtig adgang til undersøgelsesrapporter fremover;</w:t>
      </w:r>
    </w:p>
    <w:p w14:paraId="5CBEC8EF" w14:textId="77777777" w:rsidR="00A8062D" w:rsidRPr="00DC72DA" w:rsidRDefault="00A8062D" w:rsidP="00A8062D">
      <w:pPr>
        <w:pStyle w:val="NormalHanging12a"/>
      </w:pPr>
      <w:r w:rsidRPr="00DC72DA">
        <w:t>6.</w:t>
      </w:r>
      <w:r w:rsidRPr="00DC72DA">
        <w:tab/>
        <w:t>understreger, at beskyttelse af Unionens budget fortsat skal være en kerneværdi i forsvarlig økonomisk forvaltning, som alle EU-institutioner er forpligtet til at opretholde, herunder agenturer og decentrale organer, der skal gå foran med et klart eksempel på ansvar og gennemsigtighed i anvendelsen af europæiske offentlige midler; gentager, at der er behov for styrket koordinering og samarbejde inden for den institutionelle ramme for bekæmpelse af svig, navnlig for at imødekomme behovet for hurtigere og mere effektive OLAF-undersøgelser, således at denne indsats tilpasses det bredere mål om at beskytte Unionens finanser;</w:t>
      </w:r>
    </w:p>
    <w:p w14:paraId="1E2F6DF1" w14:textId="77777777" w:rsidR="00A8062D" w:rsidRPr="00DC72DA" w:rsidRDefault="00A8062D" w:rsidP="00A8062D">
      <w:pPr>
        <w:pStyle w:val="NormalHanging12a"/>
      </w:pPr>
      <w:r w:rsidRPr="00DC72DA">
        <w:t>7.</w:t>
      </w:r>
      <w:r w:rsidRPr="00DC72DA">
        <w:tab/>
        <w:t xml:space="preserve">opfordrer agenturet og OLAF til af hensyn til gennemsigtigheden og offentlighedens tillid at offentliggøre et anonymiseret sammendrag af </w:t>
      </w:r>
      <w:proofErr w:type="spellStart"/>
      <w:r w:rsidRPr="00DC72DA">
        <w:t>OLAF's</w:t>
      </w:r>
      <w:proofErr w:type="spellEnd"/>
      <w:r w:rsidRPr="00DC72DA">
        <w:t xml:space="preserve"> rapport, i det omfang dette er juridisk muligt;</w:t>
      </w:r>
    </w:p>
    <w:p w14:paraId="1C99665C" w14:textId="77777777" w:rsidR="00A8062D" w:rsidRPr="00DC72DA" w:rsidRDefault="00A8062D" w:rsidP="00A8062D">
      <w:pPr>
        <w:pStyle w:val="NormalHanging12a"/>
      </w:pPr>
      <w:r w:rsidRPr="00DC72DA">
        <w:t>8.</w:t>
      </w:r>
      <w:r w:rsidRPr="00DC72DA">
        <w:tab/>
        <w:t>noterer sig, at OLAF i kølvandet på undersøgelsen fremsatte disciplinære og administrative henstillinger;</w:t>
      </w:r>
    </w:p>
    <w:p w14:paraId="43F8868D" w14:textId="77777777" w:rsidR="00A8062D" w:rsidRPr="00DC72DA" w:rsidRDefault="00A8062D" w:rsidP="00A8062D">
      <w:pPr>
        <w:pStyle w:val="NormalHanging12a"/>
      </w:pPr>
      <w:r w:rsidRPr="00DC72DA">
        <w:t>9.</w:t>
      </w:r>
      <w:r w:rsidRPr="00DC72DA">
        <w:tab/>
        <w:t xml:space="preserve">bemærker, at bestyrelsen med hensyn til de disciplinære henstillinger som opfølgning besluttede ikke at indlede disciplinærsager og i stedet udstedte skriftlige henstillinger </w:t>
      </w:r>
      <w:r w:rsidRPr="00DC72DA">
        <w:lastRenderedPageBreak/>
        <w:t>med en advarsel og anmodede den administrerende direktør om at fremsætte konkrete forslag i form af korrigerende foranstaltninger og om hurtigst muligt at udarbejde en tidsplan for gennemførelsen heraf; anerkender, at den administrerende direktør i overensstemmelse med denne anmodning har forelagt bestyrelsen følgende dokumenter, som omfatter:</w:t>
      </w:r>
    </w:p>
    <w:p w14:paraId="304EB2BB" w14:textId="77777777" w:rsidR="00A8062D" w:rsidRPr="00DC72DA" w:rsidRDefault="00A8062D" w:rsidP="0071617F">
      <w:pPr>
        <w:pStyle w:val="NormalHanging12a"/>
        <w:ind w:left="1134"/>
      </w:pPr>
      <w:r w:rsidRPr="00DC72DA">
        <w:t>–</w:t>
      </w:r>
      <w:r w:rsidRPr="00DC72DA">
        <w:tab/>
        <w:t>bestyrelsens henstillinger</w:t>
      </w:r>
    </w:p>
    <w:p w14:paraId="562B6BCD" w14:textId="77777777" w:rsidR="00A8062D" w:rsidRPr="00DC72DA" w:rsidRDefault="00A8062D" w:rsidP="0071617F">
      <w:pPr>
        <w:pStyle w:val="NormalHanging12a"/>
        <w:ind w:left="1134"/>
      </w:pPr>
      <w:r w:rsidRPr="00DC72DA">
        <w:t>–</w:t>
      </w:r>
      <w:r w:rsidRPr="00DC72DA">
        <w:tab/>
        <w:t>den aktuelle situation i agenturet med hensyn til de enkelte henstillinger og</w:t>
      </w:r>
    </w:p>
    <w:p w14:paraId="5AD37655" w14:textId="77777777" w:rsidR="00A8062D" w:rsidRPr="00DC72DA" w:rsidRDefault="00A8062D" w:rsidP="0071617F">
      <w:pPr>
        <w:pStyle w:val="NormalHanging12a"/>
        <w:ind w:left="1134"/>
      </w:pPr>
      <w:r w:rsidRPr="00DC72DA">
        <w:t>–</w:t>
      </w:r>
      <w:r w:rsidRPr="00DC72DA">
        <w:tab/>
        <w:t>de yderligere korrigerende foranstaltninger, der skal gennemføres, sammen med en foreløbig tidsplan for gennemførelsen af disse; opfordrer bestyrelsen til at følge op på henstillingerne og til at rapportere tilbage til dechargemyndigheden om den fulde og rettidige gennemførelse heraf;</w:t>
      </w:r>
    </w:p>
    <w:p w14:paraId="7D6F7311" w14:textId="1C83039F" w:rsidR="00A8062D" w:rsidRPr="00DC72DA" w:rsidRDefault="00A8062D" w:rsidP="00A8062D">
      <w:pPr>
        <w:pStyle w:val="NormalHanging12a"/>
      </w:pPr>
      <w:r w:rsidRPr="00DC72DA">
        <w:t>10.</w:t>
      </w:r>
      <w:r w:rsidRPr="00DC72DA">
        <w:tab/>
        <w:t xml:space="preserve">beklager, at bestyrelsen efter intense drøftelser har besluttet ikke at gennemføre </w:t>
      </w:r>
      <w:proofErr w:type="spellStart"/>
      <w:r w:rsidRPr="00DC72DA">
        <w:t>OLAF's</w:t>
      </w:r>
      <w:proofErr w:type="spellEnd"/>
      <w:r w:rsidRPr="00DC72DA">
        <w:t xml:space="preserve"> disciplinære henstillinger, herunder indledning af disciplinærsager mod </w:t>
      </w:r>
      <w:r w:rsidR="00EF4124">
        <w:t>den</w:t>
      </w:r>
      <w:r w:rsidRPr="00DC72DA">
        <w:t xml:space="preserve"> administrerende direktør </w:t>
      </w:r>
      <w:r w:rsidR="00EF4124">
        <w:t xml:space="preserve">for </w:t>
      </w:r>
      <w:r w:rsidR="00EF4124" w:rsidRPr="00DC72DA">
        <w:t xml:space="preserve">Den Europæiske Unions Asylagentur </w:t>
      </w:r>
      <w:r w:rsidRPr="00DC72DA">
        <w:t xml:space="preserve">eller andet personale i agenturet, på trods af </w:t>
      </w:r>
      <w:proofErr w:type="spellStart"/>
      <w:r w:rsidRPr="00DC72DA">
        <w:t>OLAF's</w:t>
      </w:r>
      <w:proofErr w:type="spellEnd"/>
      <w:r w:rsidRPr="00DC72DA">
        <w:t xml:space="preserve"> tungtvejende konklusioner, hvilket synes at være systematisk og undergraver tilliden til agenturets ledelse; understreger, at denne beslutning rejser spørgsmål om bestyrelsens engagement i ansvarlighed og ansvar i overensstemmelse med de institutionelle forventninger, og tager bestyrelsens bevidste valg om ikke at gennemføre henstillingerne efter at have gennemgået de rejste problemstillinger ad notam; understreger, at Parlamentet fortsat vil være særlig opmærksomt på de korrigerende foranstaltninger, der træffes; forventer, at agenturet opviser eksemplarisk opfølgning, høje standarder, klart ansvar for gennemførelsen af korrigerende foranstaltninger og fuld ansvarlighed; opfordrer agenturet til at sørge for transparent rapportering til Parlamentet ved bl.a. at dele referaterne af bestyrelsens drøftelser med Parlamentet med henblik på at styrke den parlamentariske kontrol;</w:t>
      </w:r>
    </w:p>
    <w:p w14:paraId="379E4B5D" w14:textId="77777777" w:rsidR="00A8062D" w:rsidRPr="00DC72DA" w:rsidRDefault="00A8062D" w:rsidP="00A8062D">
      <w:pPr>
        <w:pStyle w:val="NormalHanging12a"/>
      </w:pPr>
      <w:r w:rsidRPr="00DC72DA">
        <w:t>11.</w:t>
      </w:r>
      <w:r w:rsidRPr="00DC72DA">
        <w:tab/>
        <w:t xml:space="preserve">bemærker, at den administrerende direktør har udarbejdet et visionspapir "Vision Statement on </w:t>
      </w:r>
      <w:proofErr w:type="spellStart"/>
      <w:r w:rsidRPr="00DC72DA">
        <w:t>leadership</w:t>
      </w:r>
      <w:proofErr w:type="spellEnd"/>
      <w:r w:rsidRPr="00DC72DA">
        <w:t xml:space="preserve"> </w:t>
      </w:r>
      <w:proofErr w:type="spellStart"/>
      <w:r w:rsidRPr="00DC72DA">
        <w:t>implementing</w:t>
      </w:r>
      <w:proofErr w:type="spellEnd"/>
      <w:r w:rsidRPr="00DC72DA">
        <w:t xml:space="preserve"> the </w:t>
      </w:r>
      <w:proofErr w:type="spellStart"/>
      <w:r w:rsidRPr="00DC72DA">
        <w:t>changes</w:t>
      </w:r>
      <w:proofErr w:type="spellEnd"/>
      <w:r w:rsidRPr="00DC72DA">
        <w:t xml:space="preserve"> in EUAA" vedrørende de gennemførte korrigerende foranstaltninger og de korrigerende foranstaltninger, der fortsat skal gennemføres; anmoder agenturet om at underrette dechargemyndigheden om de gennemførte korrigerende foranstaltninger og om de korrigerende foranstaltninger, der fortsat skal gennemføres, samt om fristerne for deres afslutning;</w:t>
      </w:r>
    </w:p>
    <w:p w14:paraId="4EBDEFBF" w14:textId="77777777" w:rsidR="00A8062D" w:rsidRPr="00DC72DA" w:rsidRDefault="00A8062D" w:rsidP="00A8062D">
      <w:pPr>
        <w:pStyle w:val="NormalHanging12a"/>
      </w:pPr>
      <w:r w:rsidRPr="00DC72DA">
        <w:t>12.</w:t>
      </w:r>
      <w:r w:rsidRPr="00DC72DA">
        <w:tab/>
        <w:t>giver udtryk for bekymring over, at de administrative henstillinger kom ind på praksissen med, at personaleevalueringer blev foretaget af sektorledere og ikke af kontorchefer, og på mangler i håndteringen af interessekonflikter inden for agenturet;</w:t>
      </w:r>
    </w:p>
    <w:p w14:paraId="67A35EBB" w14:textId="77777777" w:rsidR="00A8062D" w:rsidRPr="00DC72DA" w:rsidRDefault="00A8062D" w:rsidP="00A8062D">
      <w:pPr>
        <w:pStyle w:val="NormalHanging12a"/>
      </w:pPr>
      <w:r w:rsidRPr="00DC72DA">
        <w:t>13.</w:t>
      </w:r>
      <w:r w:rsidRPr="00DC72DA">
        <w:tab/>
        <w:t>glæder sig over, at kontorcheferne fra 2025 vil foretage personaleevalueringerne som fastsat i de gældende regler;</w:t>
      </w:r>
    </w:p>
    <w:p w14:paraId="01761ECE" w14:textId="77777777" w:rsidR="00A8062D" w:rsidRPr="00DC72DA" w:rsidRDefault="00A8062D" w:rsidP="00A8062D">
      <w:pPr>
        <w:pStyle w:val="NormalHanging12a"/>
      </w:pPr>
      <w:r w:rsidRPr="00DC72DA">
        <w:t>14.</w:t>
      </w:r>
      <w:r w:rsidRPr="00DC72DA">
        <w:tab/>
        <w:t>beklager stærkt svaghederne i forbindelse med håndteringen af interessekonflikter i agenturet, navnlig bestyrelsens fejlagtige behandling af klager over afgørelser truffet af den administrerende direktør; fastholder, at denne form for praksis undergraver agenturets integritet og troværdighed; opfordrer agenturet til omgående at underrette dechargemyndigheden om de korrigerende foranstaltninger og organisatoriske ændringer, der er indført; understreger, at kun en solid og eksemplarisk ramme for håndtering af interessekonflikter vil blive anset for acceptabel;</w:t>
      </w:r>
    </w:p>
    <w:p w14:paraId="2B886369" w14:textId="77777777" w:rsidR="00A8062D" w:rsidRPr="00DC72DA" w:rsidRDefault="00A8062D" w:rsidP="00A8062D">
      <w:pPr>
        <w:pStyle w:val="NormalHanging12a"/>
      </w:pPr>
      <w:r w:rsidRPr="00DC72DA">
        <w:lastRenderedPageBreak/>
        <w:t>15.</w:t>
      </w:r>
      <w:r w:rsidRPr="00DC72DA">
        <w:tab/>
        <w:t>bemærker, at både bestyrelsen og den administrerende direktør anerkender alvoren af påstandene og de rejste problemstillinger; konstaterer imidlertid, at den administrerende direktør udtrykte skepsis og henviste til en ekstraordinær arbejdsbyrde under kriser, hvilket ikke kan anvendes som begrundelse for at tilbagevise konklusionerne; mener, at anerkendelsen skal ledsages af resolutte korrigerende foranstaltninger, rettidig gennemførelse og fuld ansvarlighed over for dechargemyndigheden;</w:t>
      </w:r>
    </w:p>
    <w:p w14:paraId="2A5A6AD2" w14:textId="77777777" w:rsidR="00A8062D" w:rsidRPr="00DC72DA" w:rsidRDefault="00A8062D" w:rsidP="00A8062D">
      <w:pPr>
        <w:pStyle w:val="NormalHanging12a"/>
      </w:pPr>
      <w:r w:rsidRPr="00DC72DA">
        <w:t>16.</w:t>
      </w:r>
      <w:r w:rsidRPr="00DC72DA">
        <w:tab/>
        <w:t>bemærker med bekymring de vedvarende mangler i forvaltningen, herunder bestyrelsens manglende evne til at udøve rettidigt og effektivt tilsyn; beklager, at flere af uregelmæssighederne kunne have været forhindret gennem bedre intern kontrol og et proaktivt engagement fra bestyrelsens side; fastholder, at dette institutionelle svigt skal håndteres strukturelt og ikke kun proceduremæssigt;</w:t>
      </w:r>
    </w:p>
    <w:p w14:paraId="69C0B7B1" w14:textId="5BC44824" w:rsidR="00A8062D" w:rsidRPr="00DC72DA" w:rsidRDefault="00A8062D" w:rsidP="00A8062D">
      <w:pPr>
        <w:pStyle w:val="NormalHanging12a"/>
      </w:pPr>
      <w:r w:rsidRPr="00DC72DA">
        <w:t>17.</w:t>
      </w:r>
      <w:r w:rsidRPr="00DC72DA">
        <w:tab/>
        <w:t xml:space="preserve">beklager dybt problemerne med dårlig administration, navnlig på HR-området, som omfatter alvorlige uregelmæssigheder i forbindelse med især udnævnelses- og udvælgelsesprocedurer, der har fundet sted i strid med vedtægten for tjenestemænd og ansættelsesvilkårene for de øvrige ansatte; er klar over, at agenturet i perioden 2019-2022 var konfronteret med udfordrende omstændigheder såsom covid-19-pandemien, aktiveringen af direktivet om midlertidig beskyttelse eller ikrafttrædelsen af </w:t>
      </w:r>
      <w:r w:rsidR="000A6304" w:rsidRPr="000A6304">
        <w:t xml:space="preserve">agenturets </w:t>
      </w:r>
      <w:r w:rsidRPr="00DC72DA">
        <w:t>forordning</w:t>
      </w:r>
      <w:r w:rsidR="00E67E99">
        <w:rPr>
          <w:rStyle w:val="FootnoteReference"/>
        </w:rPr>
        <w:footnoteReference w:id="17"/>
      </w:r>
      <w:r w:rsidRPr="00DC72DA">
        <w:t>, som omfattede et nyt mandat, nye kompetencer og nye ansvarsområder; afviser imidlertid ethvert forsøg på at anvende sådanne omstændigheder som begrundelse for manglende overholdelse af bindende lovgivning; opfordrer agenturet til at bringe sine ansættelsesprocesser i fuld overensstemmelse med de gældende regler og insisterer på, at der indføres strenge, gennemsigtige og meritbaserede procedurer ledsaget af retningslinjer, som kan håndhæves, og som er genstand for dechargemyndighedens nøje kontrol;</w:t>
      </w:r>
    </w:p>
    <w:p w14:paraId="2153E8BE" w14:textId="77777777" w:rsidR="00A8062D" w:rsidRPr="00DC72DA" w:rsidRDefault="00A8062D" w:rsidP="00A8062D">
      <w:pPr>
        <w:pStyle w:val="NormalHanging12a"/>
      </w:pPr>
      <w:r w:rsidRPr="00DC72DA">
        <w:t>18.</w:t>
      </w:r>
      <w:r w:rsidRPr="00DC72DA">
        <w:tab/>
        <w:t>glæder sig over, at praksis med at udnævne chefer ad interim er blevet indstillet fra januar 2023;</w:t>
      </w:r>
    </w:p>
    <w:p w14:paraId="2B147E51" w14:textId="77777777" w:rsidR="00A8062D" w:rsidRPr="00DC72DA" w:rsidRDefault="00A8062D" w:rsidP="00A8062D">
      <w:pPr>
        <w:pStyle w:val="NormalHanging12a"/>
      </w:pPr>
      <w:r w:rsidRPr="00DC72DA">
        <w:t>19.</w:t>
      </w:r>
      <w:r w:rsidRPr="00DC72DA">
        <w:tab/>
        <w:t>minder om, at en af bestyrelsens kerneopgaver er at udstikke den generelle retning for agenturets aktiviteter og sikre, at agenturet opfylder sit mandat på effektiv vis; mener, at bestyrelsen for at kunne udstikke den generelle retning skal have kendskab til og være behørigt informeret om den lovgivning, som gælder for agenturet, og om kritisk udvikling i dets forvaltning; beklager de gentagne mangler i den henseende og opfordrer agenturet til at fastlægge effektive, systematiske og transparente kommunikationsprocedurer med bestyrelsen;</w:t>
      </w:r>
    </w:p>
    <w:p w14:paraId="4C3EB33B" w14:textId="77777777" w:rsidR="00A8062D" w:rsidRPr="00DC72DA" w:rsidRDefault="00A8062D" w:rsidP="00A8062D">
      <w:pPr>
        <w:pStyle w:val="NormalHanging12a"/>
      </w:pPr>
      <w:r w:rsidRPr="00DC72DA">
        <w:t>20.</w:t>
      </w:r>
      <w:r w:rsidRPr="00DC72DA">
        <w:tab/>
        <w:t>opfordrer Kommissionen, som har to poster i bestyrelsen, til aktivt at støtte og bistå andre bestyrelsesmedlemmer med at forstå de regler, som gælder for agenturet, og til at udpege og formidle de erfaringer, der er indhøstet fra denne konkrete sag, som led i den mere overordnede forebyggelsesindsats; opfordrer agenturet til at aflægge rapport til dechargemyndigheden om de foranstaltninger, der er truffet for at forbedre kommunikationen med bestyrelsen;</w:t>
      </w:r>
    </w:p>
    <w:p w14:paraId="1C6EB50E" w14:textId="77777777" w:rsidR="00A8062D" w:rsidRPr="00DC72DA" w:rsidRDefault="00A8062D" w:rsidP="00A8062D">
      <w:pPr>
        <w:pStyle w:val="NormalHanging12a"/>
      </w:pPr>
      <w:r w:rsidRPr="00DC72DA">
        <w:t>21.</w:t>
      </w:r>
      <w:r w:rsidRPr="00DC72DA">
        <w:tab/>
        <w:t xml:space="preserve">glæder sig over det forslag, som Kommissionen fremsatte i forbindelse med drøftelserne, om muligheden for at dele fælles tjenestegrene inden for visse horisontale </w:t>
      </w:r>
      <w:r w:rsidRPr="00DC72DA">
        <w:lastRenderedPageBreak/>
        <w:t>områder på tværs af de decentraliserede agenturer, eftersom dette vil bidrage til en forbedret forvaltning af procedurerne og til at sikre mere effektiv ressourceanvendelse; tilskynder Kommissionen til at undersøge denne mulighed og fremsætte forslag om konkrete tiltag i den henseende;</w:t>
      </w:r>
    </w:p>
    <w:p w14:paraId="5E248CA9" w14:textId="77777777" w:rsidR="00A8062D" w:rsidRPr="00DC72DA" w:rsidRDefault="00A8062D" w:rsidP="00A8062D">
      <w:pPr>
        <w:pStyle w:val="NormalHanging12a"/>
      </w:pPr>
      <w:r w:rsidRPr="00DC72DA">
        <w:t>22.</w:t>
      </w:r>
      <w:r w:rsidRPr="00DC72DA">
        <w:tab/>
        <w:t>opfordrer agenturet til at etablere en uafhængig intern etisk funktion og understreger vigtigheden af at indføre robuste regler for beskyttelse af whistleblowere i overensstemmelse med direktiv (EU) 2019/1937; understreger, at de interne indberetningskanaler skal være fortrolige og pålidelige, og at personalet på alle niveauer skal have tillid til dem;</w:t>
      </w:r>
    </w:p>
    <w:p w14:paraId="3B352089" w14:textId="77777777" w:rsidR="00A8062D" w:rsidRPr="00DC72DA" w:rsidRDefault="00A8062D" w:rsidP="00A8062D">
      <w:pPr>
        <w:pStyle w:val="NormalHanging12a"/>
      </w:pPr>
      <w:r w:rsidRPr="00DC72DA">
        <w:t>23.</w:t>
      </w:r>
      <w:r w:rsidRPr="00DC72DA">
        <w:tab/>
        <w:t xml:space="preserve">fremhæver, at </w:t>
      </w:r>
      <w:proofErr w:type="spellStart"/>
      <w:r w:rsidRPr="00DC72DA">
        <w:t>OLAF's</w:t>
      </w:r>
      <w:proofErr w:type="spellEnd"/>
      <w:r w:rsidRPr="00DC72DA">
        <w:t xml:space="preserve"> undersøgelse først blev afsluttet i 2024, til trods for at nogle af hændelserne fandt sted i 2021, 2022 og tidligere; understreger, at det endnu ikke kan konkluderes, at disse problemer er blevet løst fuldt ud; understreger, at dechargemyndigheden forbeholder sig den fulde ret til at udøve sine kontrolforpligtelser, indtil situationen er helt bragt i orden og klarlagt; opfordrer den administrerende direktør og bestyrelsen til at anerkende og adressere enhver strukturel svaghed i forbindelse med såvel forvaltningen af menneskelige ressourcer som bestyrelsens tilsynsfunktioner, og til at træffe effektive foranstaltninger til at forhindre, at lignende problemer opstår, og forbeholder sig ret til i fremtiden at undlade at meddele decharge eller til at gøre fremtidige dechargebeslutninger betingede, i tilfælde af at agenturet ikke gennemfører en fuldstændig strukturel reform;</w:t>
      </w:r>
    </w:p>
    <w:p w14:paraId="002E0C41" w14:textId="77777777" w:rsidR="00A8062D" w:rsidRPr="00DC72DA" w:rsidRDefault="00A8062D" w:rsidP="00A8062D">
      <w:pPr>
        <w:pStyle w:val="NormalHanging12a"/>
      </w:pPr>
      <w:r w:rsidRPr="00DC72DA">
        <w:t>24.</w:t>
      </w:r>
      <w:r w:rsidRPr="00DC72DA">
        <w:tab/>
        <w:t xml:space="preserve">bemærker med særlig bekymring den ekstremt høje personaleudskiftningsrate som nævnt i </w:t>
      </w:r>
      <w:proofErr w:type="spellStart"/>
      <w:r w:rsidRPr="00DC72DA">
        <w:t>OLAF's</w:t>
      </w:r>
      <w:proofErr w:type="spellEnd"/>
      <w:r w:rsidRPr="00DC72DA">
        <w:t xml:space="preserve"> rapport, uden at ledelsen er i stand til at give en tilfredsstillende forklaring; opfordrer den administrerende direktør og bestyrelsen, og navnlig Kommissionens repræsentanter i den, til at indføre systematiske fratrædelsessamtaler med alle medarbejdere, der fratræder, til at dokumentere konklusionerne udførligt og til at aflægge rapport til dechargemyndigheden om de resultater og fremskridt, der er opnået i den henseende inden for rammerne af dechargeproceduren for 2024;</w:t>
      </w:r>
    </w:p>
    <w:p w14:paraId="0198BCFC" w14:textId="77777777" w:rsidR="00A8062D" w:rsidRPr="00DC72DA" w:rsidRDefault="00A8062D" w:rsidP="00A8062D">
      <w:pPr>
        <w:pStyle w:val="NormalHanging12a"/>
      </w:pPr>
      <w:r w:rsidRPr="00DC72DA">
        <w:t>25.</w:t>
      </w:r>
      <w:r w:rsidRPr="00DC72DA">
        <w:tab/>
        <w:t>roser agenturets medarbejdere for deres dedikation og engagement i forbindelse med udførelsen af deres arbejdsopgaver trods de udfordrende omstændigheder; mener, at det er af afgørende betydning at skabe et positivt arbejdsmiljø ved at fremme god praksis på HR-niveau og belønne meritbaserede præstationer; opfordrer indtrængende bestyrelsen og den administrerende direktør til at sikre, at agenturet udgør et sikkert og understøttende arbejdsmiljø, der tilskynder til åben kommunikation og sætter enkeltpersoner i stand til at ytre sig frit uden at skulle frygte repressalier; opfordrer agenturet til at sikre, at alle indberetninger vedrørende tjenesteforseelser tages alvorligt, og at disse undersøges grundigt – herunder, at der iværksættes passende opfølgningsforanstaltninger – med henblik på at opretholde integritet og tillid i organisationen;</w:t>
      </w:r>
    </w:p>
    <w:p w14:paraId="5B96B8D5" w14:textId="77777777" w:rsidR="00A8062D" w:rsidRPr="00DC72DA" w:rsidRDefault="00A8062D" w:rsidP="00A8062D">
      <w:pPr>
        <w:pStyle w:val="NormalHanging12a"/>
        <w:jc w:val="center"/>
      </w:pPr>
      <w:r w:rsidRPr="00DC72DA">
        <w:t>°</w:t>
      </w:r>
    </w:p>
    <w:p w14:paraId="403DAED0" w14:textId="77777777" w:rsidR="00A8062D" w:rsidRPr="00DC72DA" w:rsidRDefault="00A8062D" w:rsidP="00A8062D">
      <w:pPr>
        <w:pStyle w:val="NormalHanging12a"/>
        <w:jc w:val="center"/>
      </w:pPr>
      <w:r w:rsidRPr="00DC72DA">
        <w:t>°</w:t>
      </w:r>
      <w:r w:rsidRPr="00DC72DA">
        <w:tab/>
        <w:t>°</w:t>
      </w:r>
    </w:p>
    <w:p w14:paraId="52D94EE5" w14:textId="0729471D" w:rsidR="00E365E1" w:rsidRPr="00806CF9" w:rsidRDefault="00806CF9" w:rsidP="00806CF9">
      <w:pPr>
        <w:pStyle w:val="CM1"/>
        <w:spacing w:before="120" w:after="120"/>
        <w:ind w:left="567" w:hanging="567"/>
        <w:rPr>
          <w:rFonts w:ascii="Times New Roman" w:hAnsi="Times New Roman"/>
        </w:rPr>
      </w:pPr>
      <w:r>
        <w:rPr>
          <w:rFonts w:ascii="Times New Roman" w:hAnsi="Times New Roman"/>
          <w:snapToGrid w:val="0"/>
        </w:rPr>
        <w:lastRenderedPageBreak/>
        <w:t>26.</w:t>
      </w:r>
      <w:r w:rsidR="00A8062D" w:rsidRPr="00DC72DA">
        <w:rPr>
          <w:rFonts w:ascii="Times New Roman" w:hAnsi="Times New Roman"/>
          <w:snapToGrid w:val="0"/>
        </w:rPr>
        <w:tab/>
        <w:t>henviser med hensyn til de øvrige bemærkninger til sin beslutning af 7. maj 2025</w:t>
      </w:r>
      <w:r w:rsidR="00A8062D" w:rsidRPr="00DC72DA">
        <w:rPr>
          <w:rStyle w:val="FootnoteReference"/>
          <w:rFonts w:ascii="Times New Roman" w:hAnsi="Times New Roman"/>
          <w:snapToGrid w:val="0"/>
        </w:rPr>
        <w:footnoteReference w:id="18"/>
      </w:r>
      <w:r w:rsidR="00A8062D" w:rsidRPr="00DC72DA">
        <w:rPr>
          <w:rFonts w:ascii="Times New Roman" w:hAnsi="Times New Roman"/>
          <w:snapToGrid w:val="0"/>
        </w:rPr>
        <w:t xml:space="preserve"> med bemærkningerne, der er en integrerende del af afgørelserne om decharge for gennemførelsen af budgettet for Den Europæiske Unions agenturer.</w:t>
      </w:r>
    </w:p>
    <w:sectPr w:rsidR="00E365E1" w:rsidRPr="00806CF9" w:rsidSect="00DC72DA">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A7252" w14:textId="77777777" w:rsidR="00A40144" w:rsidRPr="00DC72DA" w:rsidRDefault="00A40144">
      <w:r w:rsidRPr="00DC72DA">
        <w:separator/>
      </w:r>
    </w:p>
  </w:endnote>
  <w:endnote w:type="continuationSeparator" w:id="0">
    <w:p w14:paraId="631C1C90" w14:textId="77777777" w:rsidR="00A40144" w:rsidRPr="00DC72DA" w:rsidRDefault="00A40144">
      <w:r w:rsidRPr="00DC72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91430" w14:textId="77777777" w:rsidR="00DC72DA" w:rsidRPr="00DC72DA" w:rsidRDefault="00DC7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3D88" w14:textId="77777777" w:rsidR="00DC72DA" w:rsidRPr="00DC72DA" w:rsidRDefault="00DC72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BA42E" w14:textId="77777777" w:rsidR="00A8062D" w:rsidRPr="00DC72DA" w:rsidRDefault="00A8062D" w:rsidP="00806EEE">
    <w:pPr>
      <w:pStyle w:val="EPFooter"/>
    </w:pPr>
    <w:r w:rsidRPr="00DC72DA">
      <w:rPr>
        <w:rStyle w:val="HideTWBExt"/>
      </w:rPr>
      <w:t>&lt;PathFdR&gt;</w:t>
    </w:r>
    <w:r w:rsidRPr="00DC72DA">
      <w:t>PR\1321847EN.docx</w:t>
    </w:r>
    <w:r w:rsidRPr="00DC72DA">
      <w:rPr>
        <w:rStyle w:val="HideTWBExt"/>
      </w:rPr>
      <w:t>&lt;/PathFdR&gt;</w:t>
    </w:r>
    <w:r w:rsidRPr="00DC72DA">
      <w:tab/>
    </w:r>
    <w:r w:rsidRPr="00DC72DA">
      <w:fldChar w:fldCharType="begin"/>
    </w:r>
    <w:r w:rsidRPr="00DC72DA">
      <w:instrText xml:space="preserve"> PAGE </w:instrText>
    </w:r>
    <w:r w:rsidRPr="00DC72DA">
      <w:fldChar w:fldCharType="separate"/>
    </w:r>
    <w:r w:rsidRPr="00DC72DA">
      <w:rPr>
        <w:noProof/>
      </w:rPr>
      <w:t>4</w:t>
    </w:r>
    <w:r w:rsidRPr="00DC72DA">
      <w:fldChar w:fldCharType="end"/>
    </w:r>
    <w:r w:rsidRPr="00DC72DA">
      <w:t>/</w:t>
    </w:r>
    <w:r w:rsidRPr="00DC72DA">
      <w:fldChar w:fldCharType="begin"/>
    </w:r>
    <w:r w:rsidRPr="00DC72DA">
      <w:instrText xml:space="preserve"> NUMPAGES </w:instrText>
    </w:r>
    <w:r w:rsidRPr="00DC72DA">
      <w:fldChar w:fldCharType="separate"/>
    </w:r>
    <w:r w:rsidRPr="00DC72DA">
      <w:rPr>
        <w:noProof/>
      </w:rPr>
      <w:t>15</w:t>
    </w:r>
    <w:r w:rsidRPr="00DC72DA">
      <w:rPr>
        <w:noProof/>
      </w:rPr>
      <w:fldChar w:fldCharType="end"/>
    </w:r>
    <w:r w:rsidRPr="00DC72DA">
      <w:tab/>
      <w:t>PE</w:t>
    </w:r>
    <w:r w:rsidRPr="00DC72DA">
      <w:rPr>
        <w:rStyle w:val="HideTWBExt"/>
      </w:rPr>
      <w:t>&lt;NoPE&gt;</w:t>
    </w:r>
    <w:r w:rsidRPr="00DC72DA">
      <w:t>774.259</w:t>
    </w:r>
    <w:r w:rsidRPr="00DC72DA">
      <w:rPr>
        <w:rStyle w:val="HideTWBExt"/>
      </w:rPr>
      <w:t>&lt;/NoPE&gt;&lt;Version&gt;</w:t>
    </w:r>
    <w:r w:rsidRPr="00DC72DA">
      <w:t>v01-00</w:t>
    </w:r>
    <w:r w:rsidRPr="00DC72DA">
      <w:rPr>
        <w:rStyle w:val="HideTWBExt"/>
      </w:rPr>
      <w:t>&lt;/Version&gt;</w:t>
    </w:r>
  </w:p>
  <w:p w14:paraId="4566705F" w14:textId="77777777" w:rsidR="00A8062D" w:rsidRPr="00DC72DA" w:rsidRDefault="00A8062D" w:rsidP="00806EEE">
    <w:pPr>
      <w:pStyle w:val="EPFooter2"/>
    </w:pPr>
    <w:r w:rsidRPr="00DC72DA">
      <w:tab/>
    </w:r>
    <w:r w:rsidRPr="00DC72DA">
      <w:tab/>
    </w:r>
    <w:r w:rsidRPr="00DC72DA">
      <w:fldChar w:fldCharType="begin"/>
    </w:r>
    <w:r w:rsidRPr="00DC72DA">
      <w:instrText xml:space="preserve"> DOCPROPERTY "&lt;Extension&gt;" </w:instrText>
    </w:r>
    <w:r w:rsidRPr="00DC72DA">
      <w:fldChar w:fldCharType="separate"/>
    </w:r>
    <w:r w:rsidRPr="00DC72DA">
      <w:t>DA</w:t>
    </w:r>
    <w:r w:rsidRPr="00DC72DA">
      <w:fldChar w:fldCharType="end"/>
    </w:r>
  </w:p>
  <w:p w14:paraId="05F1C96D" w14:textId="77777777" w:rsidR="00A8062D" w:rsidRPr="00DC72DA" w:rsidRDefault="00A8062D"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B10E" w14:textId="77777777" w:rsidR="00A8062D" w:rsidRPr="00DC72DA" w:rsidRDefault="00A8062D" w:rsidP="00806EEE">
    <w:pPr>
      <w:pStyle w:val="EPFooter"/>
    </w:pPr>
    <w:r w:rsidRPr="00DC72DA">
      <w:rPr>
        <w:rStyle w:val="HideTWBExt"/>
        <w:rFonts w:eastAsiaTheme="majorEastAsia"/>
      </w:rPr>
      <w:t>&lt;PathFdR&gt;</w:t>
    </w:r>
    <w:r w:rsidRPr="00DC72DA">
      <w:t>PR\1321847EN.docx</w:t>
    </w:r>
    <w:r w:rsidRPr="00DC72DA">
      <w:rPr>
        <w:rStyle w:val="HideTWBExt"/>
        <w:rFonts w:eastAsiaTheme="majorEastAsia"/>
      </w:rPr>
      <w:t>&lt;/PathFdR&gt;</w:t>
    </w:r>
    <w:r w:rsidRPr="00DC72DA">
      <w:tab/>
    </w:r>
    <w:r w:rsidRPr="00DC72DA">
      <w:fldChar w:fldCharType="begin"/>
    </w:r>
    <w:r w:rsidRPr="00DC72DA">
      <w:instrText xml:space="preserve"> PAGE </w:instrText>
    </w:r>
    <w:r w:rsidRPr="00DC72DA">
      <w:fldChar w:fldCharType="separate"/>
    </w:r>
    <w:r w:rsidRPr="00DC72DA">
      <w:rPr>
        <w:noProof/>
      </w:rPr>
      <w:t>6</w:t>
    </w:r>
    <w:r w:rsidRPr="00DC72DA">
      <w:fldChar w:fldCharType="end"/>
    </w:r>
    <w:r w:rsidRPr="00DC72DA">
      <w:t>/</w:t>
    </w:r>
    <w:r w:rsidRPr="00DC72DA">
      <w:fldChar w:fldCharType="begin"/>
    </w:r>
    <w:r w:rsidRPr="00DC72DA">
      <w:instrText xml:space="preserve"> NUMPAGES </w:instrText>
    </w:r>
    <w:r w:rsidRPr="00DC72DA">
      <w:fldChar w:fldCharType="separate"/>
    </w:r>
    <w:r w:rsidRPr="00DC72DA">
      <w:rPr>
        <w:noProof/>
      </w:rPr>
      <w:t>15</w:t>
    </w:r>
    <w:r w:rsidRPr="00DC72DA">
      <w:rPr>
        <w:noProof/>
      </w:rPr>
      <w:fldChar w:fldCharType="end"/>
    </w:r>
    <w:r w:rsidRPr="00DC72DA">
      <w:tab/>
      <w:t>PE</w:t>
    </w:r>
    <w:r w:rsidRPr="00DC72DA">
      <w:rPr>
        <w:rStyle w:val="HideTWBExt"/>
        <w:rFonts w:eastAsiaTheme="majorEastAsia"/>
      </w:rPr>
      <w:t>&lt;NoPE&gt;</w:t>
    </w:r>
    <w:r w:rsidRPr="00DC72DA">
      <w:t>774.259</w:t>
    </w:r>
    <w:r w:rsidRPr="00DC72DA">
      <w:rPr>
        <w:rStyle w:val="HideTWBExt"/>
        <w:rFonts w:eastAsiaTheme="majorEastAsia"/>
      </w:rPr>
      <w:t>&lt;/NoPE&gt;&lt;Version&gt;</w:t>
    </w:r>
    <w:r w:rsidRPr="00DC72DA">
      <w:t>v01-00</w:t>
    </w:r>
    <w:r w:rsidRPr="00DC72DA">
      <w:rPr>
        <w:rStyle w:val="HideTWBExt"/>
        <w:rFonts w:eastAsiaTheme="majorEastAsia"/>
      </w:rPr>
      <w:t>&lt;/Version&gt;</w:t>
    </w:r>
  </w:p>
  <w:p w14:paraId="124343AD" w14:textId="77777777" w:rsidR="00A8062D" w:rsidRPr="00DC72DA" w:rsidRDefault="00A8062D" w:rsidP="00806EEE">
    <w:pPr>
      <w:pStyle w:val="EPFooter2"/>
    </w:pPr>
    <w:r w:rsidRPr="00DC72DA">
      <w:tab/>
    </w:r>
    <w:r w:rsidRPr="00DC72DA">
      <w:tab/>
    </w:r>
    <w:r w:rsidRPr="00DC72DA">
      <w:fldChar w:fldCharType="begin"/>
    </w:r>
    <w:r w:rsidRPr="00DC72DA">
      <w:instrText xml:space="preserve"> DOCPROPERTY "&lt;Extension&gt;" </w:instrText>
    </w:r>
    <w:r w:rsidRPr="00DC72DA">
      <w:fldChar w:fldCharType="separate"/>
    </w:r>
    <w:r w:rsidRPr="00DC72DA">
      <w:t>DA</w:t>
    </w:r>
    <w:r w:rsidRPr="00DC72DA">
      <w:fldChar w:fldCharType="end"/>
    </w:r>
  </w:p>
  <w:p w14:paraId="3987F24E" w14:textId="77777777" w:rsidR="00A8062D" w:rsidRPr="00DC72DA" w:rsidRDefault="00A8062D"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C71FC" w14:textId="77777777" w:rsidR="00064002" w:rsidRPr="00DC72D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AF6C2" w14:textId="77777777" w:rsidR="00064002" w:rsidRPr="00DC72DA"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171D" w14:textId="77777777" w:rsidR="00064002" w:rsidRPr="00DC72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59B2" w14:textId="77777777" w:rsidR="00A40144" w:rsidRPr="00DC72DA" w:rsidRDefault="00A40144">
      <w:r w:rsidRPr="00DC72DA">
        <w:separator/>
      </w:r>
    </w:p>
  </w:footnote>
  <w:footnote w:type="continuationSeparator" w:id="0">
    <w:p w14:paraId="45DC1B0A" w14:textId="77777777" w:rsidR="00A40144" w:rsidRPr="00DC72DA" w:rsidRDefault="00A40144">
      <w:r w:rsidRPr="00DC72DA">
        <w:continuationSeparator/>
      </w:r>
    </w:p>
  </w:footnote>
  <w:footnote w:id="1">
    <w:p w14:paraId="562075E7" w14:textId="14DA0DCA" w:rsidR="00A8062D" w:rsidRPr="00FE7F76" w:rsidRDefault="00A8062D" w:rsidP="00DC72DA">
      <w:pPr>
        <w:pStyle w:val="FootnoteText"/>
        <w:ind w:left="567" w:hanging="567"/>
        <w:rPr>
          <w:sz w:val="24"/>
          <w:lang w:val="fi-FI"/>
        </w:rPr>
      </w:pPr>
      <w:r w:rsidRPr="00DC72DA">
        <w:rPr>
          <w:rStyle w:val="FootnoteReference"/>
          <w:sz w:val="24"/>
          <w:lang w:val="da-DK"/>
        </w:rPr>
        <w:footnoteRef/>
      </w:r>
      <w:r w:rsidR="00DC72DA" w:rsidRPr="00FE7F76">
        <w:rPr>
          <w:sz w:val="24"/>
          <w:lang w:val="fi-FI"/>
        </w:rPr>
        <w:t xml:space="preserve"> </w:t>
      </w:r>
      <w:r w:rsidR="00DC72DA" w:rsidRPr="00FE7F76">
        <w:rPr>
          <w:sz w:val="24"/>
          <w:lang w:val="fi-FI"/>
        </w:rPr>
        <w:tab/>
      </w:r>
      <w:r w:rsidRPr="00FE7F76">
        <w:rPr>
          <w:sz w:val="24"/>
          <w:lang w:val="fi-FI"/>
        </w:rPr>
        <w:t xml:space="preserve">EUT C, C/2024/6332, 24.10.2024, ELI: </w:t>
      </w:r>
      <w:hyperlink r:id="rId1" w:history="1">
        <w:r w:rsidRPr="00FE7F76">
          <w:rPr>
            <w:rStyle w:val="Hyperlink"/>
            <w:sz w:val="24"/>
            <w:lang w:val="fi-FI"/>
          </w:rPr>
          <w:t>http://data.europa.eu/eli/C/2024/6332/oj</w:t>
        </w:r>
      </w:hyperlink>
      <w:r w:rsidRPr="00FE7F76">
        <w:rPr>
          <w:sz w:val="24"/>
          <w:lang w:val="fi-FI"/>
        </w:rPr>
        <w:t>.</w:t>
      </w:r>
    </w:p>
  </w:footnote>
  <w:footnote w:id="2">
    <w:p w14:paraId="36580EDD" w14:textId="57E09FC7" w:rsidR="00A8062D" w:rsidRPr="00FE7F76" w:rsidRDefault="00A8062D" w:rsidP="00DC72DA">
      <w:pPr>
        <w:pStyle w:val="FootnoteText"/>
        <w:ind w:left="567" w:hanging="567"/>
        <w:rPr>
          <w:sz w:val="24"/>
          <w:lang w:val="fi-FI"/>
        </w:rPr>
      </w:pPr>
      <w:r w:rsidRPr="00DC72DA">
        <w:rPr>
          <w:rStyle w:val="FootnoteReference"/>
          <w:sz w:val="24"/>
          <w:lang w:val="da-DK"/>
        </w:rPr>
        <w:footnoteRef/>
      </w:r>
      <w:r w:rsidR="00DC72DA" w:rsidRPr="00FE7F76">
        <w:rPr>
          <w:sz w:val="24"/>
          <w:lang w:val="fi-FI"/>
        </w:rPr>
        <w:t xml:space="preserve"> </w:t>
      </w:r>
      <w:r w:rsidR="00DC72DA" w:rsidRPr="00FE7F76">
        <w:rPr>
          <w:sz w:val="24"/>
          <w:lang w:val="fi-FI"/>
        </w:rPr>
        <w:tab/>
      </w:r>
      <w:r w:rsidRPr="00FE7F76">
        <w:rPr>
          <w:sz w:val="24"/>
          <w:lang w:val="fi-FI"/>
        </w:rPr>
        <w:t xml:space="preserve">EUT C, C/2024/6041, 10.10.2024, ELI: </w:t>
      </w:r>
      <w:hyperlink r:id="rId2" w:history="1">
        <w:r w:rsidRPr="00FE7F76">
          <w:rPr>
            <w:rStyle w:val="Hyperlink"/>
            <w:sz w:val="24"/>
            <w:lang w:val="fi-FI"/>
          </w:rPr>
          <w:t>http://data.europa.eu/eli/C/2024/6041/oj</w:t>
        </w:r>
      </w:hyperlink>
      <w:r w:rsidRPr="00FE7F76">
        <w:rPr>
          <w:sz w:val="24"/>
          <w:lang w:val="fi-FI"/>
        </w:rPr>
        <w:t>.</w:t>
      </w:r>
    </w:p>
  </w:footnote>
  <w:footnote w:id="3">
    <w:p w14:paraId="6B3EF5FF" w14:textId="4DDE98A8" w:rsidR="00A8062D" w:rsidRPr="00386E64" w:rsidRDefault="00A8062D" w:rsidP="00DC72DA">
      <w:pPr>
        <w:pStyle w:val="FootnoteText"/>
        <w:ind w:left="567" w:hanging="567"/>
        <w:rPr>
          <w:sz w:val="24"/>
          <w:szCs w:val="24"/>
        </w:rPr>
      </w:pPr>
      <w:r w:rsidRPr="00386E64">
        <w:rPr>
          <w:rStyle w:val="FootnoteReference"/>
          <w:sz w:val="24"/>
          <w:szCs w:val="24"/>
          <w:lang w:val="da-DK"/>
        </w:rPr>
        <w:footnoteRef/>
      </w:r>
      <w:r w:rsidR="00DC72DA" w:rsidRPr="00386E64">
        <w:rPr>
          <w:sz w:val="24"/>
          <w:szCs w:val="24"/>
        </w:rPr>
        <w:t xml:space="preserve"> </w:t>
      </w:r>
      <w:r w:rsidR="00DC72DA" w:rsidRPr="00386E64">
        <w:rPr>
          <w:sz w:val="24"/>
          <w:szCs w:val="24"/>
        </w:rPr>
        <w:tab/>
      </w:r>
      <w:r w:rsidR="00D825B4" w:rsidRPr="00386E64">
        <w:rPr>
          <w:sz w:val="24"/>
          <w:szCs w:val="24"/>
        </w:rPr>
        <w:t xml:space="preserve">EUT L, </w:t>
      </w:r>
      <w:r w:rsidR="00386E64" w:rsidRPr="00386E64">
        <w:rPr>
          <w:sz w:val="24"/>
          <w:szCs w:val="24"/>
        </w:rPr>
        <w:t>2025/1663, 8.10.2025</w:t>
      </w:r>
      <w:r w:rsidR="00D825B4" w:rsidRPr="00386E64">
        <w:rPr>
          <w:sz w:val="24"/>
          <w:szCs w:val="24"/>
        </w:rPr>
        <w:t xml:space="preserve">, </w:t>
      </w:r>
      <w:proofErr w:type="gramStart"/>
      <w:r w:rsidR="00D825B4" w:rsidRPr="00386E64">
        <w:rPr>
          <w:sz w:val="24"/>
          <w:szCs w:val="24"/>
        </w:rPr>
        <w:t>ELI:</w:t>
      </w:r>
      <w:proofErr w:type="gramEnd"/>
      <w:r w:rsidR="00D825B4" w:rsidRPr="00386E64">
        <w:rPr>
          <w:sz w:val="24"/>
          <w:szCs w:val="24"/>
        </w:rPr>
        <w:t> </w:t>
      </w:r>
      <w:hyperlink r:id="rId3" w:tgtFrame="_blank" w:tooltip="Gives access to this document through its ELI URI." w:history="1">
        <w:r w:rsidR="00FF31C4" w:rsidRPr="00386E64">
          <w:rPr>
            <w:rStyle w:val="Hyperlink"/>
            <w:sz w:val="24"/>
            <w:szCs w:val="24"/>
          </w:rPr>
          <w:t>http://data.europa.eu/eli/dec/2025/1663/oj</w:t>
        </w:r>
      </w:hyperlink>
      <w:r w:rsidRPr="00386E64">
        <w:rPr>
          <w:sz w:val="24"/>
          <w:szCs w:val="24"/>
        </w:rPr>
        <w:t>.</w:t>
      </w:r>
    </w:p>
  </w:footnote>
  <w:footnote w:id="4">
    <w:p w14:paraId="69701CF0" w14:textId="213137A6"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 xml:space="preserve">EUT L 193 af 30.7.2018, s. 1, ELI: </w:t>
      </w:r>
      <w:hyperlink r:id="rId4" w:history="1">
        <w:r w:rsidRPr="00DC72DA">
          <w:rPr>
            <w:rStyle w:val="Hyperlink"/>
            <w:sz w:val="24"/>
            <w:lang w:val="da-DK"/>
          </w:rPr>
          <w:t>http://data.europa.eu/eli/reg/2018/1046/oj</w:t>
        </w:r>
      </w:hyperlink>
      <w:r w:rsidRPr="00DC72DA">
        <w:rPr>
          <w:sz w:val="24"/>
          <w:lang w:val="da-DK"/>
        </w:rPr>
        <w:t>.</w:t>
      </w:r>
    </w:p>
  </w:footnote>
  <w:footnote w:id="5">
    <w:p w14:paraId="0D131335" w14:textId="03F3A5F3" w:rsidR="00A8062D" w:rsidRPr="00FE7F76" w:rsidRDefault="00A8062D" w:rsidP="00DC72DA">
      <w:pPr>
        <w:pStyle w:val="FootnoteText"/>
        <w:ind w:left="567" w:hanging="567"/>
        <w:rPr>
          <w:sz w:val="24"/>
          <w:lang w:val="fi-FI"/>
        </w:rPr>
      </w:pPr>
      <w:r w:rsidRPr="00DC72DA">
        <w:rPr>
          <w:rStyle w:val="FootnoteReference"/>
          <w:sz w:val="24"/>
          <w:lang w:val="da-DK"/>
        </w:rPr>
        <w:footnoteRef/>
      </w:r>
      <w:r w:rsidR="00DC72DA" w:rsidRPr="00FE7F76">
        <w:rPr>
          <w:sz w:val="24"/>
          <w:lang w:val="fi-FI"/>
        </w:rPr>
        <w:t xml:space="preserve"> </w:t>
      </w:r>
      <w:r w:rsidR="00DC72DA" w:rsidRPr="00FE7F76">
        <w:rPr>
          <w:sz w:val="24"/>
          <w:lang w:val="fi-FI"/>
        </w:rPr>
        <w:tab/>
      </w:r>
      <w:r w:rsidRPr="00FE7F76">
        <w:rPr>
          <w:sz w:val="24"/>
          <w:lang w:val="fi-FI"/>
        </w:rPr>
        <w:t xml:space="preserve">EUT L, 2024/2509, 26.9.2024, ELI: </w:t>
      </w:r>
      <w:hyperlink r:id="rId5" w:history="1">
        <w:r w:rsidRPr="00FE7F76">
          <w:rPr>
            <w:rStyle w:val="Hyperlink"/>
            <w:sz w:val="24"/>
            <w:lang w:val="fi-FI"/>
          </w:rPr>
          <w:t>http://data.europa.eu/eli/reg/2024/2509/oj</w:t>
        </w:r>
      </w:hyperlink>
      <w:r w:rsidRPr="00FE7F76">
        <w:rPr>
          <w:sz w:val="24"/>
          <w:lang w:val="fi-FI"/>
        </w:rPr>
        <w:t>.</w:t>
      </w:r>
    </w:p>
  </w:footnote>
  <w:footnote w:id="6">
    <w:p w14:paraId="2FD4A0F0" w14:textId="0AD50A6B"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 xml:space="preserve">EUT L 132 af 29.5.2010, s. 11, ELI: </w:t>
      </w:r>
      <w:hyperlink r:id="rId6" w:history="1">
        <w:r w:rsidRPr="00DC72DA">
          <w:rPr>
            <w:rStyle w:val="Hyperlink"/>
            <w:sz w:val="24"/>
            <w:lang w:val="da-DK"/>
          </w:rPr>
          <w:t>http://data.europa.eu/eli/reg/2010/439/oj</w:t>
        </w:r>
      </w:hyperlink>
      <w:r w:rsidRPr="00DC72DA">
        <w:rPr>
          <w:sz w:val="24"/>
          <w:lang w:val="da-DK"/>
        </w:rPr>
        <w:t>.</w:t>
      </w:r>
    </w:p>
  </w:footnote>
  <w:footnote w:id="7">
    <w:p w14:paraId="0B2ED202" w14:textId="7B63881C"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 xml:space="preserve">EUT L 468 af 30.12.2021, s. 1, ELI: </w:t>
      </w:r>
      <w:hyperlink r:id="rId7" w:history="1">
        <w:r w:rsidRPr="00DC72DA">
          <w:rPr>
            <w:rStyle w:val="Hyperlink"/>
            <w:sz w:val="24"/>
            <w:lang w:val="da-DK"/>
          </w:rPr>
          <w:t>http://data.europa.eu/eli/reg/2021/2303/oj</w:t>
        </w:r>
      </w:hyperlink>
      <w:r w:rsidRPr="00DC72DA">
        <w:rPr>
          <w:sz w:val="24"/>
          <w:lang w:val="da-DK"/>
        </w:rPr>
        <w:t>.</w:t>
      </w:r>
    </w:p>
  </w:footnote>
  <w:footnote w:id="8">
    <w:p w14:paraId="1E3B60C2" w14:textId="4F8866E6"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 xml:space="preserve">EUT L 122 af 10.5.2019, s. 1, ELI: </w:t>
      </w:r>
      <w:hyperlink r:id="rId8" w:history="1">
        <w:r w:rsidRPr="00DC72DA">
          <w:rPr>
            <w:rStyle w:val="Hyperlink"/>
            <w:sz w:val="24"/>
            <w:lang w:val="da-DK"/>
          </w:rPr>
          <w:t>http://data.europa.eu/eli/reg_del/2019/715/oj</w:t>
        </w:r>
      </w:hyperlink>
      <w:r w:rsidRPr="00DC72DA">
        <w:rPr>
          <w:sz w:val="24"/>
          <w:lang w:val="da-DK"/>
        </w:rPr>
        <w:t>.</w:t>
      </w:r>
    </w:p>
  </w:footnote>
  <w:footnote w:id="9">
    <w:p w14:paraId="66FBB7A2" w14:textId="414B10C5" w:rsidR="00A8062D" w:rsidRPr="00FE7F76" w:rsidRDefault="00A8062D" w:rsidP="00DC72DA">
      <w:pPr>
        <w:pStyle w:val="FootnoteText"/>
        <w:ind w:left="567" w:hanging="567"/>
        <w:rPr>
          <w:sz w:val="24"/>
          <w:lang w:val="fi-FI"/>
        </w:rPr>
      </w:pPr>
      <w:r w:rsidRPr="00DC72DA">
        <w:rPr>
          <w:rStyle w:val="FootnoteReference"/>
          <w:sz w:val="24"/>
          <w:lang w:val="da-DK"/>
        </w:rPr>
        <w:footnoteRef/>
      </w:r>
      <w:r w:rsidR="00DC72DA" w:rsidRPr="00FE7F76">
        <w:rPr>
          <w:sz w:val="24"/>
          <w:lang w:val="fi-FI"/>
        </w:rPr>
        <w:t xml:space="preserve"> </w:t>
      </w:r>
      <w:r w:rsidR="00DC72DA" w:rsidRPr="00FE7F76">
        <w:rPr>
          <w:sz w:val="24"/>
          <w:lang w:val="fi-FI"/>
        </w:rPr>
        <w:tab/>
      </w:r>
      <w:r w:rsidRPr="00FE7F76">
        <w:rPr>
          <w:sz w:val="24"/>
          <w:lang w:val="fi-FI"/>
        </w:rPr>
        <w:t xml:space="preserve">EUT C, C/2024/6332, 24.10.2024, ELI: </w:t>
      </w:r>
      <w:hyperlink r:id="rId9" w:history="1">
        <w:r w:rsidRPr="00FE7F76">
          <w:rPr>
            <w:rStyle w:val="Hyperlink"/>
            <w:sz w:val="24"/>
            <w:lang w:val="fi-FI"/>
          </w:rPr>
          <w:t>http://data.europa.eu/eli/C/2024/6332/oj</w:t>
        </w:r>
      </w:hyperlink>
      <w:r w:rsidRPr="00FE7F76">
        <w:rPr>
          <w:sz w:val="24"/>
          <w:lang w:val="fi-FI"/>
        </w:rPr>
        <w:t>.</w:t>
      </w:r>
    </w:p>
  </w:footnote>
  <w:footnote w:id="10">
    <w:p w14:paraId="61C0B4CA" w14:textId="58C93B1C"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EUT C, C/2024/6041</w:t>
      </w:r>
      <w:r w:rsidR="00CD5B98">
        <w:rPr>
          <w:sz w:val="24"/>
          <w:lang w:val="da-DK"/>
        </w:rPr>
        <w:t>,</w:t>
      </w:r>
      <w:r w:rsidRPr="00DC72DA">
        <w:rPr>
          <w:sz w:val="24"/>
          <w:lang w:val="da-DK"/>
        </w:rPr>
        <w:t xml:space="preserve"> 10.10.2024, ELI: </w:t>
      </w:r>
      <w:hyperlink r:id="rId10" w:history="1">
        <w:r w:rsidRPr="00DC72DA">
          <w:rPr>
            <w:rStyle w:val="Hyperlink"/>
            <w:sz w:val="24"/>
            <w:lang w:val="da-DK"/>
          </w:rPr>
          <w:t>http://data.europa.eu/eli/C/2024/6041/oj</w:t>
        </w:r>
      </w:hyperlink>
      <w:r w:rsidRPr="00DC72DA">
        <w:rPr>
          <w:sz w:val="24"/>
          <w:lang w:val="da-DK"/>
        </w:rPr>
        <w:t>.</w:t>
      </w:r>
    </w:p>
  </w:footnote>
  <w:footnote w:id="11">
    <w:p w14:paraId="38E49BA6" w14:textId="18E139F1" w:rsidR="00A8062D" w:rsidRPr="00386E64" w:rsidRDefault="00A8062D" w:rsidP="00DC72DA">
      <w:pPr>
        <w:pStyle w:val="FootnoteText"/>
        <w:ind w:left="567" w:hanging="567"/>
        <w:rPr>
          <w:sz w:val="24"/>
          <w:szCs w:val="24"/>
        </w:rPr>
      </w:pPr>
      <w:r w:rsidRPr="00386E64">
        <w:rPr>
          <w:rStyle w:val="FootnoteReference"/>
          <w:sz w:val="24"/>
          <w:szCs w:val="24"/>
          <w:lang w:val="da-DK"/>
        </w:rPr>
        <w:footnoteRef/>
      </w:r>
      <w:r w:rsidR="00DC72DA" w:rsidRPr="00386E64">
        <w:rPr>
          <w:sz w:val="24"/>
          <w:szCs w:val="24"/>
        </w:rPr>
        <w:t xml:space="preserve"> </w:t>
      </w:r>
      <w:r w:rsidR="00DC72DA" w:rsidRPr="00386E64">
        <w:rPr>
          <w:sz w:val="24"/>
          <w:szCs w:val="24"/>
        </w:rPr>
        <w:tab/>
      </w:r>
      <w:r w:rsidR="00386E64" w:rsidRPr="00386E64">
        <w:rPr>
          <w:sz w:val="24"/>
          <w:szCs w:val="24"/>
        </w:rPr>
        <w:t>EUT L, 2025/1663, 8.10.2025</w:t>
      </w:r>
      <w:r w:rsidR="00BB5986" w:rsidRPr="00386E64">
        <w:rPr>
          <w:sz w:val="24"/>
          <w:szCs w:val="24"/>
        </w:rPr>
        <w:t xml:space="preserve">, </w:t>
      </w:r>
      <w:proofErr w:type="gramStart"/>
      <w:r w:rsidR="00BB5986" w:rsidRPr="00386E64">
        <w:rPr>
          <w:sz w:val="24"/>
          <w:szCs w:val="24"/>
        </w:rPr>
        <w:t>ELI:</w:t>
      </w:r>
      <w:proofErr w:type="gramEnd"/>
      <w:r w:rsidR="00BB5986" w:rsidRPr="00386E64">
        <w:rPr>
          <w:sz w:val="24"/>
          <w:szCs w:val="24"/>
        </w:rPr>
        <w:t> </w:t>
      </w:r>
      <w:hyperlink r:id="rId11" w:tgtFrame="_blank" w:tooltip="Gives access to this document through its ELI URI." w:history="1">
        <w:r w:rsidR="00FF31C4" w:rsidRPr="00386E64">
          <w:rPr>
            <w:rStyle w:val="Hyperlink"/>
            <w:sz w:val="24"/>
            <w:szCs w:val="24"/>
          </w:rPr>
          <w:t>http://data.europa.eu/eli/dec/2025/1663/oj</w:t>
        </w:r>
      </w:hyperlink>
      <w:r w:rsidRPr="00386E64">
        <w:rPr>
          <w:sz w:val="24"/>
          <w:szCs w:val="24"/>
        </w:rPr>
        <w:t>.</w:t>
      </w:r>
    </w:p>
  </w:footnote>
  <w:footnote w:id="12">
    <w:p w14:paraId="35340938" w14:textId="16B3EEFA"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 xml:space="preserve">EUT L 193 af 30.7.2018, s. 1, ELI: </w:t>
      </w:r>
      <w:hyperlink r:id="rId12" w:history="1">
        <w:r w:rsidRPr="00DC72DA">
          <w:rPr>
            <w:rStyle w:val="Hyperlink"/>
            <w:sz w:val="24"/>
            <w:lang w:val="da-DK"/>
          </w:rPr>
          <w:t>http://data.europa.eu/eli/reg/2018/1046/oj</w:t>
        </w:r>
      </w:hyperlink>
      <w:r w:rsidRPr="00DC72DA">
        <w:rPr>
          <w:sz w:val="24"/>
          <w:lang w:val="da-DK"/>
        </w:rPr>
        <w:t>.</w:t>
      </w:r>
    </w:p>
  </w:footnote>
  <w:footnote w:id="13">
    <w:p w14:paraId="285281FC" w14:textId="0FF0FCB5"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 xml:space="preserve">EUT L, </w:t>
      </w:r>
      <w:r w:rsidRPr="00DC72DA">
        <w:rPr>
          <w:sz w:val="24"/>
          <w:lang w:val="da-DK"/>
        </w:rPr>
        <w:t>2024/2509</w:t>
      </w:r>
      <w:r w:rsidR="00CD5B98">
        <w:rPr>
          <w:sz w:val="24"/>
          <w:lang w:val="da-DK"/>
        </w:rPr>
        <w:t>,</w:t>
      </w:r>
      <w:r w:rsidRPr="00DC72DA">
        <w:rPr>
          <w:sz w:val="24"/>
          <w:lang w:val="da-DK"/>
        </w:rPr>
        <w:t xml:space="preserve"> 26.9.2024, ELI: </w:t>
      </w:r>
      <w:hyperlink r:id="rId13" w:history="1">
        <w:r w:rsidRPr="00DC72DA">
          <w:rPr>
            <w:rStyle w:val="Hyperlink"/>
            <w:sz w:val="24"/>
            <w:lang w:val="da-DK"/>
          </w:rPr>
          <w:t>http://data.europa.eu/eli/reg/2024/2509/oj</w:t>
        </w:r>
      </w:hyperlink>
      <w:r w:rsidRPr="00DC72DA">
        <w:rPr>
          <w:sz w:val="24"/>
          <w:lang w:val="da-DK"/>
        </w:rPr>
        <w:t>.</w:t>
      </w:r>
    </w:p>
  </w:footnote>
  <w:footnote w:id="14">
    <w:p w14:paraId="005175D2" w14:textId="14746C0E"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 xml:space="preserve">EUT L 132 af 29.5.2010, s. 11, ELI: </w:t>
      </w:r>
      <w:hyperlink r:id="rId14" w:history="1">
        <w:r w:rsidRPr="00DC72DA">
          <w:rPr>
            <w:rStyle w:val="Hyperlink"/>
            <w:sz w:val="24"/>
            <w:lang w:val="da-DK"/>
          </w:rPr>
          <w:t>http://data.europa.eu/eli/reg/2010/439/oj</w:t>
        </w:r>
      </w:hyperlink>
      <w:r w:rsidRPr="00DC72DA">
        <w:rPr>
          <w:sz w:val="24"/>
          <w:lang w:val="da-DK"/>
        </w:rPr>
        <w:t>.</w:t>
      </w:r>
    </w:p>
  </w:footnote>
  <w:footnote w:id="15">
    <w:p w14:paraId="5021A186" w14:textId="3AE93739"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 xml:space="preserve">EUT L 468 af 30.12.2021, s. 1, ELI: </w:t>
      </w:r>
      <w:hyperlink r:id="rId15" w:history="1">
        <w:r w:rsidRPr="00DC72DA">
          <w:rPr>
            <w:rStyle w:val="Hyperlink"/>
            <w:sz w:val="24"/>
            <w:lang w:val="da-DK"/>
          </w:rPr>
          <w:t>http://data.europa.eu/eli/reg/2021/2303/oj</w:t>
        </w:r>
      </w:hyperlink>
      <w:r w:rsidRPr="00DC72DA">
        <w:rPr>
          <w:sz w:val="24"/>
          <w:lang w:val="da-DK"/>
        </w:rPr>
        <w:t>.</w:t>
      </w:r>
    </w:p>
  </w:footnote>
  <w:footnote w:id="16">
    <w:p w14:paraId="353E8047" w14:textId="16EF0A1A" w:rsidR="00A8062D" w:rsidRPr="00DC72DA" w:rsidRDefault="00A8062D" w:rsidP="00DC72DA">
      <w:pPr>
        <w:pStyle w:val="FootnoteText"/>
        <w:ind w:left="567" w:hanging="567"/>
        <w:rPr>
          <w:sz w:val="24"/>
          <w:lang w:val="da-DK"/>
        </w:rPr>
      </w:pPr>
      <w:r w:rsidRPr="00DC72DA">
        <w:rPr>
          <w:rStyle w:val="FootnoteReference"/>
          <w:sz w:val="24"/>
          <w:lang w:val="da-DK"/>
        </w:rPr>
        <w:footnoteRef/>
      </w:r>
      <w:r w:rsidR="00DC72DA" w:rsidRPr="00DC72DA">
        <w:rPr>
          <w:sz w:val="24"/>
          <w:lang w:val="da-DK"/>
        </w:rPr>
        <w:t xml:space="preserve"> </w:t>
      </w:r>
      <w:r w:rsidR="00DC72DA" w:rsidRPr="00DC72DA">
        <w:rPr>
          <w:sz w:val="24"/>
          <w:lang w:val="da-DK"/>
        </w:rPr>
        <w:tab/>
      </w:r>
      <w:r w:rsidRPr="00DC72DA">
        <w:rPr>
          <w:sz w:val="24"/>
          <w:lang w:val="da-DK"/>
        </w:rPr>
        <w:t xml:space="preserve">EUT L 122 af 10.5.2019, s. 1, ELI: </w:t>
      </w:r>
      <w:hyperlink r:id="rId16" w:history="1">
        <w:r w:rsidRPr="00DC72DA">
          <w:rPr>
            <w:rStyle w:val="Hyperlink"/>
            <w:sz w:val="24"/>
            <w:lang w:val="da-DK"/>
          </w:rPr>
          <w:t>http://data.europa.eu/eli/reg_del/2019/715/oj</w:t>
        </w:r>
      </w:hyperlink>
      <w:r w:rsidRPr="00DC72DA">
        <w:rPr>
          <w:sz w:val="24"/>
          <w:lang w:val="da-DK"/>
        </w:rPr>
        <w:t>.</w:t>
      </w:r>
    </w:p>
  </w:footnote>
  <w:footnote w:id="17">
    <w:p w14:paraId="24AF284D" w14:textId="5A785067" w:rsidR="00E67E99" w:rsidRPr="0071617F" w:rsidRDefault="00E67E99" w:rsidP="0071617F">
      <w:pPr>
        <w:pStyle w:val="FootnoteText"/>
        <w:ind w:left="567" w:hanging="567"/>
        <w:rPr>
          <w:sz w:val="24"/>
          <w:szCs w:val="24"/>
          <w:lang w:val="da-DK"/>
        </w:rPr>
      </w:pPr>
      <w:r w:rsidRPr="0071617F">
        <w:rPr>
          <w:rStyle w:val="FootnoteReference"/>
          <w:sz w:val="24"/>
          <w:szCs w:val="24"/>
        </w:rPr>
        <w:footnoteRef/>
      </w:r>
      <w:r w:rsidRPr="0071617F">
        <w:rPr>
          <w:sz w:val="24"/>
          <w:szCs w:val="24"/>
          <w:lang w:val="da-DK"/>
        </w:rPr>
        <w:t xml:space="preserve"> </w:t>
      </w:r>
      <w:r w:rsidRPr="0071617F">
        <w:rPr>
          <w:sz w:val="24"/>
          <w:szCs w:val="24"/>
          <w:lang w:val="da-DK"/>
        </w:rPr>
        <w:tab/>
      </w:r>
      <w:r w:rsidRPr="00E67E99">
        <w:rPr>
          <w:sz w:val="24"/>
          <w:szCs w:val="24"/>
          <w:lang w:val="da-DK"/>
        </w:rPr>
        <w:t>Europa-Parlamentets og Rådets forordning (EU) 2021/2303 af 15. december 2021 om Den Europæiske Unions Asylagentur og om ophævelse af forordning (EU) nr. 439/2010</w:t>
      </w:r>
      <w:r>
        <w:rPr>
          <w:sz w:val="24"/>
          <w:szCs w:val="24"/>
          <w:lang w:val="da-DK"/>
        </w:rPr>
        <w:t xml:space="preserve"> (</w:t>
      </w:r>
      <w:r w:rsidRPr="00E67E99">
        <w:rPr>
          <w:sz w:val="24"/>
          <w:szCs w:val="24"/>
          <w:lang w:val="da-DK"/>
        </w:rPr>
        <w:t>EUT L 468 af 30.12.2021, s. 1</w:t>
      </w:r>
      <w:r>
        <w:rPr>
          <w:sz w:val="24"/>
          <w:szCs w:val="24"/>
          <w:lang w:val="da-DK"/>
        </w:rPr>
        <w:t xml:space="preserve">, </w:t>
      </w:r>
      <w:r w:rsidRPr="00E67E99">
        <w:rPr>
          <w:sz w:val="24"/>
          <w:szCs w:val="24"/>
          <w:lang w:val="da-DK"/>
        </w:rPr>
        <w:t>ELI: </w:t>
      </w:r>
      <w:hyperlink r:id="rId17" w:tooltip="Giver adgang til dette dokument gennem dets ELI-URI." w:history="1">
        <w:r w:rsidRPr="00E67E99">
          <w:rPr>
            <w:rStyle w:val="Hyperlink"/>
            <w:sz w:val="24"/>
            <w:szCs w:val="24"/>
            <w:lang w:val="da-DK"/>
          </w:rPr>
          <w:t>http://data.europa.eu/eli/reg/2021/2303/oj</w:t>
        </w:r>
      </w:hyperlink>
      <w:r>
        <w:rPr>
          <w:sz w:val="24"/>
          <w:szCs w:val="24"/>
          <w:lang w:val="da-DK"/>
        </w:rPr>
        <w:t>).</w:t>
      </w:r>
    </w:p>
  </w:footnote>
  <w:footnote w:id="18">
    <w:p w14:paraId="39CBE98D" w14:textId="2DBA1618" w:rsidR="00A8062D" w:rsidRPr="00BB5986" w:rsidRDefault="00A8062D" w:rsidP="00DC72DA">
      <w:pPr>
        <w:pStyle w:val="FootnoteText"/>
        <w:ind w:left="567" w:hanging="567"/>
        <w:rPr>
          <w:sz w:val="24"/>
        </w:rPr>
      </w:pPr>
      <w:r w:rsidRPr="00DC72DA">
        <w:rPr>
          <w:rStyle w:val="FootnoteReference"/>
          <w:sz w:val="24"/>
          <w:lang w:val="da-DK"/>
        </w:rPr>
        <w:footnoteRef/>
      </w:r>
      <w:r w:rsidR="00DC72DA" w:rsidRPr="00BB5986">
        <w:rPr>
          <w:sz w:val="24"/>
        </w:rPr>
        <w:t xml:space="preserve"> </w:t>
      </w:r>
      <w:r w:rsidR="00DC72DA" w:rsidRPr="00BB5986">
        <w:rPr>
          <w:sz w:val="24"/>
        </w:rPr>
        <w:tab/>
      </w:r>
      <w:r w:rsidR="00D825B4" w:rsidRPr="00A16FEA">
        <w:rPr>
          <w:sz w:val="24"/>
          <w:szCs w:val="24"/>
        </w:rPr>
        <w:t xml:space="preserve">EUT L, 2025/1681, 8.10.2025, </w:t>
      </w:r>
      <w:proofErr w:type="gramStart"/>
      <w:r w:rsidR="00D825B4" w:rsidRPr="00A16FEA">
        <w:rPr>
          <w:sz w:val="24"/>
          <w:szCs w:val="24"/>
        </w:rPr>
        <w:t>ELI:</w:t>
      </w:r>
      <w:proofErr w:type="gramEnd"/>
      <w:r w:rsidR="00D825B4" w:rsidRPr="00A16FEA">
        <w:rPr>
          <w:sz w:val="24"/>
          <w:szCs w:val="24"/>
        </w:rPr>
        <w:t> </w:t>
      </w:r>
      <w:hyperlink r:id="rId18" w:tgtFrame="_blank" w:tooltip="Gives access to this document through its ELI URI." w:history="1">
        <w:r w:rsidR="00D825B4" w:rsidRPr="00A16FEA">
          <w:rPr>
            <w:rStyle w:val="Hyperlink"/>
            <w:sz w:val="24"/>
            <w:szCs w:val="24"/>
          </w:rPr>
          <w:t>http://data.europa.eu/eli/res/2025/1681/oj</w:t>
        </w:r>
      </w:hyperlink>
      <w:r w:rsidRPr="00BB5986">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8E338" w14:textId="77777777" w:rsidR="00DC72DA" w:rsidRPr="00DC72DA" w:rsidRDefault="00DC7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C63B3" w14:textId="77777777" w:rsidR="00DC72DA" w:rsidRPr="00DC72DA" w:rsidRDefault="00DC72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22ACA" w14:textId="77777777" w:rsidR="00DC72DA" w:rsidRPr="00DC72DA" w:rsidRDefault="00DC72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91A4B" w14:textId="77777777" w:rsidR="00064002" w:rsidRPr="00DC72D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778CC" w14:textId="77777777" w:rsidR="00064002" w:rsidRPr="00DC72D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1C150" w14:textId="77777777" w:rsidR="00064002" w:rsidRPr="00DC72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9008771">
    <w:abstractNumId w:val="9"/>
  </w:num>
  <w:num w:numId="2" w16cid:durableId="949701535">
    <w:abstractNumId w:val="9"/>
  </w:num>
  <w:num w:numId="3" w16cid:durableId="2101413320">
    <w:abstractNumId w:val="7"/>
  </w:num>
  <w:num w:numId="4" w16cid:durableId="955328888">
    <w:abstractNumId w:val="7"/>
  </w:num>
  <w:num w:numId="5" w16cid:durableId="572394791">
    <w:abstractNumId w:val="6"/>
  </w:num>
  <w:num w:numId="6" w16cid:durableId="1292327147">
    <w:abstractNumId w:val="6"/>
  </w:num>
  <w:num w:numId="7" w16cid:durableId="1776317030">
    <w:abstractNumId w:val="5"/>
  </w:num>
  <w:num w:numId="8" w16cid:durableId="1815679992">
    <w:abstractNumId w:val="5"/>
  </w:num>
  <w:num w:numId="9" w16cid:durableId="1481580352">
    <w:abstractNumId w:val="4"/>
  </w:num>
  <w:num w:numId="10" w16cid:durableId="202913256">
    <w:abstractNumId w:val="4"/>
  </w:num>
  <w:num w:numId="11" w16cid:durableId="592470049">
    <w:abstractNumId w:val="8"/>
  </w:num>
  <w:num w:numId="12" w16cid:durableId="39089917">
    <w:abstractNumId w:val="8"/>
  </w:num>
  <w:num w:numId="13" w16cid:durableId="1013147746">
    <w:abstractNumId w:val="3"/>
  </w:num>
  <w:num w:numId="14" w16cid:durableId="52394863">
    <w:abstractNumId w:val="3"/>
  </w:num>
  <w:num w:numId="15" w16cid:durableId="1028408228">
    <w:abstractNumId w:val="2"/>
  </w:num>
  <w:num w:numId="16" w16cid:durableId="270865478">
    <w:abstractNumId w:val="2"/>
  </w:num>
  <w:num w:numId="17" w16cid:durableId="1994290503">
    <w:abstractNumId w:val="1"/>
  </w:num>
  <w:num w:numId="18" w16cid:durableId="264850350">
    <w:abstractNumId w:val="1"/>
  </w:num>
  <w:num w:numId="19" w16cid:durableId="1297030762">
    <w:abstractNumId w:val="0"/>
  </w:num>
  <w:num w:numId="20" w16cid:durableId="1262682206">
    <w:abstractNumId w:val="0"/>
  </w:num>
  <w:num w:numId="21" w16cid:durableId="1760321828">
    <w:abstractNumId w:val="9"/>
  </w:num>
  <w:num w:numId="22" w16cid:durableId="167209496">
    <w:abstractNumId w:val="7"/>
  </w:num>
  <w:num w:numId="23" w16cid:durableId="2052996764">
    <w:abstractNumId w:val="6"/>
  </w:num>
  <w:num w:numId="24" w16cid:durableId="2028755064">
    <w:abstractNumId w:val="5"/>
  </w:num>
  <w:num w:numId="25" w16cid:durableId="1678770525">
    <w:abstractNumId w:val="4"/>
  </w:num>
  <w:num w:numId="26" w16cid:durableId="203520201">
    <w:abstractNumId w:val="8"/>
  </w:num>
  <w:num w:numId="27" w16cid:durableId="1736313980">
    <w:abstractNumId w:val="3"/>
  </w:num>
  <w:num w:numId="28" w16cid:durableId="1984191017">
    <w:abstractNumId w:val="2"/>
  </w:num>
  <w:num w:numId="29" w16cid:durableId="1934127651">
    <w:abstractNumId w:val="1"/>
  </w:num>
  <w:num w:numId="30" w16cid:durableId="809711150">
    <w:abstractNumId w:val="0"/>
  </w:num>
  <w:num w:numId="31" w16cid:durableId="217056403">
    <w:abstractNumId w:val="9"/>
  </w:num>
  <w:num w:numId="32" w16cid:durableId="1986280477">
    <w:abstractNumId w:val="7"/>
  </w:num>
  <w:num w:numId="33" w16cid:durableId="647904624">
    <w:abstractNumId w:val="6"/>
  </w:num>
  <w:num w:numId="34" w16cid:durableId="923758221">
    <w:abstractNumId w:val="5"/>
  </w:num>
  <w:num w:numId="35" w16cid:durableId="1545483480">
    <w:abstractNumId w:val="4"/>
  </w:num>
  <w:num w:numId="36" w16cid:durableId="1864434052">
    <w:abstractNumId w:val="8"/>
  </w:num>
  <w:num w:numId="37" w16cid:durableId="2129349284">
    <w:abstractNumId w:val="3"/>
  </w:num>
  <w:num w:numId="38" w16cid:durableId="805901134">
    <w:abstractNumId w:val="2"/>
  </w:num>
  <w:num w:numId="39" w16cid:durableId="1276908632">
    <w:abstractNumId w:val="1"/>
  </w:num>
  <w:num w:numId="40" w16cid:durableId="1697542697">
    <w:abstractNumId w:val="0"/>
  </w:num>
  <w:num w:numId="41" w16cid:durableId="814833513">
    <w:abstractNumId w:val="10"/>
  </w:num>
  <w:num w:numId="42" w16cid:durableId="1649630502">
    <w:abstractNumId w:val="10"/>
  </w:num>
  <w:num w:numId="43" w16cid:durableId="2147239653">
    <w:abstractNumId w:val="10"/>
  </w:num>
  <w:num w:numId="44" w16cid:durableId="15475227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DA"/>
    <w:docVar w:name="dvnumam" w:val="0"/>
    <w:docVar w:name="dvpe" w:val="774.259"/>
    <w:docVar w:name="dvrapporteur" w:val="Ordfører: "/>
    <w:docVar w:name="dvtitre" w:val="Europa-Parlamentets afgørelse af xx.xx 2025 om decharge for gennemførelsen af budgettet for Den Europæiske Unions agenturer for regnskabsåret 2023(2024/2030(DEC))"/>
  </w:docVars>
  <w:rsids>
    <w:rsidRoot w:val="00A40144"/>
    <w:rsid w:val="00002272"/>
    <w:rsid w:val="0005738A"/>
    <w:rsid w:val="00064002"/>
    <w:rsid w:val="000677B9"/>
    <w:rsid w:val="00080525"/>
    <w:rsid w:val="000831BA"/>
    <w:rsid w:val="000A42CC"/>
    <w:rsid w:val="000A6304"/>
    <w:rsid w:val="000E7DD9"/>
    <w:rsid w:val="0010095E"/>
    <w:rsid w:val="00125B37"/>
    <w:rsid w:val="00151070"/>
    <w:rsid w:val="00187494"/>
    <w:rsid w:val="001F32AE"/>
    <w:rsid w:val="002767FF"/>
    <w:rsid w:val="002B18FE"/>
    <w:rsid w:val="002B5493"/>
    <w:rsid w:val="00343214"/>
    <w:rsid w:val="00361C00"/>
    <w:rsid w:val="00386E64"/>
    <w:rsid w:val="00395FA1"/>
    <w:rsid w:val="003B3893"/>
    <w:rsid w:val="003E15D4"/>
    <w:rsid w:val="00411CCE"/>
    <w:rsid w:val="00411F11"/>
    <w:rsid w:val="0041666E"/>
    <w:rsid w:val="00421060"/>
    <w:rsid w:val="00471C19"/>
    <w:rsid w:val="004867E3"/>
    <w:rsid w:val="00494A28"/>
    <w:rsid w:val="004C0004"/>
    <w:rsid w:val="004C226F"/>
    <w:rsid w:val="004C5D52"/>
    <w:rsid w:val="0050519A"/>
    <w:rsid w:val="005072A1"/>
    <w:rsid w:val="00513D33"/>
    <w:rsid w:val="00514517"/>
    <w:rsid w:val="00545827"/>
    <w:rsid w:val="00560270"/>
    <w:rsid w:val="00596B01"/>
    <w:rsid w:val="005C2568"/>
    <w:rsid w:val="005F1B17"/>
    <w:rsid w:val="006037C0"/>
    <w:rsid w:val="006631B6"/>
    <w:rsid w:val="00680577"/>
    <w:rsid w:val="006F74FA"/>
    <w:rsid w:val="00715D77"/>
    <w:rsid w:val="0071617F"/>
    <w:rsid w:val="00731ADD"/>
    <w:rsid w:val="00734777"/>
    <w:rsid w:val="00747932"/>
    <w:rsid w:val="00751A4A"/>
    <w:rsid w:val="00756632"/>
    <w:rsid w:val="00762C74"/>
    <w:rsid w:val="00763FD8"/>
    <w:rsid w:val="00786EC0"/>
    <w:rsid w:val="007D1690"/>
    <w:rsid w:val="007E22AD"/>
    <w:rsid w:val="007E3079"/>
    <w:rsid w:val="00806CF9"/>
    <w:rsid w:val="00817416"/>
    <w:rsid w:val="008311D5"/>
    <w:rsid w:val="00842779"/>
    <w:rsid w:val="00865F67"/>
    <w:rsid w:val="00881A7B"/>
    <w:rsid w:val="008840E5"/>
    <w:rsid w:val="00887B3E"/>
    <w:rsid w:val="008C2AC6"/>
    <w:rsid w:val="00930C23"/>
    <w:rsid w:val="0093193B"/>
    <w:rsid w:val="009509D8"/>
    <w:rsid w:val="00950B64"/>
    <w:rsid w:val="00981893"/>
    <w:rsid w:val="00A1687D"/>
    <w:rsid w:val="00A40144"/>
    <w:rsid w:val="00A43E52"/>
    <w:rsid w:val="00A45196"/>
    <w:rsid w:val="00A4678D"/>
    <w:rsid w:val="00A778C7"/>
    <w:rsid w:val="00A8062D"/>
    <w:rsid w:val="00A93093"/>
    <w:rsid w:val="00AA70FB"/>
    <w:rsid w:val="00AB441E"/>
    <w:rsid w:val="00AB6293"/>
    <w:rsid w:val="00AE0928"/>
    <w:rsid w:val="00AF3B82"/>
    <w:rsid w:val="00B12E95"/>
    <w:rsid w:val="00B22876"/>
    <w:rsid w:val="00B558F0"/>
    <w:rsid w:val="00BB5986"/>
    <w:rsid w:val="00BD48FE"/>
    <w:rsid w:val="00BD7BD8"/>
    <w:rsid w:val="00BE6ADC"/>
    <w:rsid w:val="00C05BFE"/>
    <w:rsid w:val="00C23CD4"/>
    <w:rsid w:val="00C61C0C"/>
    <w:rsid w:val="00C941CB"/>
    <w:rsid w:val="00CC2357"/>
    <w:rsid w:val="00CD5B98"/>
    <w:rsid w:val="00CF071A"/>
    <w:rsid w:val="00D058B8"/>
    <w:rsid w:val="00D56C11"/>
    <w:rsid w:val="00D825B4"/>
    <w:rsid w:val="00D834A0"/>
    <w:rsid w:val="00D872DF"/>
    <w:rsid w:val="00D87D86"/>
    <w:rsid w:val="00D91E21"/>
    <w:rsid w:val="00DA7FCD"/>
    <w:rsid w:val="00DC72DA"/>
    <w:rsid w:val="00E365E1"/>
    <w:rsid w:val="00E67E99"/>
    <w:rsid w:val="00E76F10"/>
    <w:rsid w:val="00E820A4"/>
    <w:rsid w:val="00EB006A"/>
    <w:rsid w:val="00EB4772"/>
    <w:rsid w:val="00ED169E"/>
    <w:rsid w:val="00ED4235"/>
    <w:rsid w:val="00EF4124"/>
    <w:rsid w:val="00F04346"/>
    <w:rsid w:val="00F075DC"/>
    <w:rsid w:val="00F149E9"/>
    <w:rsid w:val="00F5134D"/>
    <w:rsid w:val="00F74202"/>
    <w:rsid w:val="00F87713"/>
    <w:rsid w:val="00FB4360"/>
    <w:rsid w:val="00FD0C70"/>
    <w:rsid w:val="00FE7F76"/>
    <w:rsid w:val="00FF31C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3A9A3"/>
  <w15:chartTrackingRefBased/>
  <w15:docId w15:val="{86D291FC-1B68-419C-A0F6-49E12E1D2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062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062D"/>
    <w:pPr>
      <w:spacing w:before="480" w:after="240"/>
    </w:pPr>
  </w:style>
  <w:style w:type="paragraph" w:customStyle="1" w:styleId="NormalBold">
    <w:name w:val="NormalBold"/>
    <w:basedOn w:val="Normal"/>
    <w:rsid w:val="00A8062D"/>
    <w:rPr>
      <w:b/>
    </w:rPr>
  </w:style>
  <w:style w:type="paragraph" w:customStyle="1" w:styleId="NormalHanging12a">
    <w:name w:val="NormalHanging12a"/>
    <w:basedOn w:val="Normal"/>
    <w:link w:val="NormalHanging12aChar"/>
    <w:rsid w:val="00A8062D"/>
    <w:pPr>
      <w:spacing w:after="240"/>
      <w:ind w:left="567" w:hanging="567"/>
    </w:pPr>
  </w:style>
  <w:style w:type="paragraph" w:customStyle="1" w:styleId="EPFooter">
    <w:name w:val="EPFooter"/>
    <w:basedOn w:val="Normal"/>
    <w:rsid w:val="00A8062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8062D"/>
    <w:rPr>
      <w:sz w:val="24"/>
      <w:lang w:val="da-DK"/>
    </w:rPr>
  </w:style>
  <w:style w:type="paragraph" w:customStyle="1" w:styleId="PageHeadingDec">
    <w:name w:val="PageHeadingDec"/>
    <w:basedOn w:val="Normal"/>
    <w:link w:val="PageHeadingDecChar"/>
    <w:qFormat/>
    <w:rsid w:val="00A8062D"/>
    <w:pPr>
      <w:keepNext/>
      <w:spacing w:after="480"/>
      <w:jc w:val="center"/>
    </w:pPr>
    <w:rPr>
      <w:rFonts w:cs="Arial"/>
      <w:b/>
    </w:rPr>
  </w:style>
  <w:style w:type="character" w:customStyle="1" w:styleId="PageHeadingDecChar">
    <w:name w:val="PageHeadingDec Char"/>
    <w:basedOn w:val="DefaultParagraphFont"/>
    <w:link w:val="PageHeadingDec"/>
    <w:rsid w:val="00A8062D"/>
    <w:rPr>
      <w:rFonts w:cs="Arial"/>
      <w:b/>
      <w:sz w:val="24"/>
      <w:lang w:val="da-DK"/>
    </w:rPr>
  </w:style>
  <w:style w:type="paragraph" w:customStyle="1" w:styleId="PageHeadingNotTOC">
    <w:name w:val="PageHeadingNotTOC"/>
    <w:basedOn w:val="Normal"/>
    <w:rsid w:val="00A8062D"/>
    <w:pPr>
      <w:keepNext/>
      <w:spacing w:after="480"/>
      <w:jc w:val="center"/>
    </w:pPr>
    <w:rPr>
      <w:rFonts w:ascii="Arial" w:hAnsi="Arial" w:cs="Arial"/>
      <w:b/>
    </w:rPr>
  </w:style>
  <w:style w:type="paragraph" w:styleId="Footer">
    <w:name w:val="footer"/>
    <w:basedOn w:val="Normal"/>
    <w:link w:val="FooterChar"/>
    <w:uiPriority w:val="99"/>
    <w:rsid w:val="00A8062D"/>
    <w:pPr>
      <w:tabs>
        <w:tab w:val="center" w:pos="4513"/>
        <w:tab w:val="right" w:pos="9026"/>
      </w:tabs>
    </w:pPr>
  </w:style>
  <w:style w:type="character" w:customStyle="1" w:styleId="FooterChar">
    <w:name w:val="Footer Char"/>
    <w:basedOn w:val="DefaultParagraphFont"/>
    <w:link w:val="Footer"/>
    <w:uiPriority w:val="99"/>
    <w:rsid w:val="00A8062D"/>
    <w:rPr>
      <w:sz w:val="24"/>
      <w:lang w:val="da-DK"/>
    </w:rPr>
  </w:style>
  <w:style w:type="character" w:styleId="Hyperlink">
    <w:name w:val="Hyperlink"/>
    <w:basedOn w:val="DefaultParagraphFont"/>
    <w:uiPriority w:val="99"/>
    <w:rsid w:val="00A8062D"/>
    <w:rPr>
      <w:color w:val="0563C1" w:themeColor="hyperlink"/>
      <w:u w:val="single"/>
    </w:rPr>
  </w:style>
  <w:style w:type="paragraph" w:customStyle="1" w:styleId="CM1">
    <w:name w:val="CM1"/>
    <w:basedOn w:val="Normal"/>
    <w:next w:val="Normal"/>
    <w:rsid w:val="00A8062D"/>
    <w:pPr>
      <w:widowControl/>
      <w:autoSpaceDE w:val="0"/>
      <w:autoSpaceDN w:val="0"/>
      <w:adjustRightInd w:val="0"/>
    </w:pPr>
    <w:rPr>
      <w:rFonts w:ascii="EUAlbertina" w:hAnsi="EUAlbertina"/>
      <w:szCs w:val="24"/>
    </w:rPr>
  </w:style>
  <w:style w:type="paragraph" w:styleId="Header">
    <w:name w:val="header"/>
    <w:basedOn w:val="Normal"/>
    <w:link w:val="HeaderChar"/>
    <w:rsid w:val="00DC72DA"/>
    <w:pPr>
      <w:tabs>
        <w:tab w:val="center" w:pos="4513"/>
        <w:tab w:val="right" w:pos="9026"/>
      </w:tabs>
    </w:pPr>
  </w:style>
  <w:style w:type="character" w:customStyle="1" w:styleId="HeaderChar">
    <w:name w:val="Header Char"/>
    <w:basedOn w:val="DefaultParagraphFont"/>
    <w:link w:val="Header"/>
    <w:rsid w:val="00DC72DA"/>
    <w:rPr>
      <w:sz w:val="24"/>
      <w:lang w:val="da-DK"/>
    </w:rPr>
  </w:style>
  <w:style w:type="paragraph" w:styleId="Revision">
    <w:name w:val="Revision"/>
    <w:hidden/>
    <w:uiPriority w:val="99"/>
    <w:semiHidden/>
    <w:rsid w:val="00806CF9"/>
    <w:rPr>
      <w:sz w:val="24"/>
      <w:lang w:val="da-DK"/>
    </w:rPr>
  </w:style>
  <w:style w:type="character" w:styleId="CommentReference">
    <w:name w:val="annotation reference"/>
    <w:basedOn w:val="DefaultParagraphFont"/>
    <w:rsid w:val="00EF4124"/>
    <w:rPr>
      <w:sz w:val="16"/>
      <w:szCs w:val="16"/>
    </w:rPr>
  </w:style>
  <w:style w:type="paragraph" w:styleId="CommentText">
    <w:name w:val="annotation text"/>
    <w:basedOn w:val="Normal"/>
    <w:link w:val="CommentTextChar"/>
    <w:rsid w:val="00EF4124"/>
    <w:rPr>
      <w:sz w:val="20"/>
    </w:rPr>
  </w:style>
  <w:style w:type="character" w:customStyle="1" w:styleId="CommentTextChar">
    <w:name w:val="Comment Text Char"/>
    <w:basedOn w:val="DefaultParagraphFont"/>
    <w:link w:val="CommentText"/>
    <w:rsid w:val="00EF4124"/>
    <w:rPr>
      <w:lang w:val="da-DK"/>
    </w:rPr>
  </w:style>
  <w:style w:type="paragraph" w:styleId="CommentSubject">
    <w:name w:val="annotation subject"/>
    <w:basedOn w:val="CommentText"/>
    <w:next w:val="CommentText"/>
    <w:link w:val="CommentSubjectChar"/>
    <w:rsid w:val="00EF4124"/>
    <w:rPr>
      <w:b/>
      <w:bCs/>
    </w:rPr>
  </w:style>
  <w:style w:type="character" w:customStyle="1" w:styleId="CommentSubjectChar">
    <w:name w:val="Comment Subject Char"/>
    <w:basedOn w:val="CommentTextChar"/>
    <w:link w:val="CommentSubject"/>
    <w:rsid w:val="00EF4124"/>
    <w:rPr>
      <w:b/>
      <w:bCs/>
      <w:lang w:val="da-DK"/>
    </w:rPr>
  </w:style>
  <w:style w:type="character" w:styleId="UnresolvedMention">
    <w:name w:val="Unresolved Mention"/>
    <w:basedOn w:val="DefaultParagraphFont"/>
    <w:uiPriority w:val="99"/>
    <w:semiHidden/>
    <w:unhideWhenUsed/>
    <w:rsid w:val="00E67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2920</Words>
  <Characters>18656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2025-11-25T08:45:00Z</dcterms:created>
  <dcterms:modified xsi:type="dcterms:W3CDTF">2025-11-25T08:45:00Z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P10_TA(2025)0246_</vt:lpwstr>
  </property>
  <property fmtid="{D5CDD505-2E9C-101B-9397-08002B2CF9AE}" pid="4" name="&lt;Type&gt;">
    <vt:lpwstr>RR</vt:lpwstr>
  </property>
</Properties>
</file>