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3721" w14:paraId="4FF17C74" w14:textId="77777777" w:rsidTr="0010095E">
        <w:trPr>
          <w:trHeight w:hRule="exact" w:val="1418"/>
        </w:trPr>
        <w:tc>
          <w:tcPr>
            <w:tcW w:w="6804" w:type="dxa"/>
            <w:shd w:val="clear" w:color="auto" w:fill="auto"/>
            <w:vAlign w:val="center"/>
          </w:tcPr>
          <w:p w14:paraId="7B19FBA7" w14:textId="77777777" w:rsidR="00751A4A" w:rsidRPr="00EC3721" w:rsidRDefault="001D43A7" w:rsidP="0010095E">
            <w:pPr>
              <w:pStyle w:val="EPName"/>
            </w:pPr>
            <w:r w:rsidRPr="00EC3721">
              <w:t>Euroopa Parlament</w:t>
            </w:r>
          </w:p>
          <w:p w14:paraId="2ED82A7C" w14:textId="77777777" w:rsidR="00751A4A" w:rsidRPr="00EC3721" w:rsidRDefault="005F1B17" w:rsidP="005F1B17">
            <w:pPr>
              <w:pStyle w:val="EPTerm"/>
              <w:rPr>
                <w:rStyle w:val="HideTWBExt"/>
                <w:noProof w:val="0"/>
                <w:vanish w:val="0"/>
                <w:color w:val="auto"/>
              </w:rPr>
            </w:pPr>
            <w:r w:rsidRPr="00EC3721">
              <w:t>2024</w:t>
            </w:r>
            <w:r w:rsidR="00817416" w:rsidRPr="00EC3721">
              <w:t>-202</w:t>
            </w:r>
            <w:r w:rsidRPr="00EC3721">
              <w:t>9</w:t>
            </w:r>
          </w:p>
        </w:tc>
        <w:tc>
          <w:tcPr>
            <w:tcW w:w="2268" w:type="dxa"/>
            <w:shd w:val="clear" w:color="auto" w:fill="auto"/>
          </w:tcPr>
          <w:p w14:paraId="35E2916B" w14:textId="77777777" w:rsidR="00751A4A" w:rsidRPr="00EC3721" w:rsidRDefault="00187494" w:rsidP="0010095E">
            <w:pPr>
              <w:pStyle w:val="EPLogo"/>
            </w:pPr>
            <w:r w:rsidRPr="00EC3721">
              <w:rPr>
                <w:noProof/>
                <w:lang w:eastAsia="ja-JP"/>
              </w:rPr>
              <w:drawing>
                <wp:inline distT="0" distB="0" distL="0" distR="0" wp14:anchorId="270A7FA1" wp14:editId="58CF02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404C06" w14:textId="77777777" w:rsidR="00D058B8" w:rsidRPr="00EC3721" w:rsidRDefault="00D058B8" w:rsidP="004C5D52">
      <w:pPr>
        <w:pStyle w:val="LineTop"/>
      </w:pPr>
    </w:p>
    <w:p w14:paraId="03B172E0" w14:textId="77777777" w:rsidR="00680577" w:rsidRPr="00EC3721" w:rsidRDefault="001D43A7" w:rsidP="00680577">
      <w:pPr>
        <w:pStyle w:val="EPBodyTA1"/>
      </w:pPr>
      <w:r w:rsidRPr="00EC3721">
        <w:t>VASTUVÕETUD TEKSTID</w:t>
      </w:r>
    </w:p>
    <w:p w14:paraId="4990B60B" w14:textId="77777777" w:rsidR="00D058B8" w:rsidRPr="00EC3721" w:rsidRDefault="00D058B8" w:rsidP="00D058B8">
      <w:pPr>
        <w:pStyle w:val="LineBottom"/>
      </w:pPr>
    </w:p>
    <w:p w14:paraId="4FA4A674" w14:textId="44438488" w:rsidR="001D43A7" w:rsidRPr="00EC3721" w:rsidRDefault="001D43A7" w:rsidP="001D43A7">
      <w:pPr>
        <w:pStyle w:val="ATHeading1"/>
      </w:pPr>
      <w:bookmarkStart w:id="0" w:name="TANumber"/>
      <w:r w:rsidRPr="00EC3721">
        <w:t>P10_TA(2025)0</w:t>
      </w:r>
      <w:bookmarkEnd w:id="0"/>
      <w:r w:rsidR="00E357CF" w:rsidRPr="00EC3721">
        <w:t>246</w:t>
      </w:r>
    </w:p>
    <w:p w14:paraId="7A927D8A" w14:textId="77777777" w:rsidR="001D43A7" w:rsidRPr="00EC3721" w:rsidRDefault="001D43A7" w:rsidP="001D43A7">
      <w:pPr>
        <w:pStyle w:val="ATHeading2"/>
      </w:pPr>
      <w:bookmarkStart w:id="1" w:name="title"/>
      <w:r w:rsidRPr="00EC3721">
        <w:t xml:space="preserve">2023. aasta eelarve täitmisele heakskiidu andmine: ELi </w:t>
      </w:r>
      <w:proofErr w:type="spellStart"/>
      <w:r w:rsidRPr="00EC3721">
        <w:t>üldeelarve</w:t>
      </w:r>
      <w:proofErr w:type="spellEnd"/>
      <w:r w:rsidRPr="00EC3721">
        <w:t xml:space="preserve"> – Euroopa Liidu asutused</w:t>
      </w:r>
      <w:bookmarkEnd w:id="1"/>
    </w:p>
    <w:p w14:paraId="60E70952" w14:textId="77777777" w:rsidR="001D43A7" w:rsidRPr="00EC3721" w:rsidRDefault="001D43A7" w:rsidP="001D43A7">
      <w:pPr>
        <w:rPr>
          <w:i/>
          <w:vanish/>
        </w:rPr>
      </w:pPr>
      <w:r w:rsidRPr="00EC3721">
        <w:rPr>
          <w:i/>
        </w:rPr>
        <w:fldChar w:fldCharType="begin"/>
      </w:r>
      <w:r w:rsidRPr="00EC3721">
        <w:rPr>
          <w:i/>
        </w:rPr>
        <w:instrText xml:space="preserve"> TC"(</w:instrText>
      </w:r>
      <w:bookmarkStart w:id="2" w:name="DocNumber"/>
      <w:r w:rsidRPr="00EC3721">
        <w:rPr>
          <w:i/>
        </w:rPr>
        <w:instrText>A10-0169/2025</w:instrText>
      </w:r>
      <w:bookmarkEnd w:id="2"/>
      <w:r w:rsidRPr="00EC3721">
        <w:rPr>
          <w:i/>
        </w:rPr>
        <w:instrText xml:space="preserve"> - Raportöör: Erik Marquardt)"\l3 \n&gt; \* MERGEFORMAT </w:instrText>
      </w:r>
      <w:r w:rsidRPr="00EC3721">
        <w:rPr>
          <w:i/>
        </w:rPr>
        <w:fldChar w:fldCharType="end"/>
      </w:r>
    </w:p>
    <w:p w14:paraId="1A5D881A" w14:textId="77777777" w:rsidR="001D43A7" w:rsidRPr="00EC3721" w:rsidRDefault="001D43A7" w:rsidP="001D43A7">
      <w:pPr>
        <w:rPr>
          <w:vanish/>
        </w:rPr>
      </w:pPr>
      <w:bookmarkStart w:id="3" w:name="Commission"/>
      <w:r w:rsidRPr="00EC3721">
        <w:rPr>
          <w:vanish/>
        </w:rPr>
        <w:t>Eelarvekontrollikomisjon</w:t>
      </w:r>
      <w:bookmarkEnd w:id="3"/>
    </w:p>
    <w:p w14:paraId="113B03D9" w14:textId="77777777" w:rsidR="001D43A7" w:rsidRPr="00EC3721" w:rsidRDefault="001D43A7" w:rsidP="001D43A7">
      <w:pPr>
        <w:rPr>
          <w:vanish/>
        </w:rPr>
      </w:pPr>
      <w:bookmarkStart w:id="4" w:name="PE"/>
      <w:r w:rsidRPr="00EC3721">
        <w:rPr>
          <w:vanish/>
        </w:rPr>
        <w:t>PE774.259</w:t>
      </w:r>
      <w:bookmarkEnd w:id="4"/>
    </w:p>
    <w:p w14:paraId="05A4A3E9" w14:textId="236690DB" w:rsidR="001D43A7" w:rsidRPr="00EC3721" w:rsidRDefault="005A3463" w:rsidP="005A3463">
      <w:pPr>
        <w:pStyle w:val="ATHeading3"/>
      </w:pPr>
      <w:bookmarkStart w:id="5" w:name="Sujet"/>
      <w:r w:rsidRPr="00EC3721">
        <w:t xml:space="preserve">1. </w:t>
      </w:r>
      <w:r w:rsidR="001D43A7" w:rsidRPr="00EC3721">
        <w:t xml:space="preserve">Euroopa Parlamendi </w:t>
      </w:r>
      <w:r w:rsidRPr="00EC3721">
        <w:t>22</w:t>
      </w:r>
      <w:r w:rsidR="001D43A7" w:rsidRPr="00EC3721">
        <w:t>.</w:t>
      </w:r>
      <w:r w:rsidRPr="00EC3721">
        <w:t> oktoobri</w:t>
      </w:r>
      <w:r w:rsidR="001D43A7" w:rsidRPr="00EC3721">
        <w:t xml:space="preserve"> 2025.</w:t>
      </w:r>
      <w:r w:rsidRPr="00EC3721">
        <w:t> </w:t>
      </w:r>
      <w:r w:rsidR="001D43A7" w:rsidRPr="00EC3721">
        <w:t xml:space="preserve">aasta otsus Euroopa Liidu </w:t>
      </w:r>
      <w:r w:rsidR="0036295E">
        <w:t xml:space="preserve">Varjupaigaameti </w:t>
      </w:r>
      <w:r w:rsidR="001D43A7" w:rsidRPr="00EC3721">
        <w:t>2023. aasta eelarve täitmisele heakskiidu andmise kohta</w:t>
      </w:r>
      <w:bookmarkEnd w:id="5"/>
      <w:r w:rsidR="001D43A7" w:rsidRPr="00EC3721">
        <w:t xml:space="preserve"> </w:t>
      </w:r>
      <w:bookmarkStart w:id="6" w:name="References"/>
      <w:r w:rsidR="001D43A7" w:rsidRPr="00EC3721">
        <w:t>(2024/2030(DEC))</w:t>
      </w:r>
      <w:bookmarkEnd w:id="6"/>
    </w:p>
    <w:p w14:paraId="30041FE7" w14:textId="77777777" w:rsidR="000F474C" w:rsidRPr="00EC3721" w:rsidRDefault="000F474C" w:rsidP="000F474C">
      <w:pPr>
        <w:pStyle w:val="EPComma"/>
      </w:pPr>
      <w:bookmarkStart w:id="7" w:name="TextBodyBegin"/>
      <w:bookmarkEnd w:id="7"/>
      <w:r w:rsidRPr="00EC3721">
        <w:rPr>
          <w:i/>
        </w:rPr>
        <w:t>Euroopa Parlament,</w:t>
      </w:r>
    </w:p>
    <w:p w14:paraId="2948A27B" w14:textId="77777777" w:rsidR="000F474C" w:rsidRPr="00EC3721" w:rsidRDefault="000F474C" w:rsidP="000F474C">
      <w:pPr>
        <w:pStyle w:val="NormalHanging12a"/>
      </w:pPr>
      <w:r w:rsidRPr="00EC3721">
        <w:t>–</w:t>
      </w:r>
      <w:r w:rsidRPr="00EC3721">
        <w:tab/>
        <w:t>võttes arvesse Euroopa Liidu Varjupaigaameti 2023. aasta lõplikku raamatupidamisaruannet,</w:t>
      </w:r>
    </w:p>
    <w:p w14:paraId="628E200C" w14:textId="77777777" w:rsidR="000F474C" w:rsidRPr="00EC3721" w:rsidRDefault="000F474C" w:rsidP="000F474C">
      <w:pPr>
        <w:pStyle w:val="NormalHanging12a"/>
      </w:pPr>
      <w:r w:rsidRPr="00EC3721">
        <w:t>–</w:t>
      </w:r>
      <w:r w:rsidRPr="00EC3721">
        <w:tab/>
        <w:t>võttes arvesse kontrollikoja aastaaruannet ELi asutuste eelarveaasta 2023 kohta koos asutuste vastustega</w:t>
      </w:r>
      <w:r w:rsidRPr="00EC3721">
        <w:rPr>
          <w:rStyle w:val="FootnoteReference"/>
        </w:rPr>
        <w:footnoteReference w:id="1"/>
      </w:r>
      <w:r w:rsidRPr="00EC3721">
        <w:t>,</w:t>
      </w:r>
    </w:p>
    <w:p w14:paraId="017064A0" w14:textId="77777777" w:rsidR="000F474C" w:rsidRPr="00EC3721" w:rsidRDefault="000F474C" w:rsidP="000F474C">
      <w:pPr>
        <w:pStyle w:val="NormalHanging12a"/>
      </w:pPr>
      <w:r w:rsidRPr="00EC3721">
        <w:t>–</w:t>
      </w:r>
      <w:r w:rsidRPr="00EC3721">
        <w:tab/>
        <w:t>võttes arvesse vastavalt Euroopa Liidu toimimise lepingu artiklile 287 tehtud kontrollikoja kinnitavat avaldust</w:t>
      </w:r>
      <w:r w:rsidRPr="00EC3721">
        <w:rPr>
          <w:rStyle w:val="FootnoteReference"/>
        </w:rPr>
        <w:footnoteReference w:id="2"/>
      </w:r>
      <w:r w:rsidRPr="00EC3721">
        <w:t xml:space="preserve"> 2023. aasta raamatupidamiskontode usaldatavuse ja nende aluseks olevate tehingute seaduslikkuse ja korrektsuse kohta,</w:t>
      </w:r>
    </w:p>
    <w:p w14:paraId="4FD0EFB1" w14:textId="77777777" w:rsidR="000F474C" w:rsidRPr="00EC3721" w:rsidRDefault="000F474C" w:rsidP="000F474C">
      <w:pPr>
        <w:pStyle w:val="NormalHanging12a"/>
      </w:pPr>
      <w:r w:rsidRPr="00EC3721">
        <w:t>–</w:t>
      </w:r>
      <w:r w:rsidRPr="00EC3721">
        <w:tab/>
        <w:t>võttes arvesse nõukogu 17. veebruari 2025. aasta soovitust ameti tegevusele heakskiidu andmise kohta 2023. aasta eelarve täitmisel (05755/2025 – C10</w:t>
      </w:r>
      <w:r w:rsidRPr="00EC3721">
        <w:noBreakHyphen/>
        <w:t>0024/2025),</w:t>
      </w:r>
    </w:p>
    <w:p w14:paraId="1D884188" w14:textId="77777777" w:rsidR="000F474C" w:rsidRPr="00EC3721" w:rsidRDefault="000F474C" w:rsidP="000F474C">
      <w:pPr>
        <w:pStyle w:val="NormalHanging12a"/>
      </w:pPr>
      <w:r w:rsidRPr="00EC3721">
        <w:t>–</w:t>
      </w:r>
      <w:r w:rsidRPr="00EC3721">
        <w:tab/>
        <w:t>võttes arvesse oma 7. mai 2025. aasta otsust</w:t>
      </w:r>
      <w:r w:rsidRPr="00EC3721">
        <w:rPr>
          <w:rStyle w:val="FootnoteReference"/>
        </w:rPr>
        <w:footnoteReference w:id="3"/>
      </w:r>
      <w:r w:rsidRPr="00EC3721">
        <w:t>, millega lükatakse edasi otsuse tegemine 2023. aasta eelarve täitmisele heakskiidu andmise kohta, ning Euroopa Liidu Varjupaigaameti tegevdirektori vastuseid,</w:t>
      </w:r>
    </w:p>
    <w:p w14:paraId="0F46B063" w14:textId="77777777" w:rsidR="000F474C" w:rsidRPr="00EC3721" w:rsidRDefault="000F474C" w:rsidP="000F474C">
      <w:pPr>
        <w:pStyle w:val="NormalHanging12a"/>
      </w:pPr>
      <w:r w:rsidRPr="00EC3721">
        <w:t>–</w:t>
      </w:r>
      <w:r w:rsidRPr="00EC3721">
        <w:tab/>
        <w:t>võttes arvesse Euroopa Liidu toimimise lepingu artiklit 319,</w:t>
      </w:r>
    </w:p>
    <w:p w14:paraId="25E97F5D" w14:textId="77777777" w:rsidR="000F474C" w:rsidRPr="00EC3721" w:rsidRDefault="000F474C" w:rsidP="000F474C">
      <w:pPr>
        <w:pStyle w:val="NormalHanging12a"/>
      </w:pPr>
      <w:r w:rsidRPr="00EC3721">
        <w:t>–</w:t>
      </w:r>
      <w:r w:rsidRPr="00EC3721">
        <w:tab/>
        <w:t xml:space="preserve">võttes arvesse Euroopa Parlamendi ja nõukogu 18. juuli 2018. aasta määrust (EL, Euratom) 2018/1046 (mis käsitleb liidu </w:t>
      </w:r>
      <w:proofErr w:type="spellStart"/>
      <w:r w:rsidRPr="00EC3721">
        <w:t>üldeelarve</w:t>
      </w:r>
      <w:proofErr w:type="spellEnd"/>
      <w:r w:rsidRPr="00EC3721">
        <w:t xml:space="preserve"> suhtes kohaldatavaid finantsreegleid ja millega muudetakse määrusi (EL) nr 1296/2013, (EL) nr 1301/2013, (EL) nr 1303/2013, (EL) nr 1304/2013, (EL) nr 1309/2013, (EL) nr 1316/2013, (EL) nr 223/2014 ja (EL) nr 283/2014 ja otsust nr 541/2014/EL ning tunnistatakse </w:t>
      </w:r>
      <w:r w:rsidRPr="00EC3721">
        <w:lastRenderedPageBreak/>
        <w:t>kehtetuks määrus (EL, Euratom) nr 966/2012)</w:t>
      </w:r>
      <w:r w:rsidRPr="00EC3721">
        <w:rPr>
          <w:rStyle w:val="FootnoteReference"/>
        </w:rPr>
        <w:footnoteReference w:id="4"/>
      </w:r>
      <w:r w:rsidRPr="00EC3721">
        <w:t>, eriti selle artiklit 70,</w:t>
      </w:r>
    </w:p>
    <w:p w14:paraId="09C7CB82" w14:textId="77777777" w:rsidR="000F474C" w:rsidRPr="00EC3721" w:rsidRDefault="000F474C" w:rsidP="000F474C">
      <w:pPr>
        <w:pStyle w:val="NormalHanging12a"/>
      </w:pPr>
      <w:r w:rsidRPr="00EC3721">
        <w:t>–</w:t>
      </w:r>
      <w:r w:rsidRPr="00EC3721">
        <w:tab/>
        <w:t xml:space="preserve">võttes arvesse Euroopa Parlamendi ja nõukogu 23. septembri 2024. aasta määrust (EL, Euratom) 2024/2509 (mis käsitleb liidu </w:t>
      </w:r>
      <w:proofErr w:type="spellStart"/>
      <w:r w:rsidRPr="00EC3721">
        <w:t>üldeelarve</w:t>
      </w:r>
      <w:proofErr w:type="spellEnd"/>
      <w:r w:rsidRPr="00EC3721">
        <w:t xml:space="preserve"> suhtes kohaldatavaid finantsreegleid)</w:t>
      </w:r>
      <w:r w:rsidRPr="00EC3721">
        <w:rPr>
          <w:rStyle w:val="FootnoteReference"/>
        </w:rPr>
        <w:footnoteReference w:id="5"/>
      </w:r>
      <w:r w:rsidRPr="00EC3721">
        <w:t>, eriti selle artiklit 70,</w:t>
      </w:r>
    </w:p>
    <w:p w14:paraId="50D700F5" w14:textId="77777777" w:rsidR="000F474C" w:rsidRPr="00EC3721" w:rsidRDefault="000F474C" w:rsidP="000F474C">
      <w:pPr>
        <w:pStyle w:val="NormalHanging12a"/>
      </w:pPr>
      <w:r w:rsidRPr="00EC3721">
        <w:t>–</w:t>
      </w:r>
      <w:r w:rsidRPr="00EC3721">
        <w:tab/>
        <w:t>võttes arvesse Euroopa Parlamendi ja nõukogu 19. mai 2010. aasta määrust (EL) nr 439/2010 (millega luuakse Euroopa Varjupaigaküsimuste Tugiamet)</w:t>
      </w:r>
      <w:r w:rsidRPr="00EC3721">
        <w:rPr>
          <w:rStyle w:val="FootnoteReference"/>
        </w:rPr>
        <w:footnoteReference w:id="6"/>
      </w:r>
      <w:r w:rsidRPr="00EC3721">
        <w:t>, eriti selle artiklit 36,</w:t>
      </w:r>
    </w:p>
    <w:p w14:paraId="634CA2D3" w14:textId="77777777" w:rsidR="000F474C" w:rsidRPr="00EC3721" w:rsidRDefault="000F474C" w:rsidP="000F474C">
      <w:pPr>
        <w:pStyle w:val="NormalHanging12a"/>
      </w:pPr>
      <w:r w:rsidRPr="00EC3721">
        <w:t>–</w:t>
      </w:r>
      <w:r w:rsidRPr="00EC3721">
        <w:tab/>
        <w:t>võttes arvesse Euroopa Parlamendi ja nõukogu 15. detsembri 2021. aasta määrust (EL) 2021/2303 (mis käsitleb Euroopa Liidu Varjupaigaametit ja millega tunnistatakse kehtetuks määrus (EL) nr 439/2010)</w:t>
      </w:r>
      <w:r w:rsidRPr="00EC3721">
        <w:rPr>
          <w:rStyle w:val="FootnoteReference"/>
        </w:rPr>
        <w:footnoteReference w:id="7"/>
      </w:r>
      <w:r w:rsidRPr="00EC3721">
        <w:t>, eriti selle artiklit 55,</w:t>
      </w:r>
    </w:p>
    <w:p w14:paraId="0E0F611B" w14:textId="77777777" w:rsidR="000F474C" w:rsidRPr="00EC3721" w:rsidRDefault="000F474C" w:rsidP="000F474C">
      <w:pPr>
        <w:pStyle w:val="NormalHanging12a"/>
      </w:pPr>
      <w:r w:rsidRPr="00EC3721">
        <w:t>–</w:t>
      </w:r>
      <w:r w:rsidRPr="00EC3721">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C3721">
        <w:rPr>
          <w:rStyle w:val="FootnoteReference"/>
        </w:rPr>
        <w:footnoteReference w:id="8"/>
      </w:r>
      <w:r w:rsidRPr="00EC3721">
        <w:t>, eriti selle artiklit 105,</w:t>
      </w:r>
    </w:p>
    <w:p w14:paraId="7F0D0439" w14:textId="77777777" w:rsidR="000F474C" w:rsidRPr="00EC3721" w:rsidRDefault="000F474C" w:rsidP="000F474C">
      <w:pPr>
        <w:pStyle w:val="NormalHanging12a"/>
      </w:pPr>
      <w:r w:rsidRPr="00EC3721">
        <w:t>–</w:t>
      </w:r>
      <w:r w:rsidRPr="00EC3721">
        <w:tab/>
        <w:t>võttes arvesse kodukorra artiklit 102 ja V lisa,</w:t>
      </w:r>
    </w:p>
    <w:p w14:paraId="3168007C" w14:textId="77777777" w:rsidR="000F474C" w:rsidRPr="00EC3721" w:rsidRDefault="000F474C" w:rsidP="000F474C">
      <w:pPr>
        <w:pStyle w:val="NormalHanging12a"/>
      </w:pPr>
      <w:r w:rsidRPr="00EC3721">
        <w:t>–</w:t>
      </w:r>
      <w:r w:rsidRPr="00EC3721">
        <w:tab/>
        <w:t>võttes arvesse eelarvekontrollikomisjoni teist raportit (A10-0169/2025),</w:t>
      </w:r>
    </w:p>
    <w:p w14:paraId="7DE75F99" w14:textId="77777777" w:rsidR="000F474C" w:rsidRPr="00EC3721" w:rsidRDefault="000F474C" w:rsidP="000F474C">
      <w:pPr>
        <w:pStyle w:val="NormalHanging12a"/>
      </w:pPr>
      <w:r w:rsidRPr="00EC3721">
        <w:t>1.</w:t>
      </w:r>
      <w:r w:rsidRPr="00EC3721">
        <w:tab/>
        <w:t>annab heakskiidu Euroopa Liidu Varjupaigaameti tegevdirektori tegevusele ameti 2023. aasta eelarve täitmisel;</w:t>
      </w:r>
    </w:p>
    <w:p w14:paraId="304B6685" w14:textId="77777777" w:rsidR="000F474C" w:rsidRPr="00EC3721" w:rsidRDefault="000F474C" w:rsidP="000F474C">
      <w:pPr>
        <w:pStyle w:val="NormalHanging12a"/>
      </w:pPr>
      <w:r w:rsidRPr="00EC3721">
        <w:t>2.</w:t>
      </w:r>
      <w:r w:rsidRPr="00EC3721">
        <w:tab/>
        <w:t>esitab oma tähelepanekud alltoodud resolutsioonis;</w:t>
      </w:r>
    </w:p>
    <w:p w14:paraId="57A8D28F" w14:textId="77777777" w:rsidR="000F474C" w:rsidRPr="00EC3721" w:rsidRDefault="000F474C" w:rsidP="000F474C">
      <w:pPr>
        <w:pStyle w:val="NormalHanging12a"/>
      </w:pPr>
      <w:r w:rsidRPr="00EC3721">
        <w:t>3.</w:t>
      </w:r>
      <w:r w:rsidRPr="00EC3721">
        <w:tab/>
        <w:t xml:space="preserve">teeb presidendile ülesandeks edastada käesolev otsus ja resolutsioon, mis on selle lahutamatu osa, Euroopa Liidu Varjupaigaameti tegevdirektorile, nõukogule, komisjonile ja kontrollikojale ning korraldada nende avaldamine </w:t>
      </w:r>
      <w:r w:rsidRPr="00EC3721">
        <w:rPr>
          <w:i/>
        </w:rPr>
        <w:t>Euroopa Liidu Teatajas</w:t>
      </w:r>
      <w:r w:rsidRPr="00EC3721">
        <w:t xml:space="preserve"> (L-seerias).</w:t>
      </w:r>
    </w:p>
    <w:p w14:paraId="02A2946A" w14:textId="77777777" w:rsidR="000F474C" w:rsidRPr="00EC3721" w:rsidRDefault="000F474C" w:rsidP="000F474C"/>
    <w:p w14:paraId="32245F88" w14:textId="77777777" w:rsidR="000F474C" w:rsidRPr="00EC3721" w:rsidRDefault="000F474C" w:rsidP="000F474C">
      <w:pPr>
        <w:pStyle w:val="PageHeadingDec"/>
        <w:sectPr w:rsidR="000F474C" w:rsidRPr="00EC3721" w:rsidSect="002109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96584D3" w14:textId="546EFEB8" w:rsidR="000F474C" w:rsidRPr="00EC3721" w:rsidRDefault="005A3463" w:rsidP="000F474C">
      <w:pPr>
        <w:pStyle w:val="NormalBold"/>
      </w:pPr>
      <w:r w:rsidRPr="00EC3721">
        <w:lastRenderedPageBreak/>
        <w:t xml:space="preserve">2. Euroopa Parlamendi 22. oktoobri 2025. aasta otsus </w:t>
      </w:r>
      <w:r w:rsidR="000F474C" w:rsidRPr="00EC3721">
        <w:t>Euroopa Liidu Varjupaigaameti 2023. aasta raamatupidamiskontode sulgemise kohta</w:t>
      </w:r>
      <w:r w:rsidRPr="00EC3721">
        <w:t xml:space="preserve"> </w:t>
      </w:r>
      <w:r w:rsidR="000F474C" w:rsidRPr="00EC3721">
        <w:t>(2024/2030(DEC))</w:t>
      </w:r>
    </w:p>
    <w:p w14:paraId="36A5673F" w14:textId="77777777" w:rsidR="000F474C" w:rsidRPr="00EC3721" w:rsidRDefault="000F474C" w:rsidP="000F474C">
      <w:pPr>
        <w:pStyle w:val="EPComma"/>
      </w:pPr>
      <w:r w:rsidRPr="00EC3721">
        <w:rPr>
          <w:i/>
        </w:rPr>
        <w:t>Euroopa Parlament,</w:t>
      </w:r>
    </w:p>
    <w:p w14:paraId="0276B881" w14:textId="77777777" w:rsidR="000F474C" w:rsidRPr="00EC3721" w:rsidRDefault="000F474C" w:rsidP="000F474C">
      <w:pPr>
        <w:pStyle w:val="NormalHanging12a"/>
      </w:pPr>
      <w:r w:rsidRPr="00EC3721">
        <w:t>–</w:t>
      </w:r>
      <w:r w:rsidRPr="00EC3721">
        <w:tab/>
        <w:t>võttes arvesse Euroopa Liidu Varjupaigaameti 2023. aasta lõplikku raamatupidamisaruannet,</w:t>
      </w:r>
    </w:p>
    <w:p w14:paraId="1F90CD76" w14:textId="77777777" w:rsidR="000F474C" w:rsidRPr="00EC3721" w:rsidRDefault="000F474C" w:rsidP="000F474C">
      <w:pPr>
        <w:pStyle w:val="NormalHanging12a"/>
      </w:pPr>
      <w:r w:rsidRPr="00EC3721">
        <w:t>–</w:t>
      </w:r>
      <w:r w:rsidRPr="00EC3721">
        <w:tab/>
        <w:t>võttes arvesse kontrollikoja aastaaruannet ELi asutuste eelarveaasta 2023 kohta koos asutuste vastustega</w:t>
      </w:r>
      <w:r w:rsidRPr="00EC3721">
        <w:rPr>
          <w:rStyle w:val="FootnoteReference"/>
        </w:rPr>
        <w:footnoteReference w:id="9"/>
      </w:r>
      <w:r w:rsidRPr="00EC3721">
        <w:t>,</w:t>
      </w:r>
    </w:p>
    <w:p w14:paraId="1126DBDF" w14:textId="77777777" w:rsidR="000F474C" w:rsidRPr="00EC3721" w:rsidRDefault="000F474C" w:rsidP="000F474C">
      <w:pPr>
        <w:pStyle w:val="NormalHanging12a"/>
      </w:pPr>
      <w:r w:rsidRPr="00EC3721">
        <w:t>–</w:t>
      </w:r>
      <w:r w:rsidRPr="00EC3721">
        <w:tab/>
        <w:t>võttes arvesse vastavalt Euroopa Liidu toimimise lepingu artiklile 287 tehtud kontrollikoja kinnitavat avaldust</w:t>
      </w:r>
      <w:r w:rsidRPr="00EC3721">
        <w:rPr>
          <w:rStyle w:val="FootnoteReference"/>
        </w:rPr>
        <w:footnoteReference w:id="10"/>
      </w:r>
      <w:r w:rsidRPr="00EC3721">
        <w:t xml:space="preserve"> 2023. aasta raamatupidamiskontode usaldatavuse ja nende aluseks olevate tehingute seaduslikkuse ja korrektsuse kohta,</w:t>
      </w:r>
    </w:p>
    <w:p w14:paraId="1ACDC6BE" w14:textId="77777777" w:rsidR="000F474C" w:rsidRPr="00EC3721" w:rsidRDefault="000F474C" w:rsidP="000F474C">
      <w:pPr>
        <w:pStyle w:val="NormalHanging12a"/>
      </w:pPr>
      <w:r w:rsidRPr="00EC3721">
        <w:t>–</w:t>
      </w:r>
      <w:r w:rsidRPr="00EC3721">
        <w:tab/>
        <w:t>võttes arvesse nõukogu 17. veebruari 2025. aasta soovitust ameti tegevusele heakskiidu andmise kohta 2023. aasta eelarve täitmisel (05755/2025 – C10</w:t>
      </w:r>
      <w:r w:rsidRPr="00EC3721">
        <w:noBreakHyphen/>
        <w:t>0024/2025),</w:t>
      </w:r>
    </w:p>
    <w:p w14:paraId="634E1A7F" w14:textId="77777777" w:rsidR="000F474C" w:rsidRPr="00EC3721" w:rsidRDefault="000F474C" w:rsidP="000F474C">
      <w:pPr>
        <w:pStyle w:val="NormalHanging12a"/>
      </w:pPr>
      <w:r w:rsidRPr="00EC3721">
        <w:t>–</w:t>
      </w:r>
      <w:r w:rsidRPr="00EC3721">
        <w:tab/>
        <w:t>võttes arvesse oma 7. mai 2025. aasta otsust</w:t>
      </w:r>
      <w:r w:rsidRPr="00EC3721">
        <w:rPr>
          <w:rStyle w:val="FootnoteReference"/>
        </w:rPr>
        <w:footnoteReference w:id="11"/>
      </w:r>
      <w:r w:rsidRPr="00EC3721">
        <w:t>, millega lükatakse edasi otsuse tegemine 2023. aasta eelarve täitmisele heakskiidu andmise kohta, ning Euroopa Liidu Varjupaigaameti tegevdirektori vastuseid,</w:t>
      </w:r>
    </w:p>
    <w:p w14:paraId="465B722C" w14:textId="77777777" w:rsidR="000F474C" w:rsidRPr="00EC3721" w:rsidRDefault="000F474C" w:rsidP="000F474C">
      <w:pPr>
        <w:pStyle w:val="NormalHanging12a"/>
      </w:pPr>
      <w:r w:rsidRPr="00EC3721">
        <w:t>–</w:t>
      </w:r>
      <w:r w:rsidRPr="00EC3721">
        <w:tab/>
        <w:t>võttes arvesse Euroopa Liidu toimimise lepingu artiklit 319,</w:t>
      </w:r>
    </w:p>
    <w:p w14:paraId="3D37DB60" w14:textId="77777777" w:rsidR="000F474C" w:rsidRPr="00EC3721" w:rsidRDefault="000F474C" w:rsidP="000F474C">
      <w:pPr>
        <w:pStyle w:val="NormalHanging12a"/>
      </w:pPr>
      <w:r w:rsidRPr="00EC3721">
        <w:t>–</w:t>
      </w:r>
      <w:r w:rsidRPr="00EC3721">
        <w:tab/>
        <w:t xml:space="preserve">võttes arvesse Euroopa Parlamendi ja nõukogu 18. juuli 2018. aasta määrust (EL, Euratom) 2018/1046 (mis käsitleb liidu </w:t>
      </w:r>
      <w:proofErr w:type="spellStart"/>
      <w:r w:rsidRPr="00EC3721">
        <w:t>üldeelarve</w:t>
      </w:r>
      <w:proofErr w:type="spellEnd"/>
      <w:r w:rsidRPr="00EC3721">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C3721">
        <w:rPr>
          <w:rStyle w:val="FootnoteReference"/>
        </w:rPr>
        <w:footnoteReference w:id="12"/>
      </w:r>
      <w:r w:rsidRPr="00EC3721">
        <w:t>, eriti selle artiklit 70,</w:t>
      </w:r>
    </w:p>
    <w:p w14:paraId="22E7C01A" w14:textId="77777777" w:rsidR="000F474C" w:rsidRPr="00EC3721" w:rsidRDefault="000F474C" w:rsidP="000F474C">
      <w:pPr>
        <w:pStyle w:val="NormalHanging12a"/>
      </w:pPr>
      <w:r w:rsidRPr="00EC3721">
        <w:t>–</w:t>
      </w:r>
      <w:r w:rsidRPr="00EC3721">
        <w:tab/>
        <w:t xml:space="preserve">võttes arvesse Euroopa Parlamendi ja nõukogu 23. septembri 2024. aasta määrust (EL, Euratom) 2024/2509 (mis käsitleb liidu </w:t>
      </w:r>
      <w:proofErr w:type="spellStart"/>
      <w:r w:rsidRPr="00EC3721">
        <w:t>üldeelarve</w:t>
      </w:r>
      <w:proofErr w:type="spellEnd"/>
      <w:r w:rsidRPr="00EC3721">
        <w:t xml:space="preserve"> suhtes kohaldatavaid finantsreegleid)</w:t>
      </w:r>
      <w:r w:rsidRPr="00EC3721">
        <w:rPr>
          <w:rStyle w:val="FootnoteReference"/>
        </w:rPr>
        <w:footnoteReference w:id="13"/>
      </w:r>
      <w:r w:rsidRPr="00EC3721">
        <w:t>, eriti selle artiklit 70,</w:t>
      </w:r>
    </w:p>
    <w:p w14:paraId="2FC17133" w14:textId="77777777" w:rsidR="000F474C" w:rsidRPr="00EC3721" w:rsidRDefault="000F474C" w:rsidP="000F474C">
      <w:pPr>
        <w:pStyle w:val="NormalHanging12a"/>
      </w:pPr>
      <w:r w:rsidRPr="00EC3721">
        <w:t>–</w:t>
      </w:r>
      <w:r w:rsidRPr="00EC3721">
        <w:tab/>
        <w:t>võttes arvesse Euroopa Parlamendi ja nõukogu 19. mai 2010. aasta määrust (EL) nr 439/2010 (millega luuakse Euroopa Varjupaigaküsimuste Tugiamet)</w:t>
      </w:r>
      <w:r w:rsidRPr="00EC3721">
        <w:rPr>
          <w:rStyle w:val="FootnoteReference"/>
        </w:rPr>
        <w:footnoteReference w:id="14"/>
      </w:r>
      <w:r w:rsidRPr="00EC3721">
        <w:t>, eriti selle artiklit 36,</w:t>
      </w:r>
    </w:p>
    <w:p w14:paraId="2B207D82" w14:textId="77777777" w:rsidR="000F474C" w:rsidRPr="00EC3721" w:rsidRDefault="000F474C" w:rsidP="000F474C">
      <w:pPr>
        <w:pStyle w:val="NormalHanging12a"/>
      </w:pPr>
      <w:r w:rsidRPr="00EC3721">
        <w:t>–</w:t>
      </w:r>
      <w:r w:rsidRPr="00EC3721">
        <w:tab/>
        <w:t>võttes arvesse Euroopa Parlamendi ja nõukogu 15. detsembri 2021. aasta määrust (EL) 2021/2303 (mis käsitleb Euroopa Liidu Varjupaigaametit ja millega tunnistatakse kehtetuks määrus (EL) nr 439/2010)</w:t>
      </w:r>
      <w:r w:rsidRPr="00EC3721">
        <w:rPr>
          <w:rStyle w:val="FootnoteReference"/>
        </w:rPr>
        <w:footnoteReference w:id="15"/>
      </w:r>
      <w:r w:rsidRPr="00EC3721">
        <w:t>, eriti selle artiklit 55,</w:t>
      </w:r>
    </w:p>
    <w:p w14:paraId="187B9EC0" w14:textId="77777777" w:rsidR="000F474C" w:rsidRPr="00EC3721" w:rsidRDefault="000F474C" w:rsidP="000F474C">
      <w:pPr>
        <w:pStyle w:val="NormalHanging12a"/>
      </w:pPr>
      <w:r w:rsidRPr="00EC3721">
        <w:t>–</w:t>
      </w:r>
      <w:r w:rsidRPr="00EC3721">
        <w:tab/>
        <w:t xml:space="preserve">võttes arvesse komisjoni 18. detsembri 2018. aasta delegeeritud määrust (EL) 2019/715 </w:t>
      </w:r>
      <w:r w:rsidRPr="00EC3721">
        <w:lastRenderedPageBreak/>
        <w:t>(raamfinantsmääruse kohta asutustele, mis on asutatud Euroopa Liidu toimimise lepingu ja Euroopa Aatomienergiaühenduse asutamislepingu alusel ning millele osutatakse Euroopa Parlamendi ja nõukogu määruse (EL, Euratom) 2018/1046 artiklis 70)</w:t>
      </w:r>
      <w:r w:rsidRPr="00EC3721">
        <w:rPr>
          <w:rStyle w:val="FootnoteReference"/>
        </w:rPr>
        <w:footnoteReference w:id="16"/>
      </w:r>
      <w:r w:rsidRPr="00EC3721">
        <w:t>, eriti selle artiklit 105,</w:t>
      </w:r>
    </w:p>
    <w:p w14:paraId="5985D9E8" w14:textId="77777777" w:rsidR="000F474C" w:rsidRPr="00EC3721" w:rsidRDefault="000F474C" w:rsidP="000F474C">
      <w:pPr>
        <w:pStyle w:val="NormalHanging12a"/>
      </w:pPr>
      <w:r w:rsidRPr="00EC3721">
        <w:t>–</w:t>
      </w:r>
      <w:r w:rsidRPr="00EC3721">
        <w:tab/>
        <w:t>võttes arvesse kodukorra artiklit 102 ja V lisa,</w:t>
      </w:r>
    </w:p>
    <w:p w14:paraId="7F056EEC" w14:textId="77777777" w:rsidR="000F474C" w:rsidRPr="00EC3721" w:rsidRDefault="000F474C" w:rsidP="000F474C">
      <w:pPr>
        <w:pStyle w:val="NormalHanging12a"/>
      </w:pPr>
      <w:r w:rsidRPr="00EC3721">
        <w:t>–</w:t>
      </w:r>
      <w:r w:rsidRPr="00EC3721">
        <w:tab/>
        <w:t>võttes arvesse eelarvekontrollikomisjoni teist raportit (A10-0169/2025),</w:t>
      </w:r>
    </w:p>
    <w:p w14:paraId="0E7D452E" w14:textId="77777777" w:rsidR="000F474C" w:rsidRPr="00EC3721" w:rsidRDefault="000F474C" w:rsidP="000F474C">
      <w:pPr>
        <w:pStyle w:val="NormalHanging12a"/>
      </w:pPr>
      <w:r w:rsidRPr="00EC3721">
        <w:t>1.</w:t>
      </w:r>
      <w:r w:rsidRPr="00EC3721">
        <w:tab/>
        <w:t>annab heakskiidu Euroopa Liidu Varjupaigaameti 2023. aasta raamatupidamiskontode sulgemisele;</w:t>
      </w:r>
    </w:p>
    <w:p w14:paraId="3119E798" w14:textId="412EC052" w:rsidR="000F474C" w:rsidRPr="00EC3721" w:rsidRDefault="000F474C" w:rsidP="005A3463">
      <w:pPr>
        <w:pStyle w:val="NormalHanging12a"/>
      </w:pPr>
      <w:r w:rsidRPr="00EC3721">
        <w:t>2.</w:t>
      </w:r>
      <w:r w:rsidRPr="00EC3721">
        <w:tab/>
        <w:t xml:space="preserve">teeb presidendile ülesandeks edastada käesolev otsus Euroopa Liidu Varjupaigaameti tegevdirektorile, nõukogule, komisjonile ja kontrollikojale ning korraldada selle avaldamine </w:t>
      </w:r>
      <w:r w:rsidRPr="00EC3721">
        <w:rPr>
          <w:i/>
        </w:rPr>
        <w:t>Euroopa Liidu Teatajas</w:t>
      </w:r>
      <w:r w:rsidRPr="00EC3721">
        <w:t xml:space="preserve"> (L-seerias).</w:t>
      </w:r>
    </w:p>
    <w:p w14:paraId="49D67B46" w14:textId="77777777" w:rsidR="000F474C" w:rsidRPr="00EC3721" w:rsidRDefault="000F474C" w:rsidP="000F474C"/>
    <w:p w14:paraId="44440A17" w14:textId="77777777" w:rsidR="000F474C" w:rsidRPr="00EC3721" w:rsidRDefault="000F474C" w:rsidP="000F474C">
      <w:pPr>
        <w:pStyle w:val="PageHeadingDec"/>
        <w:sectPr w:rsidR="000F474C" w:rsidRPr="00EC3721" w:rsidSect="002109E9">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7A3D4A" w14:textId="78A21828" w:rsidR="000F474C" w:rsidRPr="00EC3721" w:rsidRDefault="005A3463" w:rsidP="000F474C">
      <w:pPr>
        <w:pStyle w:val="NormalBold"/>
      </w:pPr>
      <w:r w:rsidRPr="00EC3721">
        <w:lastRenderedPageBreak/>
        <w:t xml:space="preserve">3. Euroopa Parlamendi 22. oktoobri 2025. aasta resolutsioon </w:t>
      </w:r>
      <w:r w:rsidR="000F474C" w:rsidRPr="00EC3721">
        <w:t>tähelepanekutega, mis on Euroopa Liidu asutuste 2023. aasta eelarve täitmisele heakskiidu andmist käsitleva otsuse lahutamatu osa</w:t>
      </w:r>
      <w:r w:rsidRPr="00EC3721">
        <w:t xml:space="preserve"> </w:t>
      </w:r>
      <w:r w:rsidR="000F474C" w:rsidRPr="00EC3721">
        <w:t>(2024/2030(DEC))</w:t>
      </w:r>
    </w:p>
    <w:p w14:paraId="6F8E2359" w14:textId="77777777" w:rsidR="000F474C" w:rsidRPr="00EC3721" w:rsidRDefault="000F474C" w:rsidP="000F474C">
      <w:pPr>
        <w:pStyle w:val="EPComma"/>
      </w:pPr>
      <w:r w:rsidRPr="00EC3721">
        <w:rPr>
          <w:i/>
        </w:rPr>
        <w:t>Euroopa Parlament,</w:t>
      </w:r>
    </w:p>
    <w:p w14:paraId="3AEEFF39" w14:textId="77777777" w:rsidR="000F474C" w:rsidRPr="00EC3721" w:rsidRDefault="000F474C" w:rsidP="000F474C">
      <w:pPr>
        <w:pStyle w:val="NormalHanging12a"/>
      </w:pPr>
      <w:r w:rsidRPr="00EC3721">
        <w:t>–</w:t>
      </w:r>
      <w:r w:rsidRPr="00EC3721">
        <w:tab/>
        <w:t>võttes arvesse oma otsust Euroopa Liidu Varjupaigaameti 2023. aasta eelarve täitmisele heakskiidu andmise kohta,</w:t>
      </w:r>
    </w:p>
    <w:p w14:paraId="7DC20B24" w14:textId="77777777" w:rsidR="000F474C" w:rsidRPr="00EC3721" w:rsidRDefault="000F474C" w:rsidP="000F474C">
      <w:pPr>
        <w:pStyle w:val="NormalHanging12a"/>
      </w:pPr>
      <w:r w:rsidRPr="00EC3721">
        <w:t>–</w:t>
      </w:r>
      <w:r w:rsidRPr="00EC3721">
        <w:tab/>
        <w:t>võttes arvesse kodukorra artiklit 102 ja V lisa,</w:t>
      </w:r>
    </w:p>
    <w:p w14:paraId="18325154" w14:textId="7AAA9DD0" w:rsidR="000F474C" w:rsidRPr="00EC3721" w:rsidRDefault="000F474C" w:rsidP="000F474C">
      <w:pPr>
        <w:pStyle w:val="NormalHanging12a"/>
      </w:pPr>
      <w:r w:rsidRPr="00EC3721">
        <w:t>–</w:t>
      </w:r>
      <w:r w:rsidRPr="00EC3721">
        <w:tab/>
        <w:t xml:space="preserve">võttes arvesse, et Euroopa ühise varjupaigasüsteemi toimimine, eeskirjade järgimine, nõuetekohane rakendamine ja täitmise tagamine ning </w:t>
      </w:r>
      <w:r w:rsidR="005A3463" w:rsidRPr="00EC3721">
        <w:t>Euroopa Liidu Varjupaigaameti</w:t>
      </w:r>
      <w:r w:rsidRPr="00EC3721">
        <w:t xml:space="preserve"> kestlik ja asjakohane rahaline toetus on hädavajalikud, et tagada Euroopa Liidu liikmesriikide jagatud vastutuse ja solidaarsuse süsteem;</w:t>
      </w:r>
    </w:p>
    <w:p w14:paraId="5D66B0B2" w14:textId="77777777" w:rsidR="000F474C" w:rsidRPr="00EC3721" w:rsidRDefault="000F474C" w:rsidP="000F474C">
      <w:pPr>
        <w:pStyle w:val="NormalHanging12a"/>
      </w:pPr>
      <w:r w:rsidRPr="00EC3721">
        <w:t>–</w:t>
      </w:r>
      <w:r w:rsidRPr="00EC3721">
        <w:tab/>
        <w:t xml:space="preserve">võttes arvesse </w:t>
      </w:r>
      <w:proofErr w:type="spellStart"/>
      <w:r w:rsidRPr="00EC3721">
        <w:t>OLAFi</w:t>
      </w:r>
      <w:proofErr w:type="spellEnd"/>
      <w:r w:rsidRPr="00EC3721">
        <w:t xml:space="preserve"> lõpparuannet (OC-2022-0717) Euroopa Liidu Varjupaigaameti kohta, mis valmis oktoobris 2024 ja tehti eelarvekontrollikomisjoni liikmetele kättesaadavaks märtsis 2025,</w:t>
      </w:r>
    </w:p>
    <w:p w14:paraId="47958ACF" w14:textId="5C9E966E" w:rsidR="000F474C" w:rsidRPr="00EC3721" w:rsidRDefault="000F474C" w:rsidP="000F474C">
      <w:pPr>
        <w:pStyle w:val="NormalHanging12a"/>
        <w:rPr>
          <w:bCs/>
        </w:rPr>
      </w:pPr>
      <w:r w:rsidRPr="00EC3721">
        <w:t>–</w:t>
      </w:r>
      <w:r w:rsidRPr="00EC3721">
        <w:tab/>
        <w:t xml:space="preserve">võttes arvesse </w:t>
      </w:r>
      <w:r w:rsidR="005A3463" w:rsidRPr="00EC3721">
        <w:t>Euroopa Liidu Varjupaigaameti</w:t>
      </w:r>
      <w:r w:rsidRPr="00EC3721">
        <w:t xml:space="preserve"> </w:t>
      </w:r>
      <w:r w:rsidR="0036295E">
        <w:t xml:space="preserve">haldusnõukogu </w:t>
      </w:r>
      <w:r w:rsidRPr="00EC3721">
        <w:t>eesistuja 2025. aasta märtsis ja Euroopa Liidu Varjupaigaameti tegevdirektori 2025. aasta juulis saadetud kirju,</w:t>
      </w:r>
    </w:p>
    <w:p w14:paraId="4EFB017D" w14:textId="77777777" w:rsidR="000F474C" w:rsidRPr="00EC3721" w:rsidRDefault="000F474C" w:rsidP="000F474C">
      <w:pPr>
        <w:pStyle w:val="NormalHanging12a"/>
      </w:pPr>
      <w:r w:rsidRPr="00EC3721">
        <w:t xml:space="preserve">– </w:t>
      </w:r>
      <w:r w:rsidRPr="00EC3721">
        <w:tab/>
        <w:t xml:space="preserve">võttes arvesse 15. juulil 2025 toimunud arvamuste vahetust </w:t>
      </w:r>
      <w:proofErr w:type="spellStart"/>
      <w:r w:rsidRPr="00EC3721">
        <w:t>OLAFi</w:t>
      </w:r>
      <w:proofErr w:type="spellEnd"/>
      <w:r w:rsidRPr="00EC3721">
        <w:t>, Euroopa Liidu Varjupaigaameti ning rände- ja siseasjade peadirektoraadi esindajatega,</w:t>
      </w:r>
    </w:p>
    <w:p w14:paraId="0E74ED88" w14:textId="77777777" w:rsidR="000F474C" w:rsidRPr="00EC3721" w:rsidRDefault="000F474C" w:rsidP="000F474C">
      <w:pPr>
        <w:pStyle w:val="NormalHanging12a"/>
      </w:pPr>
      <w:r w:rsidRPr="00EC3721">
        <w:t>–</w:t>
      </w:r>
      <w:r w:rsidRPr="00EC3721">
        <w:tab/>
        <w:t>võttes arvesse eelarvekontrollikomisjoni teist raportit (A10-0169/2025),</w:t>
      </w:r>
    </w:p>
    <w:p w14:paraId="36C93B12" w14:textId="77777777" w:rsidR="000F474C" w:rsidRPr="00EC3721" w:rsidRDefault="000F474C" w:rsidP="000F474C">
      <w:pPr>
        <w:pStyle w:val="NormalHanging12a"/>
      </w:pPr>
      <w:r w:rsidRPr="00EC3721">
        <w:t>A.</w:t>
      </w:r>
      <w:r w:rsidRPr="00EC3721">
        <w:tab/>
        <w:t>arvestades, et kõik liidu detsentraliseeritud asutused peavad olema läbipaistvad ning liidu kodanike ees neile kui liidu asutustele eraldatud raha kasutamise eest täielikult vastutavad;</w:t>
      </w:r>
    </w:p>
    <w:p w14:paraId="60EBF203" w14:textId="77777777" w:rsidR="000F474C" w:rsidRPr="00EC3721" w:rsidRDefault="000F474C" w:rsidP="000F474C">
      <w:pPr>
        <w:pStyle w:val="NormalHanging12a"/>
      </w:pPr>
      <w:r w:rsidRPr="00EC3721">
        <w:t>B.</w:t>
      </w:r>
      <w:r w:rsidRPr="00EC3721">
        <w:tab/>
        <w:t>arvestades, et Euroopa Liidu Varjupaigaametil kui liidu asutusel, kellele on antud märkimisväärsed kohustused ja vahendid, on vastav kohustus tegutseda kõrgeimate läbipaistvuse, vastutuse ja eeskujuliku käitumise standardite kohaselt, tagades seeläbi liidu kodanike ja institutsioonide usalduse;</w:t>
      </w:r>
    </w:p>
    <w:p w14:paraId="56B03A13" w14:textId="77777777" w:rsidR="000F474C" w:rsidRPr="00EC3721" w:rsidRDefault="000F474C" w:rsidP="000F474C">
      <w:pPr>
        <w:pStyle w:val="NormalHanging12a"/>
      </w:pPr>
      <w:r w:rsidRPr="00EC3721">
        <w:t>C.</w:t>
      </w:r>
      <w:r w:rsidRPr="00EC3721">
        <w:tab/>
        <w:t>arvestades, et Euroopa Parlamendi roll eelarve täitmisele heakskiidu andmise menetluses on sätestatud Euroopa Liidu toimimise lepingus (ELi toimimise leping), finantsmääruses ja raamfinantsmääruses;</w:t>
      </w:r>
    </w:p>
    <w:p w14:paraId="41B0D4B4" w14:textId="77777777" w:rsidR="000F474C" w:rsidRPr="00EC3721" w:rsidRDefault="000F474C" w:rsidP="000F474C">
      <w:pPr>
        <w:pStyle w:val="NormalHanging12a"/>
      </w:pPr>
      <w:r w:rsidRPr="00EC3721">
        <w:t>D.</w:t>
      </w:r>
      <w:r w:rsidRPr="00EC3721">
        <w:tab/>
        <w:t xml:space="preserve">arvestades, et </w:t>
      </w:r>
      <w:proofErr w:type="spellStart"/>
      <w:r w:rsidRPr="00EC3721">
        <w:t>OLAFil</w:t>
      </w:r>
      <w:proofErr w:type="spellEnd"/>
      <w:r w:rsidRPr="00EC3721">
        <w:t xml:space="preserve"> kui liidu </w:t>
      </w:r>
      <w:proofErr w:type="spellStart"/>
      <w:r w:rsidRPr="00EC3721">
        <w:t>pettustevastasel</w:t>
      </w:r>
      <w:proofErr w:type="spellEnd"/>
      <w:r w:rsidRPr="00EC3721">
        <w:t xml:space="preserve"> organil on kohustus anda Euroopa Parlamendile õigeaegne ja piisav juurdepääs oma järeldustele, et võimaldada eelarve täitmisele heakskiidu andmise tulemuslikku kontrolli;</w:t>
      </w:r>
    </w:p>
    <w:p w14:paraId="37DCC326" w14:textId="77777777" w:rsidR="000F474C" w:rsidRPr="00EC3721" w:rsidRDefault="000F474C" w:rsidP="000F474C">
      <w:pPr>
        <w:pStyle w:val="NormalHanging12a"/>
      </w:pPr>
      <w:r w:rsidRPr="00EC3721">
        <w:t>1.</w:t>
      </w:r>
      <w:r w:rsidRPr="00EC3721">
        <w:tab/>
        <w:t>tuletab meelde Euroopa Parlamendi rolli eelarve täitmisele heakskiidu andmise menetluses vastavalt ELi toimimise lepingu, finantsmääruse ja parlamendi kodukorra sätetele;</w:t>
      </w:r>
    </w:p>
    <w:p w14:paraId="2B3766C4" w14:textId="77777777" w:rsidR="000F474C" w:rsidRPr="00EC3721" w:rsidRDefault="000F474C" w:rsidP="000F474C">
      <w:pPr>
        <w:pStyle w:val="NormalHanging12a"/>
      </w:pPr>
      <w:r w:rsidRPr="00EC3721">
        <w:t>2.</w:t>
      </w:r>
      <w:r w:rsidRPr="00EC3721">
        <w:tab/>
        <w:t xml:space="preserve">tuletab meelde, et 7. mail 2025 otsustas Euroopa Parlament lükata edasi otsuse tegemise </w:t>
      </w:r>
      <w:r w:rsidRPr="00EC3721">
        <w:lastRenderedPageBreak/>
        <w:t>Euroopa Liidu Varjupaigaameti (edaspidi „amet“) 2023. aasta eelarve täitmisele heakskiidu andmise kohta;</w:t>
      </w:r>
    </w:p>
    <w:p w14:paraId="076E3E81" w14:textId="77777777" w:rsidR="000F474C" w:rsidRPr="00EC3721" w:rsidRDefault="000F474C" w:rsidP="000F474C">
      <w:pPr>
        <w:pStyle w:val="NormalHanging12a"/>
      </w:pPr>
      <w:r w:rsidRPr="00EC3721">
        <w:t>3.</w:t>
      </w:r>
      <w:r w:rsidRPr="00EC3721">
        <w:tab/>
        <w:t>rõhutab, et liidu eelarvet tuleb täita äärmiselt vastutustundlikult ja läbipaistvalt; toonitab, et kui neid põhimõtteid ei järgita, õõnestab see tõsiselt üldsuse usaldust;</w:t>
      </w:r>
    </w:p>
    <w:p w14:paraId="2B60916A" w14:textId="77777777" w:rsidR="000F474C" w:rsidRPr="00EC3721" w:rsidRDefault="000F474C" w:rsidP="000F474C">
      <w:pPr>
        <w:pStyle w:val="NormalHanging12a"/>
        <w:rPr>
          <w:b/>
          <w:i/>
        </w:rPr>
      </w:pPr>
      <w:r w:rsidRPr="00EC3721">
        <w:rPr>
          <w:b/>
          <w:i/>
        </w:rPr>
        <w:t xml:space="preserve">Euroopa </w:t>
      </w:r>
      <w:proofErr w:type="spellStart"/>
      <w:r w:rsidRPr="00EC3721">
        <w:rPr>
          <w:b/>
          <w:i/>
        </w:rPr>
        <w:t>Pettustevastase</w:t>
      </w:r>
      <w:proofErr w:type="spellEnd"/>
      <w:r w:rsidRPr="00EC3721">
        <w:rPr>
          <w:b/>
          <w:i/>
        </w:rPr>
        <w:t xml:space="preserve"> Ameti (OLAF) juurdluse tulemused</w:t>
      </w:r>
    </w:p>
    <w:p w14:paraId="32B74BFA" w14:textId="77777777" w:rsidR="000F474C" w:rsidRPr="00EC3721" w:rsidRDefault="000F474C" w:rsidP="000F474C">
      <w:pPr>
        <w:pStyle w:val="NormalHanging12a"/>
      </w:pPr>
      <w:r w:rsidRPr="00EC3721">
        <w:t>4.</w:t>
      </w:r>
      <w:r w:rsidRPr="00EC3721">
        <w:tab/>
        <w:t xml:space="preserve">märgib, et OLAF tegi oma juurdluse lõpparuande anonüümitud versiooni eelarvekontrollikomisjoni liikmetele kättesaadavaks 2025. aasta märtsis ning kodanikuvabaduste, justiits- ja siseasjade komisjonile 2025. aasta juulis; mõistab hukka viivituse juurdlusele juurdepääsul, mis anti alles märtsis, hoolimata taotlusest, mille raportöör esitas 2024. aasta detsembris, kusjuures </w:t>
      </w:r>
      <w:proofErr w:type="spellStart"/>
      <w:r w:rsidRPr="00EC3721">
        <w:t>OLAFi</w:t>
      </w:r>
      <w:proofErr w:type="spellEnd"/>
      <w:r w:rsidRPr="00EC3721">
        <w:t xml:space="preserve"> vastuses viidatakse Euroopa Liidu Varjupaigaameti haldusnõukogu vastuväidetele; toonitab, et eelarvekontrollikomisjoni liikmetele oleks tulnud anda juurdepääs aruandele varem, et tagada nende volituste nõuetekohane täitmine;</w:t>
      </w:r>
    </w:p>
    <w:p w14:paraId="3CEA7FB3" w14:textId="77777777" w:rsidR="000F474C" w:rsidRPr="00EC3721" w:rsidRDefault="000F474C" w:rsidP="000F474C">
      <w:pPr>
        <w:pStyle w:val="NormalHanging12a"/>
      </w:pPr>
      <w:r w:rsidRPr="00EC3721">
        <w:t>5.</w:t>
      </w:r>
      <w:r w:rsidRPr="00EC3721">
        <w:tab/>
        <w:t xml:space="preserve">on teadlik, et </w:t>
      </w:r>
      <w:proofErr w:type="spellStart"/>
      <w:r w:rsidRPr="00EC3721">
        <w:t>OLAFi</w:t>
      </w:r>
      <w:proofErr w:type="spellEnd"/>
      <w:r w:rsidRPr="00EC3721">
        <w:t xml:space="preserve"> juurdlused viiakse katkestusteta läbi ajavahemiku vältel, mis peab olema proportsionaalne juhtumi asjaolude ja keerukusega; on mures </w:t>
      </w:r>
      <w:proofErr w:type="spellStart"/>
      <w:r w:rsidRPr="00EC3721">
        <w:t>OLAFi</w:t>
      </w:r>
      <w:proofErr w:type="spellEnd"/>
      <w:r w:rsidRPr="00EC3721">
        <w:t xml:space="preserve"> juurdluste pikkuse pärast, kuna see kahjustab eelarve täitmisele heakskiidu andmise eest vastutava institutsiooni võimet oma järeldusi tõhusalt kaaluda; rõhutab õigeaegsete juurdluste olulisust Euroopa Parlamendi tulemusliku järelevalve säilitamisel; kutsub </w:t>
      </w:r>
      <w:proofErr w:type="spellStart"/>
      <w:r w:rsidRPr="00EC3721">
        <w:t>OLAFit</w:t>
      </w:r>
      <w:proofErr w:type="spellEnd"/>
      <w:r w:rsidRPr="00EC3721">
        <w:t xml:space="preserve"> üles vaatama läbi ja kiirendama juurdluste lõpuleviimise ja nende eelarve täitmisele heakskiidu andmise eest vastutava institutsiooniga jagamise menetlust; rõhutab, et sellised viivitused vähendavad eelarvekontrollikomisjoni liikmete suutlikkust oma järelevalvevolitusi mõjusalt täita, ning nõuab meetmeid, et tagada tulevikus kiire juurdepääs juurdlusaruannetele;</w:t>
      </w:r>
    </w:p>
    <w:p w14:paraId="0B31D39E" w14:textId="77777777" w:rsidR="000F474C" w:rsidRPr="00EC3721" w:rsidRDefault="000F474C" w:rsidP="000F474C">
      <w:pPr>
        <w:pStyle w:val="NormalHanging12a"/>
      </w:pPr>
      <w:r w:rsidRPr="00EC3721">
        <w:t>6.</w:t>
      </w:r>
      <w:r w:rsidRPr="00EC3721">
        <w:tab/>
        <w:t xml:space="preserve">rõhutab, et liidu eelarve kaitsmine peab jääma usaldusväärse finantsjuhtimise põhiväärtuseks, mida on kohustatud järgima kõik liidu institutsioonid, sealhulgas asutused ja detsentraliseeritud organid, kes peavad olema selgeks eeskujuks vastutusest ja läbipaistvusest Euroopa avaliku sektori vahendite kasutamisel; kordab, et </w:t>
      </w:r>
      <w:proofErr w:type="spellStart"/>
      <w:r w:rsidRPr="00EC3721">
        <w:t>pettustevastase</w:t>
      </w:r>
      <w:proofErr w:type="spellEnd"/>
      <w:r w:rsidRPr="00EC3721">
        <w:t xml:space="preserve"> võitluse institutsioonilises raamistikus on vaja tugevdada koordineerimist ja koostööd, eelkõige selleks, et tegeleda vajadusega kiiremate ja tõhusamate </w:t>
      </w:r>
      <w:proofErr w:type="spellStart"/>
      <w:r w:rsidRPr="00EC3721">
        <w:t>OLAFi</w:t>
      </w:r>
      <w:proofErr w:type="spellEnd"/>
      <w:r w:rsidRPr="00EC3721">
        <w:t xml:space="preserve"> juurdluste järele, viies need jõupingutused kooskõlla laiema eesmärgiga kaitsta liidu rahalisi vahendeid;</w:t>
      </w:r>
    </w:p>
    <w:p w14:paraId="119002DB" w14:textId="77777777" w:rsidR="000F474C" w:rsidRPr="00EC3721" w:rsidRDefault="000F474C" w:rsidP="000F474C">
      <w:pPr>
        <w:pStyle w:val="NormalHanging12a"/>
      </w:pPr>
      <w:r w:rsidRPr="00EC3721">
        <w:t>7.</w:t>
      </w:r>
      <w:r w:rsidRPr="00EC3721">
        <w:tab/>
        <w:t xml:space="preserve">kutsub ametit ja </w:t>
      </w:r>
      <w:proofErr w:type="spellStart"/>
      <w:r w:rsidRPr="00EC3721">
        <w:t>OLAFit</w:t>
      </w:r>
      <w:proofErr w:type="spellEnd"/>
      <w:r w:rsidRPr="00EC3721">
        <w:t xml:space="preserve"> üles tegema </w:t>
      </w:r>
      <w:proofErr w:type="spellStart"/>
      <w:r w:rsidRPr="00EC3721">
        <w:t>OLAFi</w:t>
      </w:r>
      <w:proofErr w:type="spellEnd"/>
      <w:r w:rsidRPr="00EC3721">
        <w:t xml:space="preserve"> aruande anonüümitud kokkuvõte läbipaistvuse ja üldsuse usalduse huvides avalikult kättesaadavaks, niivõrd kui see on õiguslikult võimalik;</w:t>
      </w:r>
    </w:p>
    <w:p w14:paraId="5CCA56B6" w14:textId="77777777" w:rsidR="000F474C" w:rsidRPr="00EC3721" w:rsidRDefault="000F474C" w:rsidP="000F474C">
      <w:pPr>
        <w:pStyle w:val="NormalHanging12a"/>
      </w:pPr>
      <w:r w:rsidRPr="00EC3721">
        <w:t>8.</w:t>
      </w:r>
      <w:r w:rsidRPr="00EC3721">
        <w:tab/>
        <w:t>võtab teadmiseks, et OLAF esitas pärast juurdlust distsiplinaar- ja haldussoovitused;</w:t>
      </w:r>
    </w:p>
    <w:p w14:paraId="596D6513" w14:textId="77777777" w:rsidR="000F474C" w:rsidRPr="00EC3721" w:rsidRDefault="000F474C" w:rsidP="000F474C">
      <w:pPr>
        <w:pStyle w:val="NormalHanging12a"/>
      </w:pPr>
      <w:r w:rsidRPr="00EC3721">
        <w:t>9.</w:t>
      </w:r>
      <w:r w:rsidRPr="00EC3721">
        <w:tab/>
        <w:t>märgib, et seoses distsiplinaarsoovitustega otsustas haldusnõukogu järelmeetmena jätta distsiplinaarmenetluse algatamata ja esitas selle asemel kirjalikud soovitused koos hoiatusega ning nõudis tegevdirektorilt esimesel võimalusel konkreetseid ettepanekuid parandusmeetmete võtmiseks ja nende rakendamise ajakava; tunnistab, et vastavalt sellele taotlusele on tegevdirektor esitanud haldusnõukogule allpool nimetatud dokumendid, mis hõlmavad järgmist:</w:t>
      </w:r>
    </w:p>
    <w:p w14:paraId="54CB6564" w14:textId="77777777" w:rsidR="000F474C" w:rsidRPr="00EC3721" w:rsidRDefault="000F474C" w:rsidP="000F474C">
      <w:pPr>
        <w:pStyle w:val="NormalHanging12a"/>
        <w:ind w:left="927" w:hanging="360"/>
      </w:pPr>
      <w:r w:rsidRPr="00EC3721">
        <w:t>–</w:t>
      </w:r>
      <w:r w:rsidRPr="00EC3721">
        <w:tab/>
        <w:t>haldusnõukogu soovitused;</w:t>
      </w:r>
    </w:p>
    <w:p w14:paraId="19FD7EDA" w14:textId="77777777" w:rsidR="000F474C" w:rsidRPr="00EC3721" w:rsidRDefault="000F474C" w:rsidP="000F474C">
      <w:pPr>
        <w:pStyle w:val="NormalHanging12a"/>
        <w:ind w:left="927" w:hanging="360"/>
      </w:pPr>
      <w:r w:rsidRPr="00EC3721">
        <w:lastRenderedPageBreak/>
        <w:t>–</w:t>
      </w:r>
      <w:r w:rsidRPr="00EC3721">
        <w:tab/>
        <w:t>ameti praegune olukord seoses iga soovitusega; ja</w:t>
      </w:r>
    </w:p>
    <w:p w14:paraId="2CF83CA6" w14:textId="77777777" w:rsidR="000F474C" w:rsidRPr="00EC3721" w:rsidRDefault="000F474C" w:rsidP="000F474C">
      <w:pPr>
        <w:pStyle w:val="NormalHanging12a"/>
        <w:ind w:left="927" w:hanging="360"/>
      </w:pPr>
      <w:r w:rsidRPr="00EC3721">
        <w:t>–</w:t>
      </w:r>
      <w:r w:rsidRPr="00EC3721">
        <w:tab/>
        <w:t>täiendavad parandusmeetmed, mida tuleb rakendada, koos nende rakendamise esialgse ajakavaga; kutsub haldusnõukogu üles võtma seoses soovitustega järelmeetmeid ja andma eelarve täitmisele heakskiidu andmise eest vastutavale institutsioonile aru nende täieliku ja õigeaegse rakendamise kohta;</w:t>
      </w:r>
    </w:p>
    <w:p w14:paraId="4A3B82C6" w14:textId="6A67E457" w:rsidR="000F474C" w:rsidRPr="00EC3721" w:rsidRDefault="000F474C" w:rsidP="000F474C">
      <w:pPr>
        <w:pStyle w:val="NormalHanging12a"/>
      </w:pPr>
      <w:r w:rsidRPr="00EC3721">
        <w:t>10.</w:t>
      </w:r>
      <w:r w:rsidRPr="00EC3721">
        <w:tab/>
        <w:t xml:space="preserve">peab kahetsusväärseks, et haldusnõukogu on pärast intensiivseid arutelusid otsustanud </w:t>
      </w:r>
      <w:proofErr w:type="spellStart"/>
      <w:r w:rsidRPr="00EC3721">
        <w:t>OLAFi</w:t>
      </w:r>
      <w:proofErr w:type="spellEnd"/>
      <w:r w:rsidRPr="00EC3721">
        <w:t xml:space="preserve"> distsiplinaarsoovitusi mitte rakendada, sealhulgas mitte algatada distsiplinaarmenetlusi </w:t>
      </w:r>
      <w:r w:rsidR="005A3463" w:rsidRPr="00EC3721">
        <w:t>ameti</w:t>
      </w:r>
      <w:r w:rsidRPr="00EC3721">
        <w:t xml:space="preserve"> tegevdirektori või ameti muude töötajate suhtes, hoolimata </w:t>
      </w:r>
      <w:proofErr w:type="spellStart"/>
      <w:r w:rsidRPr="00EC3721">
        <w:t>OLAFi</w:t>
      </w:r>
      <w:proofErr w:type="spellEnd"/>
      <w:r w:rsidRPr="00EC3721">
        <w:t xml:space="preserve"> olulistest leidudest, mis näivad olevat süstemaatilised ja õõnestavad usaldust ameti juhtkonna vastu; rõhutab, et see otsus tõstatab küsimusi nõukogu pühendumise kohta aruandekohustusele ja vastutusele kooskõlas institutsiooniliste ootustega, ning võtab teadmiseks nõukogu tahtliku valiku soovitusi pärast tõstatatud küsimuste läbivaatamist mitte rakendada; rõhutab, et Euroopa Parlament pöörab erilist tähelepanu võetud parandusmeetmetele; ootab, et amet näitaks üles eeskujulikke järelmeetmeid, kõrgeid standardeid, selget vastutust parandusmeetmete rakendamise eest ja täielikku aruandekohustust; kutsub ametit üles tagama läbipaistvat aruandmist Euroopa Parlamendile, muu hulgas jagades </w:t>
      </w:r>
      <w:r w:rsidR="005A3463" w:rsidRPr="00EC3721">
        <w:t>Euroopa P</w:t>
      </w:r>
      <w:r w:rsidRPr="00EC3721">
        <w:t>arlamendiga haldusnõukogu arutelude protokolle, et tugevdada parlamentaarset järelevalvet;</w:t>
      </w:r>
    </w:p>
    <w:p w14:paraId="6814B0EE" w14:textId="2EAFD471" w:rsidR="000F474C" w:rsidRPr="00EC3721" w:rsidRDefault="000F474C" w:rsidP="000F474C">
      <w:pPr>
        <w:pStyle w:val="NormalHanging12a"/>
      </w:pPr>
      <w:r w:rsidRPr="00EC3721">
        <w:t>11.</w:t>
      </w:r>
      <w:r w:rsidRPr="00EC3721">
        <w:tab/>
        <w:t xml:space="preserve">märgib, et tegevdirektor koostas visiooni kirjelduse selle kohta, kuidas juhatus </w:t>
      </w:r>
      <w:r w:rsidR="005A3463" w:rsidRPr="00EC3721">
        <w:t>ametis</w:t>
      </w:r>
      <w:r w:rsidRPr="00EC3721">
        <w:t xml:space="preserve"> muudatusi ellu viib, koos rakendatud ja rakendatavate parandusmeetmetega; palub ametil teavitada eelarve täitmisele heakskiidu andmise eest vastutavat institutsiooni rakendatud ja rakendatavatest parandusmeetmetest koos nende lõpuleviimise tähtaegadega;</w:t>
      </w:r>
    </w:p>
    <w:p w14:paraId="7CD493D7" w14:textId="77777777" w:rsidR="000F474C" w:rsidRPr="00EC3721" w:rsidRDefault="000F474C" w:rsidP="000F474C">
      <w:pPr>
        <w:pStyle w:val="NormalHanging12a"/>
      </w:pPr>
      <w:r w:rsidRPr="00EC3721">
        <w:t>12.</w:t>
      </w:r>
      <w:r w:rsidRPr="00EC3721">
        <w:tab/>
        <w:t>väljendab muret selle pärast, et haldussoovitustes toodi välja, et töötajate hindamisi viivad läbi pigem sektori juhatajad kui üksuse juhatajad, samuti esineb ametis puudusi huvide konfliktide haldamisel;</w:t>
      </w:r>
    </w:p>
    <w:p w14:paraId="0238A934" w14:textId="77777777" w:rsidR="000F474C" w:rsidRPr="00EC3721" w:rsidRDefault="000F474C" w:rsidP="000F474C">
      <w:pPr>
        <w:pStyle w:val="NormalHanging12a"/>
      </w:pPr>
      <w:r w:rsidRPr="00EC3721">
        <w:t>13.</w:t>
      </w:r>
      <w:r w:rsidRPr="00EC3721">
        <w:tab/>
        <w:t>väljendab heameelt selle üle, et alates 2025. aastast viivad töötajate hindamisi läbi üksuse juhatajad, nagu on ette nähtud kehtivates eeskirjades;</w:t>
      </w:r>
    </w:p>
    <w:p w14:paraId="52BFDA60" w14:textId="77777777" w:rsidR="000F474C" w:rsidRPr="00EC3721" w:rsidRDefault="000F474C" w:rsidP="000F474C">
      <w:pPr>
        <w:pStyle w:val="NormalHanging12a"/>
      </w:pPr>
      <w:r w:rsidRPr="00EC3721">
        <w:t>14.</w:t>
      </w:r>
      <w:r w:rsidRPr="00EC3721">
        <w:tab/>
        <w:t>taunib teravalt puudusi huvide konfliktide haldamisel ametis, eelkõige nende kaebuste puudulikku käsitlemist, mille haldusnõukogu on esitanud tegevdirektori otsuste vastu; rõhutab, et sellised tavad õõnestavad ameti ausameelsust ja usaldusväärsust; kutsub ametit üles teavitama eelarve täitmisele heakskiidu andmise eest vastutavat institutsiooni kiiresti võetud parandusmeetmetest ja tehtud organisatsioonilistest muudatustest; rõhutab, et vastuvõetavaks peetakse ainult tugevat ja eeskujulikku huvide konfliktide haldamise raamistikku;</w:t>
      </w:r>
    </w:p>
    <w:p w14:paraId="25296E58" w14:textId="77777777" w:rsidR="000F474C" w:rsidRPr="00EC3721" w:rsidRDefault="000F474C" w:rsidP="000F474C">
      <w:pPr>
        <w:pStyle w:val="NormalHanging12a"/>
      </w:pPr>
      <w:r w:rsidRPr="00EC3721">
        <w:t>15.</w:t>
      </w:r>
      <w:r w:rsidRPr="00EC3721">
        <w:tab/>
        <w:t>märgib, et nii haldusnõukogu kui ka tegevdirektor on tunnistanud süüdistuste ja tõstatatud küsimuste tõsidust; võtab siiski teadmiseks, et tegevdirektor oli skeptiline, viidates kriisiaegsele erakordsele töökoormusele, mida ei saa kasutada järelduste tagasilükkamise põhjendusena; on seisukohal, et tunnistamisega peavad kaasnema otsustavad parandusmeetmed, õigeaegne rakendamine ja täielik aruandekohustus eelarve täitmisele heakskiidu andmise eest vastutava institutsiooni ees;</w:t>
      </w:r>
    </w:p>
    <w:p w14:paraId="417AEBCD" w14:textId="77777777" w:rsidR="000F474C" w:rsidRPr="00EC3721" w:rsidRDefault="000F474C" w:rsidP="000F474C">
      <w:pPr>
        <w:pStyle w:val="NormalHanging12a"/>
      </w:pPr>
      <w:r w:rsidRPr="00EC3721">
        <w:t>16.</w:t>
      </w:r>
      <w:r w:rsidRPr="00EC3721">
        <w:tab/>
        <w:t xml:space="preserve">märgib murelikult, et juhtimises esineb korduvaid puudusi, sealhulgas ei suuda haldusnõukogu teha õigeaegset ja tulemuslikku järelevalvet; peab kahetsusväärseks, et </w:t>
      </w:r>
      <w:r w:rsidRPr="00EC3721">
        <w:lastRenderedPageBreak/>
        <w:t>mitmeid õigusnormide rikkumisi oleks saanud vältida parema sisekontrolli ja haldusnõukogu ennetava tegevuse abil; toonitab, et selle institutsionaalse läbikukkumisega tuleb tegeleda struktuurselt, mitte ainult menetluslikult;</w:t>
      </w:r>
    </w:p>
    <w:p w14:paraId="23B4FC67" w14:textId="1DB8A208" w:rsidR="000F474C" w:rsidRPr="00EC3721" w:rsidRDefault="000F474C" w:rsidP="000F474C">
      <w:pPr>
        <w:pStyle w:val="NormalHanging12a"/>
      </w:pPr>
      <w:r w:rsidRPr="00EC3721">
        <w:t>17.</w:t>
      </w:r>
      <w:r w:rsidRPr="00EC3721">
        <w:tab/>
        <w:t xml:space="preserve">mõistab hukka halva halduse probleemid, eriti personalivaldkonnas, kus esineb tõsiseid õigusnormide rikkumisi, eelkõige ametisse nimetamise ja valikumenetluse puhul, mis on vastuolus ametnike personalieeskirjade ning liidu muude teenistujate teenistustingimustega; on teadlik, et ajavahemikul 2019–2022 seisis amet silmitsi keeruliste asjaoludega, nagu COVID-19 pandeemia, ajutise kaitse direktiivi aktiveerimine või uute volituste, pädevuste ja vastutusaladega </w:t>
      </w:r>
      <w:r w:rsidR="005A3463" w:rsidRPr="00EC3721">
        <w:t>ameti</w:t>
      </w:r>
      <w:r w:rsidRPr="00EC3721">
        <w:t xml:space="preserve"> määrus</w:t>
      </w:r>
      <w:r w:rsidR="00FE32AA" w:rsidRPr="00EC3721">
        <w:t>e</w:t>
      </w:r>
      <w:r w:rsidR="00902C00" w:rsidRPr="00EC3721">
        <w:rPr>
          <w:rStyle w:val="FootnoteReference"/>
        </w:rPr>
        <w:footnoteReference w:id="17"/>
      </w:r>
      <w:r w:rsidRPr="00EC3721">
        <w:t xml:space="preserve"> jõustumine; lükkab siiski tagasi kõik katsed kasutada selliseid asjaolusid siduvate õigusaktide täitmata jätmise õigustamiseks; kutsub ametit üles viima oma värbamisprotsessid täielikult kooskõlla kohaldatavate eeskirjadega ning nõuab rangete, läbipaistvate ja tulemuspõhiste menetluste vastuvõtmist, millega kaasnevad täitmisele pööratavad suunised ja mille üle teeb ranget järelevalvet eelarve täitmisele heakskiidu andmise eest vastutav institutsioon;</w:t>
      </w:r>
    </w:p>
    <w:p w14:paraId="7143C897" w14:textId="77777777" w:rsidR="000F474C" w:rsidRPr="00EC3721" w:rsidRDefault="000F474C" w:rsidP="000F474C">
      <w:pPr>
        <w:pStyle w:val="NormalHanging12a"/>
      </w:pPr>
      <w:r w:rsidRPr="00EC3721">
        <w:t>18.</w:t>
      </w:r>
      <w:r w:rsidRPr="00EC3721">
        <w:tab/>
        <w:t>väljendab heameelt, et alates 2023. aasta jaanuarist on lõpetatud juhtide kohusetäitjate ametisse nimetamise tava;</w:t>
      </w:r>
    </w:p>
    <w:p w14:paraId="50734C81" w14:textId="77777777" w:rsidR="000F474C" w:rsidRPr="00EC3721" w:rsidRDefault="000F474C" w:rsidP="000F474C">
      <w:pPr>
        <w:pStyle w:val="NormalHanging12a"/>
      </w:pPr>
      <w:r w:rsidRPr="00EC3721">
        <w:t>19.</w:t>
      </w:r>
      <w:r w:rsidRPr="00EC3721">
        <w:tab/>
        <w:t>tuletab meelde, et üks haldusnõukogu peamisi ülesandeid on anda ametile üldine tegevussuund ja tagada, et amet täidab oma volitusi tulemuslikult; leiab, et üldise suuna andmiseks peab haldusnõukogu olema teadlik ja nõuetekohaselt informeeritud ameti suhtes kohaldatavatest õigusaktidest ning ameti juhtimises toimuvatest kriitilise tähtsusega arengutest; taunib korduvaid puudusi selles valdkonnas ning kutsub ametit üles looma tõhusad, süstemaatilised ja läbipaistvad menetlused haldusnõukoguga suhtlemiseks;</w:t>
      </w:r>
    </w:p>
    <w:p w14:paraId="724AD03F" w14:textId="77777777" w:rsidR="000F474C" w:rsidRPr="00EC3721" w:rsidRDefault="000F474C" w:rsidP="000F474C">
      <w:pPr>
        <w:pStyle w:val="NormalHanging12a"/>
      </w:pPr>
      <w:r w:rsidRPr="00EC3721">
        <w:t>20.</w:t>
      </w:r>
      <w:r w:rsidRPr="00EC3721">
        <w:tab/>
        <w:t>kutsub Euroopa Komisjoni, kellel on haldusnõukogus kaks kohta, üles aktiivselt toetama ja abistama teisi haldusnõukogu liikmeid ameti suhtes kohaldatavate eeskirjade mõistmisel ning tegema kindlaks sellest konkreetsest juhtumist saadud õppetunnid ja jagama neid osana laiematest ennetuspüüdlustest; kutsub ametit üles andma eelarve täitmisele heakskiidu andmise eest vastutavale institutsioonile aru meetmetest, mis on võetud haldusnõukoguga suhtlemise parandamiseks;</w:t>
      </w:r>
    </w:p>
    <w:p w14:paraId="3B23E37E" w14:textId="77777777" w:rsidR="000F474C" w:rsidRPr="00EC3721" w:rsidRDefault="000F474C" w:rsidP="000F474C">
      <w:pPr>
        <w:pStyle w:val="NormalHanging12a"/>
      </w:pPr>
      <w:r w:rsidRPr="00EC3721">
        <w:t>21.</w:t>
      </w:r>
      <w:r w:rsidRPr="00EC3721">
        <w:tab/>
        <w:t xml:space="preserve">väljendab heameelt arvamuste vahetuse käigus tehtud komisjoni ettepaneku üle võimaluse kohta jagada teatud horisontaalsetes valdkondades </w:t>
      </w:r>
      <w:proofErr w:type="spellStart"/>
      <w:r w:rsidRPr="00EC3721">
        <w:t>ühistalitusi</w:t>
      </w:r>
      <w:proofErr w:type="spellEnd"/>
      <w:r w:rsidRPr="00EC3721">
        <w:t xml:space="preserve"> detsentraliseeritud asutuste vahel, kuna see aitaks protsesse paremini juhtida ja ressursse tõhusamalt kasutada; julgustab komisjoni uurima seda võimalust ja tegema sellega seoses ettepanekuid konkreetsete meetmete võtmiseks;</w:t>
      </w:r>
    </w:p>
    <w:p w14:paraId="6ADB341C" w14:textId="4F2CC9F9" w:rsidR="000F474C" w:rsidRPr="00EC3721" w:rsidRDefault="000F474C" w:rsidP="000F474C">
      <w:pPr>
        <w:pStyle w:val="NormalHanging12a"/>
      </w:pPr>
      <w:r w:rsidRPr="00EC3721">
        <w:t>22.</w:t>
      </w:r>
      <w:r w:rsidRPr="00EC3721">
        <w:tab/>
        <w:t xml:space="preserve">kutsub ametit üles looma sõltumatut sisemist eetikaorganit ja rõhutab, kui oluline on, et oleks olemas kindlad eeskirjad rikkumisest teatajate kaitseks kooskõlas direktiiviga (EL) 2019/1937; rõhutab, et asutusesisesed teatamiskanalid peavad olema konfidentsiaalsed, usaldusväärsed ja kõikide tasandite töötajate </w:t>
      </w:r>
      <w:r w:rsidR="005A3463" w:rsidRPr="00EC3721">
        <w:t>jaoks</w:t>
      </w:r>
      <w:r w:rsidRPr="00EC3721">
        <w:t xml:space="preserve"> usaldatavad;</w:t>
      </w:r>
    </w:p>
    <w:p w14:paraId="766B001E" w14:textId="77777777" w:rsidR="000F474C" w:rsidRPr="00EC3721" w:rsidRDefault="000F474C" w:rsidP="000F474C">
      <w:pPr>
        <w:pStyle w:val="NormalHanging12a"/>
      </w:pPr>
      <w:r w:rsidRPr="00EC3721">
        <w:lastRenderedPageBreak/>
        <w:t>23.</w:t>
      </w:r>
      <w:r w:rsidRPr="00EC3721">
        <w:tab/>
        <w:t xml:space="preserve">rõhutab, et kuigi mõned sündmused pärinevad aastatest 2021, 2022 ja varasemast ajast, viidi </w:t>
      </w:r>
      <w:proofErr w:type="spellStart"/>
      <w:r w:rsidRPr="00EC3721">
        <w:t>OLAFi</w:t>
      </w:r>
      <w:proofErr w:type="spellEnd"/>
      <w:r w:rsidRPr="00EC3721">
        <w:t xml:space="preserve"> juurdlus lõpule alles 2024. aastal; toonitab, et veel ei ole võimalik järeldada, et need küsimused on täielikult lahendatud; rõhutab, et eelarve täitmisele heakskiidu andmise eest vastutav institutsioon säilitab täieliku õiguse täita oma järelevalvekohustusi, kuni olukord on täielikult parandatud ja seda on selgitatud; kutsub tegevdirektorit ja haldusnõukogu üles tunnistama kõiki struktuurseid puudusi nii ameti personalijuhtimises kui ka haldusnõukogu järelevalvefunktsioonides ning need puudused kõrvaldama ja võtma tulemuslikke meetmeid, et vältida sarnaste probleemide kordumist, ning jätab endale õiguse keelduda tulevaste eelarve täitmisele heakskiidu andmise otsuste tegemisest või seada sellele tingimusi, kui amet ei suuda viia läbi täielikku struktuurireformi;</w:t>
      </w:r>
    </w:p>
    <w:p w14:paraId="01F0791C" w14:textId="77777777" w:rsidR="000F474C" w:rsidRPr="00EC3721" w:rsidRDefault="000F474C" w:rsidP="000F474C">
      <w:pPr>
        <w:pStyle w:val="NormalHanging12a"/>
      </w:pPr>
      <w:r w:rsidRPr="00EC3721">
        <w:t>24.</w:t>
      </w:r>
      <w:r w:rsidRPr="00EC3721">
        <w:tab/>
        <w:t xml:space="preserve">võtab eriti murelikult teadmiseks </w:t>
      </w:r>
      <w:proofErr w:type="spellStart"/>
      <w:r w:rsidRPr="00EC3721">
        <w:t>OLAFi</w:t>
      </w:r>
      <w:proofErr w:type="spellEnd"/>
      <w:r w:rsidRPr="00EC3721">
        <w:t xml:space="preserve"> aruandes mainitud äärmiselt kõrge tööjõu </w:t>
      </w:r>
      <w:proofErr w:type="spellStart"/>
      <w:r w:rsidRPr="00EC3721">
        <w:t>voolavuse</w:t>
      </w:r>
      <w:proofErr w:type="spellEnd"/>
      <w:r w:rsidRPr="00EC3721">
        <w:t xml:space="preserve"> määra, ilma et juhtkond oleks suutnud esitada rahuldavat selgitust; kutsub tegevdirektorit ja haldusnõukogu ning eelkõige komisjoni esindajaid haldusnõukogus üles korraldama kõigi ametist lahkuvate töötajatega süstemaatilisi lahkumisvestlusi, dokumenteerima tulemused põhjalikult ning andma eelarve täitmisele heakskiidu andmise eest vastutavale institutsioonile 2024. aasta eelarve täitmisele heakskiidu andmise menetluse raames aru selles valdkonnas saavutatud tulemustest ja tehtud edusammudest;</w:t>
      </w:r>
    </w:p>
    <w:p w14:paraId="0162E48B" w14:textId="77777777" w:rsidR="000F474C" w:rsidRPr="00EC3721" w:rsidRDefault="000F474C" w:rsidP="000F474C">
      <w:pPr>
        <w:pStyle w:val="NormalHanging12a"/>
      </w:pPr>
      <w:r w:rsidRPr="00EC3721">
        <w:t>25.</w:t>
      </w:r>
      <w:r w:rsidRPr="00EC3721">
        <w:tab/>
        <w:t>tunnustab ameti töötajaid nende pühendumuse ja kohusetunde eest oma ülesannete täitmisel hoolimata keerulistest asjaoludest; peab väga oluliseks soodustada positiivset töökeskkonda, edendades häid tavasid personali tasandil ja premeerides tulemuslikkust; kutsub haldusnõukogu ja tegevdirektorit üles tagama, et amet oleks turvaline ja toetav töökoht, mis soodustab avatud suhtlemist ja annab inimestele võimaluse avaldada arvamust kättemaksu kartmata; kutsub ametit üles tagama, et kõiki ametialase väärkäitumise kohta esitatud teateid võetakse tõsiselt ja uuritakse põhjalikult ning võetakse asjakohaseid järelmeetmeid, et säilitada organisatsioonis ausameelsus ja usaldus;</w:t>
      </w:r>
    </w:p>
    <w:p w14:paraId="2440CF0A" w14:textId="77777777" w:rsidR="005A3463" w:rsidRPr="00EC3721" w:rsidRDefault="005A3463" w:rsidP="005A3463">
      <w:pPr>
        <w:keepLines/>
        <w:spacing w:before="100" w:beforeAutospacing="1" w:after="100" w:afterAutospacing="1"/>
        <w:jc w:val="center"/>
      </w:pPr>
      <w:r w:rsidRPr="00EC3721">
        <w:rPr>
          <w:noProof/>
        </w:rPr>
        <w:t>o</w:t>
      </w:r>
      <w:r w:rsidRPr="00EC3721">
        <w:rPr>
          <w:noProof/>
        </w:rPr>
        <w:br/>
        <w:t>o   o</w:t>
      </w:r>
    </w:p>
    <w:p w14:paraId="24DFD2C3" w14:textId="7D85C172" w:rsidR="00E365E1" w:rsidRPr="00EC3721" w:rsidRDefault="000F474C" w:rsidP="005A3463">
      <w:pPr>
        <w:pStyle w:val="CM1"/>
        <w:spacing w:before="120" w:after="120"/>
        <w:ind w:left="567" w:hanging="567"/>
      </w:pPr>
      <w:r w:rsidRPr="00EC3721">
        <w:rPr>
          <w:rFonts w:ascii="Times New Roman" w:hAnsi="Times New Roman"/>
          <w:snapToGrid w:val="0"/>
        </w:rPr>
        <w:t>26.</w:t>
      </w:r>
      <w:r w:rsidRPr="00EC3721">
        <w:rPr>
          <w:rFonts w:ascii="Times New Roman" w:hAnsi="Times New Roman"/>
          <w:snapToGrid w:val="0"/>
        </w:rPr>
        <w:tab/>
        <w:t>viitab muude tähelepanekute osas oma 7. mai 2025. aasta resolutsioonile</w:t>
      </w:r>
      <w:r w:rsidRPr="00EC3721">
        <w:rPr>
          <w:rStyle w:val="FootnoteReference"/>
          <w:rFonts w:ascii="Times New Roman" w:hAnsi="Times New Roman"/>
          <w:snapToGrid w:val="0"/>
        </w:rPr>
        <w:footnoteReference w:id="18"/>
      </w:r>
      <w:r w:rsidRPr="00EC3721">
        <w:rPr>
          <w:rFonts w:ascii="Times New Roman" w:hAnsi="Times New Roman"/>
          <w:snapToGrid w:val="0"/>
        </w:rPr>
        <w:t xml:space="preserve"> tähelepanekutega, mis on Euroopa Liidu asutuste eelarve täitmisele heakskiidu andmist käsitlevate otsuste lahutamatu osa.</w:t>
      </w:r>
    </w:p>
    <w:sectPr w:rsidR="00E365E1" w:rsidRPr="00EC3721" w:rsidSect="002109E9">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D6D89" w14:textId="77777777" w:rsidR="001D43A7" w:rsidRPr="002109E9" w:rsidRDefault="001D43A7">
      <w:r w:rsidRPr="002109E9">
        <w:separator/>
      </w:r>
    </w:p>
  </w:endnote>
  <w:endnote w:type="continuationSeparator" w:id="0">
    <w:p w14:paraId="73E22370" w14:textId="77777777" w:rsidR="001D43A7" w:rsidRPr="002109E9" w:rsidRDefault="001D43A7">
      <w:r w:rsidRPr="002109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7A0B6" w14:textId="77777777" w:rsidR="002109E9" w:rsidRPr="002109E9" w:rsidRDefault="00210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AA495" w14:textId="77777777" w:rsidR="002109E9" w:rsidRPr="002109E9" w:rsidRDefault="002109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9B1CD" w14:textId="77777777" w:rsidR="000F474C" w:rsidRPr="002109E9" w:rsidRDefault="000F474C" w:rsidP="00806EEE">
    <w:pPr>
      <w:pStyle w:val="EPFooter"/>
    </w:pPr>
    <w:r w:rsidRPr="002109E9">
      <w:rPr>
        <w:rStyle w:val="HideTWBExt"/>
      </w:rPr>
      <w:t>&lt;PathFdR&gt;</w:t>
    </w:r>
    <w:r w:rsidRPr="002109E9">
      <w:t>PR\1321847EN.docx</w:t>
    </w:r>
    <w:r w:rsidRPr="002109E9">
      <w:rPr>
        <w:rStyle w:val="HideTWBExt"/>
      </w:rPr>
      <w:t>&lt;/PathFdR&gt;</w:t>
    </w:r>
    <w:r w:rsidRPr="002109E9">
      <w:tab/>
    </w:r>
    <w:r w:rsidRPr="002109E9">
      <w:fldChar w:fldCharType="begin"/>
    </w:r>
    <w:r w:rsidRPr="002109E9">
      <w:instrText xml:space="preserve"> PAGE </w:instrText>
    </w:r>
    <w:r w:rsidRPr="002109E9">
      <w:fldChar w:fldCharType="separate"/>
    </w:r>
    <w:r w:rsidRPr="002109E9">
      <w:rPr>
        <w:noProof/>
      </w:rPr>
      <w:t>4</w:t>
    </w:r>
    <w:r w:rsidRPr="002109E9">
      <w:fldChar w:fldCharType="end"/>
    </w:r>
    <w:r w:rsidRPr="002109E9">
      <w:t>/</w:t>
    </w:r>
    <w:r w:rsidRPr="002109E9">
      <w:fldChar w:fldCharType="begin"/>
    </w:r>
    <w:r w:rsidRPr="002109E9">
      <w:instrText xml:space="preserve"> NUMPAGES </w:instrText>
    </w:r>
    <w:r w:rsidRPr="002109E9">
      <w:fldChar w:fldCharType="separate"/>
    </w:r>
    <w:r w:rsidRPr="002109E9">
      <w:rPr>
        <w:noProof/>
      </w:rPr>
      <w:t>15</w:t>
    </w:r>
    <w:r w:rsidRPr="002109E9">
      <w:rPr>
        <w:noProof/>
      </w:rPr>
      <w:fldChar w:fldCharType="end"/>
    </w:r>
    <w:r w:rsidRPr="002109E9">
      <w:tab/>
      <w:t>PE</w:t>
    </w:r>
    <w:r w:rsidRPr="002109E9">
      <w:rPr>
        <w:rStyle w:val="HideTWBExt"/>
      </w:rPr>
      <w:t>&lt;NoPE&gt;</w:t>
    </w:r>
    <w:r w:rsidRPr="002109E9">
      <w:t>774.259</w:t>
    </w:r>
    <w:r w:rsidRPr="002109E9">
      <w:rPr>
        <w:rStyle w:val="HideTWBExt"/>
      </w:rPr>
      <w:t>&lt;/NoPE&gt;&lt;Version&gt;</w:t>
    </w:r>
    <w:r w:rsidRPr="002109E9">
      <w:t>v01-00</w:t>
    </w:r>
    <w:r w:rsidRPr="002109E9">
      <w:rPr>
        <w:rStyle w:val="HideTWBExt"/>
      </w:rPr>
      <w:t>&lt;/Version&gt;</w:t>
    </w:r>
  </w:p>
  <w:p w14:paraId="2D56F2A5" w14:textId="77777777" w:rsidR="000F474C" w:rsidRPr="002109E9" w:rsidRDefault="000F474C" w:rsidP="00806EEE">
    <w:pPr>
      <w:pStyle w:val="EPFooter2"/>
    </w:pPr>
    <w:r w:rsidRPr="002109E9">
      <w:tab/>
    </w:r>
    <w:r w:rsidRPr="002109E9">
      <w:tab/>
    </w:r>
    <w:r w:rsidRPr="002109E9">
      <w:fldChar w:fldCharType="begin"/>
    </w:r>
    <w:r w:rsidRPr="002109E9">
      <w:instrText xml:space="preserve"> DOCPROPERTY "&lt;Extension&gt;" </w:instrText>
    </w:r>
    <w:r w:rsidRPr="002109E9">
      <w:fldChar w:fldCharType="separate"/>
    </w:r>
    <w:r w:rsidRPr="002109E9">
      <w:t>ET</w:t>
    </w:r>
    <w:r w:rsidRPr="002109E9">
      <w:fldChar w:fldCharType="end"/>
    </w:r>
  </w:p>
  <w:p w14:paraId="7BA77071" w14:textId="77777777" w:rsidR="000F474C" w:rsidRPr="002109E9" w:rsidRDefault="000F474C" w:rsidP="00806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5565E" w14:textId="77777777" w:rsidR="000F474C" w:rsidRPr="002109E9" w:rsidRDefault="000F474C" w:rsidP="00806EEE">
    <w:pPr>
      <w:pStyle w:val="EPFooter"/>
    </w:pPr>
    <w:r w:rsidRPr="002109E9">
      <w:rPr>
        <w:rStyle w:val="HideTWBExt"/>
        <w:rFonts w:eastAsiaTheme="majorEastAsia"/>
      </w:rPr>
      <w:t>&lt;PathFdR&gt;</w:t>
    </w:r>
    <w:r w:rsidRPr="002109E9">
      <w:t>PR\1321847EN.docx</w:t>
    </w:r>
    <w:r w:rsidRPr="002109E9">
      <w:rPr>
        <w:rStyle w:val="HideTWBExt"/>
        <w:rFonts w:eastAsiaTheme="majorEastAsia"/>
      </w:rPr>
      <w:t>&lt;/PathFdR&gt;</w:t>
    </w:r>
    <w:r w:rsidRPr="002109E9">
      <w:tab/>
    </w:r>
    <w:r w:rsidRPr="002109E9">
      <w:fldChar w:fldCharType="begin"/>
    </w:r>
    <w:r w:rsidRPr="002109E9">
      <w:instrText xml:space="preserve"> PAGE </w:instrText>
    </w:r>
    <w:r w:rsidRPr="002109E9">
      <w:fldChar w:fldCharType="separate"/>
    </w:r>
    <w:r w:rsidRPr="002109E9">
      <w:rPr>
        <w:noProof/>
      </w:rPr>
      <w:t>6</w:t>
    </w:r>
    <w:r w:rsidRPr="002109E9">
      <w:fldChar w:fldCharType="end"/>
    </w:r>
    <w:r w:rsidRPr="002109E9">
      <w:t>/</w:t>
    </w:r>
    <w:r w:rsidRPr="002109E9">
      <w:fldChar w:fldCharType="begin"/>
    </w:r>
    <w:r w:rsidRPr="002109E9">
      <w:instrText xml:space="preserve"> NUMPAGES </w:instrText>
    </w:r>
    <w:r w:rsidRPr="002109E9">
      <w:fldChar w:fldCharType="separate"/>
    </w:r>
    <w:r w:rsidRPr="002109E9">
      <w:rPr>
        <w:noProof/>
      </w:rPr>
      <w:t>15</w:t>
    </w:r>
    <w:r w:rsidRPr="002109E9">
      <w:rPr>
        <w:noProof/>
      </w:rPr>
      <w:fldChar w:fldCharType="end"/>
    </w:r>
    <w:r w:rsidRPr="002109E9">
      <w:tab/>
      <w:t>PE</w:t>
    </w:r>
    <w:r w:rsidRPr="002109E9">
      <w:rPr>
        <w:rStyle w:val="HideTWBExt"/>
        <w:rFonts w:eastAsiaTheme="majorEastAsia"/>
      </w:rPr>
      <w:t>&lt;NoPE&gt;</w:t>
    </w:r>
    <w:r w:rsidRPr="002109E9">
      <w:t>774.259</w:t>
    </w:r>
    <w:r w:rsidRPr="002109E9">
      <w:rPr>
        <w:rStyle w:val="HideTWBExt"/>
        <w:rFonts w:eastAsiaTheme="majorEastAsia"/>
      </w:rPr>
      <w:t>&lt;/NoPE&gt;&lt;Version&gt;</w:t>
    </w:r>
    <w:r w:rsidRPr="002109E9">
      <w:t>v01-00</w:t>
    </w:r>
    <w:r w:rsidRPr="002109E9">
      <w:rPr>
        <w:rStyle w:val="HideTWBExt"/>
        <w:rFonts w:eastAsiaTheme="majorEastAsia"/>
      </w:rPr>
      <w:t>&lt;/Version&gt;</w:t>
    </w:r>
  </w:p>
  <w:p w14:paraId="5B7F2C6A" w14:textId="77777777" w:rsidR="000F474C" w:rsidRPr="002109E9" w:rsidRDefault="000F474C" w:rsidP="00806EEE">
    <w:pPr>
      <w:pStyle w:val="EPFooter2"/>
    </w:pPr>
    <w:r w:rsidRPr="002109E9">
      <w:tab/>
    </w:r>
    <w:r w:rsidRPr="002109E9">
      <w:tab/>
    </w:r>
    <w:r w:rsidRPr="002109E9">
      <w:fldChar w:fldCharType="begin"/>
    </w:r>
    <w:r w:rsidRPr="002109E9">
      <w:instrText xml:space="preserve"> DOCPROPERTY "&lt;Extension&gt;" </w:instrText>
    </w:r>
    <w:r w:rsidRPr="002109E9">
      <w:fldChar w:fldCharType="separate"/>
    </w:r>
    <w:r w:rsidRPr="002109E9">
      <w:t>ET</w:t>
    </w:r>
    <w:r w:rsidRPr="002109E9">
      <w:fldChar w:fldCharType="end"/>
    </w:r>
  </w:p>
  <w:p w14:paraId="38D7B74C" w14:textId="77777777" w:rsidR="000F474C" w:rsidRPr="002109E9" w:rsidRDefault="000F474C" w:rsidP="00806E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39AA9" w14:textId="77777777" w:rsidR="00064002" w:rsidRPr="002109E9"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EEA53" w14:textId="77777777" w:rsidR="00064002" w:rsidRPr="002109E9"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B6AA4" w14:textId="77777777" w:rsidR="00064002" w:rsidRPr="002109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3DB69" w14:textId="77777777" w:rsidR="001D43A7" w:rsidRPr="002109E9" w:rsidRDefault="001D43A7">
      <w:r w:rsidRPr="002109E9">
        <w:separator/>
      </w:r>
    </w:p>
  </w:footnote>
  <w:footnote w:type="continuationSeparator" w:id="0">
    <w:p w14:paraId="4B4780B3" w14:textId="77777777" w:rsidR="001D43A7" w:rsidRPr="002109E9" w:rsidRDefault="001D43A7">
      <w:r w:rsidRPr="002109E9">
        <w:continuationSeparator/>
      </w:r>
    </w:p>
  </w:footnote>
  <w:footnote w:id="1">
    <w:p w14:paraId="658DB471" w14:textId="3CF41336"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C, C/2024/6332, 24.10.2024, ELI: </w:t>
      </w:r>
      <w:hyperlink r:id="rId1" w:history="1">
        <w:r w:rsidRPr="00690E3D">
          <w:rPr>
            <w:rStyle w:val="Hyperlink"/>
            <w:sz w:val="24"/>
            <w:szCs w:val="24"/>
            <w:lang w:val="et-EE"/>
          </w:rPr>
          <w:t>http://data.europa.eu/eli/C/2024/6332/oj</w:t>
        </w:r>
      </w:hyperlink>
      <w:r w:rsidRPr="00690E3D">
        <w:rPr>
          <w:sz w:val="24"/>
          <w:szCs w:val="24"/>
          <w:lang w:val="et-EE"/>
        </w:rPr>
        <w:t>.</w:t>
      </w:r>
    </w:p>
  </w:footnote>
  <w:footnote w:id="2">
    <w:p w14:paraId="0850519C" w14:textId="1B4F9634"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C, C/2024/6041, 10.10.2024, ELI: </w:t>
      </w:r>
      <w:hyperlink r:id="rId2" w:history="1">
        <w:r w:rsidRPr="00690E3D">
          <w:rPr>
            <w:rStyle w:val="Hyperlink"/>
            <w:sz w:val="24"/>
            <w:szCs w:val="24"/>
            <w:lang w:val="et-EE"/>
          </w:rPr>
          <w:t>http://data.europa.eu/eli/C/2024/6041/oj</w:t>
        </w:r>
      </w:hyperlink>
      <w:r w:rsidRPr="00690E3D">
        <w:rPr>
          <w:sz w:val="24"/>
          <w:szCs w:val="24"/>
          <w:lang w:val="et-EE"/>
        </w:rPr>
        <w:t>.</w:t>
      </w:r>
    </w:p>
  </w:footnote>
  <w:footnote w:id="3">
    <w:p w14:paraId="0C577922" w14:textId="26143D6F"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0036295E" w:rsidRPr="00690E3D">
        <w:rPr>
          <w:sz w:val="24"/>
          <w:szCs w:val="24"/>
          <w:lang w:val="et-EE"/>
        </w:rPr>
        <w:t>ELT</w:t>
      </w:r>
      <w:r w:rsidR="00EB4B5C" w:rsidRPr="00690E3D">
        <w:rPr>
          <w:sz w:val="24"/>
          <w:szCs w:val="24"/>
          <w:lang w:val="et-EE"/>
        </w:rPr>
        <w:t> </w:t>
      </w:r>
      <w:r w:rsidR="0036295E" w:rsidRPr="00690E3D">
        <w:rPr>
          <w:sz w:val="24"/>
          <w:szCs w:val="24"/>
          <w:lang w:val="et-EE"/>
        </w:rPr>
        <w:t>L, 2025/16</w:t>
      </w:r>
      <w:r w:rsidR="00690E3D" w:rsidRPr="00690E3D">
        <w:rPr>
          <w:sz w:val="24"/>
          <w:szCs w:val="24"/>
          <w:lang w:val="et-EE"/>
        </w:rPr>
        <w:t>63</w:t>
      </w:r>
      <w:r w:rsidR="0036295E" w:rsidRPr="00690E3D">
        <w:rPr>
          <w:sz w:val="24"/>
          <w:szCs w:val="24"/>
          <w:lang w:val="et-EE"/>
        </w:rPr>
        <w:t>, 8.10.2025, ELI: </w:t>
      </w:r>
      <w:hyperlink r:id="rId3" w:tgtFrame="_blank" w:tooltip="Gives access to this document through its ELI URI." w:history="1">
        <w:r w:rsidR="00690E3D" w:rsidRPr="00690E3D">
          <w:rPr>
            <w:rStyle w:val="Hyperlink"/>
            <w:sz w:val="24"/>
            <w:szCs w:val="24"/>
            <w:lang w:val="pl-PL"/>
          </w:rPr>
          <w:t>http://data.europa.eu/eli/dec/2025/1663/oj</w:t>
        </w:r>
      </w:hyperlink>
      <w:r w:rsidR="0036295E" w:rsidRPr="00690E3D">
        <w:rPr>
          <w:sz w:val="24"/>
          <w:szCs w:val="24"/>
          <w:lang w:val="et-EE"/>
        </w:rPr>
        <w:t>.</w:t>
      </w:r>
    </w:p>
  </w:footnote>
  <w:footnote w:id="4">
    <w:p w14:paraId="12CECE51" w14:textId="6EB1F73C"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L 193, 30.7.2018, lk 1, ELI: </w:t>
      </w:r>
      <w:hyperlink r:id="rId4" w:history="1">
        <w:r w:rsidRPr="00690E3D">
          <w:rPr>
            <w:rStyle w:val="Hyperlink"/>
            <w:sz w:val="24"/>
            <w:szCs w:val="24"/>
            <w:lang w:val="et-EE"/>
          </w:rPr>
          <w:t>http://data.europa.eu/eli/reg/2018/1046/oj</w:t>
        </w:r>
      </w:hyperlink>
      <w:r w:rsidRPr="00690E3D">
        <w:rPr>
          <w:sz w:val="24"/>
          <w:szCs w:val="24"/>
          <w:lang w:val="et-EE"/>
        </w:rPr>
        <w:t>.</w:t>
      </w:r>
    </w:p>
  </w:footnote>
  <w:footnote w:id="5">
    <w:p w14:paraId="22CDBF69" w14:textId="4AFF5051"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L, 2024/2509, 26.9.2024, ELI: </w:t>
      </w:r>
      <w:hyperlink r:id="rId5" w:history="1">
        <w:r w:rsidRPr="00690E3D">
          <w:rPr>
            <w:rStyle w:val="Hyperlink"/>
            <w:sz w:val="24"/>
            <w:szCs w:val="24"/>
            <w:lang w:val="et-EE"/>
          </w:rPr>
          <w:t>http://data.europa.eu/eli/reg/2024/2509/oj</w:t>
        </w:r>
      </w:hyperlink>
      <w:r w:rsidRPr="00690E3D">
        <w:rPr>
          <w:sz w:val="24"/>
          <w:szCs w:val="24"/>
          <w:lang w:val="et-EE"/>
        </w:rPr>
        <w:t>.</w:t>
      </w:r>
    </w:p>
  </w:footnote>
  <w:footnote w:id="6">
    <w:p w14:paraId="4A34EBA5" w14:textId="7D6E6697"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L 132, 29.5.2010, lk 11, ELI: </w:t>
      </w:r>
      <w:hyperlink r:id="rId6" w:history="1">
        <w:r w:rsidRPr="00690E3D">
          <w:rPr>
            <w:rStyle w:val="Hyperlink"/>
            <w:sz w:val="24"/>
            <w:szCs w:val="24"/>
            <w:lang w:val="et-EE"/>
          </w:rPr>
          <w:t>http://data.europa.eu/eli/reg/2010/439/oj</w:t>
        </w:r>
      </w:hyperlink>
      <w:r w:rsidRPr="00690E3D">
        <w:rPr>
          <w:sz w:val="24"/>
          <w:szCs w:val="24"/>
          <w:lang w:val="et-EE"/>
        </w:rPr>
        <w:t>.</w:t>
      </w:r>
    </w:p>
  </w:footnote>
  <w:footnote w:id="7">
    <w:p w14:paraId="6B41043D" w14:textId="4A03FE1F"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L 468, 30.12.2021, lk 1, ELI: </w:t>
      </w:r>
      <w:hyperlink r:id="rId7" w:history="1">
        <w:r w:rsidRPr="00690E3D">
          <w:rPr>
            <w:rStyle w:val="Hyperlink"/>
            <w:sz w:val="24"/>
            <w:szCs w:val="24"/>
            <w:lang w:val="et-EE"/>
          </w:rPr>
          <w:t>http://data.europa.eu/eli/reg/2021/2303/oj</w:t>
        </w:r>
      </w:hyperlink>
      <w:r w:rsidRPr="00690E3D">
        <w:rPr>
          <w:sz w:val="24"/>
          <w:szCs w:val="24"/>
          <w:lang w:val="et-EE"/>
        </w:rPr>
        <w:t>.</w:t>
      </w:r>
    </w:p>
  </w:footnote>
  <w:footnote w:id="8">
    <w:p w14:paraId="384C7632" w14:textId="5205153A"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L 122, 10.5.2019, lk 1, ELI: </w:t>
      </w:r>
      <w:hyperlink r:id="rId8" w:history="1">
        <w:r w:rsidRPr="00690E3D">
          <w:rPr>
            <w:rStyle w:val="Hyperlink"/>
            <w:sz w:val="24"/>
            <w:szCs w:val="24"/>
            <w:lang w:val="et-EE"/>
          </w:rPr>
          <w:t>http://data.europa.eu/eli/reg_del/2019/715/oj</w:t>
        </w:r>
      </w:hyperlink>
      <w:r w:rsidRPr="00690E3D">
        <w:rPr>
          <w:sz w:val="24"/>
          <w:szCs w:val="24"/>
          <w:lang w:val="et-EE"/>
        </w:rPr>
        <w:t>.</w:t>
      </w:r>
    </w:p>
  </w:footnote>
  <w:footnote w:id="9">
    <w:p w14:paraId="685F3481" w14:textId="1D84D775"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C, C/2024/6332, 24.10.2024, ELI: </w:t>
      </w:r>
      <w:hyperlink r:id="rId9" w:history="1">
        <w:r w:rsidRPr="00690E3D">
          <w:rPr>
            <w:rStyle w:val="Hyperlink"/>
            <w:sz w:val="24"/>
            <w:szCs w:val="24"/>
            <w:lang w:val="et-EE"/>
          </w:rPr>
          <w:t>http://data.europa.eu/eli/C/2024/6332/oj</w:t>
        </w:r>
      </w:hyperlink>
      <w:r w:rsidRPr="00690E3D">
        <w:rPr>
          <w:sz w:val="24"/>
          <w:szCs w:val="24"/>
          <w:lang w:val="et-EE"/>
        </w:rPr>
        <w:t>.</w:t>
      </w:r>
    </w:p>
  </w:footnote>
  <w:footnote w:id="10">
    <w:p w14:paraId="276E18A0" w14:textId="00CC9FE7"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C, C/2024/6041, 10.10.2024, ELI: </w:t>
      </w:r>
      <w:hyperlink r:id="rId10" w:history="1">
        <w:r w:rsidRPr="00690E3D">
          <w:rPr>
            <w:rStyle w:val="Hyperlink"/>
            <w:sz w:val="24"/>
            <w:szCs w:val="24"/>
            <w:lang w:val="et-EE"/>
          </w:rPr>
          <w:t>http://data.europa.eu/eli/C/2024/6041/oj</w:t>
        </w:r>
      </w:hyperlink>
      <w:r w:rsidRPr="00690E3D">
        <w:rPr>
          <w:sz w:val="24"/>
          <w:szCs w:val="24"/>
          <w:lang w:val="et-EE"/>
        </w:rPr>
        <w:t>.</w:t>
      </w:r>
    </w:p>
  </w:footnote>
  <w:footnote w:id="11">
    <w:p w14:paraId="45B36AD8" w14:textId="5F42553A" w:rsidR="000F474C" w:rsidRPr="00690E3D" w:rsidRDefault="000F474C" w:rsidP="002109E9">
      <w:pPr>
        <w:pStyle w:val="FootnoteText"/>
        <w:ind w:left="567" w:hanging="567"/>
        <w:rPr>
          <w:sz w:val="24"/>
          <w:szCs w:val="24"/>
          <w:lang w:val="fi-FI"/>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0036295E" w:rsidRPr="00690E3D">
        <w:rPr>
          <w:sz w:val="24"/>
          <w:szCs w:val="24"/>
          <w:lang w:val="et-EE"/>
        </w:rPr>
        <w:t>ELT</w:t>
      </w:r>
      <w:r w:rsidR="00EB4B5C" w:rsidRPr="00690E3D">
        <w:rPr>
          <w:sz w:val="24"/>
          <w:szCs w:val="24"/>
          <w:lang w:val="fi-FI"/>
        </w:rPr>
        <w:t> </w:t>
      </w:r>
      <w:r w:rsidR="0036295E" w:rsidRPr="00690E3D">
        <w:rPr>
          <w:sz w:val="24"/>
          <w:szCs w:val="24"/>
          <w:lang w:val="fi-FI"/>
        </w:rPr>
        <w:t>L, 2025/16</w:t>
      </w:r>
      <w:r w:rsidR="00690E3D">
        <w:rPr>
          <w:sz w:val="24"/>
          <w:szCs w:val="24"/>
          <w:lang w:val="fi-FI"/>
        </w:rPr>
        <w:t>63</w:t>
      </w:r>
      <w:r w:rsidR="0036295E" w:rsidRPr="00690E3D">
        <w:rPr>
          <w:sz w:val="24"/>
          <w:szCs w:val="24"/>
          <w:lang w:val="fi-FI"/>
        </w:rPr>
        <w:t>, 8.10.2025, ELI:</w:t>
      </w:r>
      <w:r w:rsidR="00EB4B5C" w:rsidRPr="00690E3D">
        <w:rPr>
          <w:sz w:val="24"/>
          <w:szCs w:val="24"/>
          <w:lang w:val="fi-FI"/>
        </w:rPr>
        <w:t xml:space="preserve"> </w:t>
      </w:r>
      <w:hyperlink r:id="rId11" w:tgtFrame="_blank" w:tooltip="Gives access to this document through its ELI URI." w:history="1">
        <w:r w:rsidR="00690E3D" w:rsidRPr="00690E3D">
          <w:rPr>
            <w:rStyle w:val="Hyperlink"/>
            <w:sz w:val="24"/>
            <w:szCs w:val="24"/>
            <w:lang w:val="fi-FI"/>
          </w:rPr>
          <w:t>http://data.europa.eu/eli/dec/2025/1663/oj</w:t>
        </w:r>
      </w:hyperlink>
      <w:r w:rsidR="00690E3D" w:rsidRPr="00690E3D">
        <w:rPr>
          <w:sz w:val="24"/>
          <w:szCs w:val="24"/>
          <w:lang w:val="fi-FI"/>
        </w:rPr>
        <w:t>.</w:t>
      </w:r>
    </w:p>
  </w:footnote>
  <w:footnote w:id="12">
    <w:p w14:paraId="0F16CD91" w14:textId="041D2964"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L 193, 30.7.2018, lk 1, ELI: </w:t>
      </w:r>
      <w:hyperlink r:id="rId12" w:history="1">
        <w:r w:rsidRPr="00690E3D">
          <w:rPr>
            <w:rStyle w:val="Hyperlink"/>
            <w:sz w:val="24"/>
            <w:szCs w:val="24"/>
            <w:lang w:val="et-EE"/>
          </w:rPr>
          <w:t>http://data.europa.eu/eli/reg/2018/1046/oj</w:t>
        </w:r>
      </w:hyperlink>
      <w:r w:rsidRPr="00690E3D">
        <w:rPr>
          <w:sz w:val="24"/>
          <w:szCs w:val="24"/>
          <w:lang w:val="et-EE"/>
        </w:rPr>
        <w:t>.</w:t>
      </w:r>
    </w:p>
  </w:footnote>
  <w:footnote w:id="13">
    <w:p w14:paraId="78D8F922" w14:textId="6B06716E"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L, 2024/2509, 26.9.2024, ELI: </w:t>
      </w:r>
      <w:hyperlink r:id="rId13" w:history="1">
        <w:r w:rsidRPr="00690E3D">
          <w:rPr>
            <w:rStyle w:val="Hyperlink"/>
            <w:sz w:val="24"/>
            <w:szCs w:val="24"/>
            <w:lang w:val="et-EE"/>
          </w:rPr>
          <w:t>http://data.europa.eu/eli/reg/2024/2509/oj</w:t>
        </w:r>
      </w:hyperlink>
      <w:r w:rsidRPr="00690E3D">
        <w:rPr>
          <w:sz w:val="24"/>
          <w:szCs w:val="24"/>
          <w:lang w:val="et-EE"/>
        </w:rPr>
        <w:t>.</w:t>
      </w:r>
    </w:p>
  </w:footnote>
  <w:footnote w:id="14">
    <w:p w14:paraId="36DA75CD" w14:textId="3657D8B2"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L 132, 29.5.2010, lk 11, ELI: </w:t>
      </w:r>
      <w:hyperlink r:id="rId14" w:history="1">
        <w:r w:rsidRPr="00690E3D">
          <w:rPr>
            <w:rStyle w:val="Hyperlink"/>
            <w:sz w:val="24"/>
            <w:szCs w:val="24"/>
            <w:lang w:val="et-EE"/>
          </w:rPr>
          <w:t>http://data.europa.eu/eli/reg/2010/439/oj</w:t>
        </w:r>
      </w:hyperlink>
      <w:r w:rsidRPr="00690E3D">
        <w:rPr>
          <w:sz w:val="24"/>
          <w:szCs w:val="24"/>
          <w:lang w:val="et-EE"/>
        </w:rPr>
        <w:t>.</w:t>
      </w:r>
    </w:p>
  </w:footnote>
  <w:footnote w:id="15">
    <w:p w14:paraId="75E61B67" w14:textId="1153C961"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L 468, 30.12.2021, lk 1, ELI: </w:t>
      </w:r>
      <w:hyperlink r:id="rId15" w:history="1">
        <w:r w:rsidRPr="00690E3D">
          <w:rPr>
            <w:rStyle w:val="Hyperlink"/>
            <w:sz w:val="24"/>
            <w:szCs w:val="24"/>
            <w:lang w:val="et-EE"/>
          </w:rPr>
          <w:t>http://data.europa.eu/eli/reg/2021/2303/oj</w:t>
        </w:r>
      </w:hyperlink>
      <w:r w:rsidRPr="00690E3D">
        <w:rPr>
          <w:sz w:val="24"/>
          <w:szCs w:val="24"/>
          <w:lang w:val="et-EE"/>
        </w:rPr>
        <w:t>.</w:t>
      </w:r>
    </w:p>
  </w:footnote>
  <w:footnote w:id="16">
    <w:p w14:paraId="17B627C5" w14:textId="09AFC89F"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Pr="00690E3D">
        <w:rPr>
          <w:sz w:val="24"/>
          <w:szCs w:val="24"/>
          <w:lang w:val="et-EE"/>
        </w:rPr>
        <w:t xml:space="preserve">ELT L 122, 10.5.2019, lk 1, ELI: </w:t>
      </w:r>
      <w:hyperlink r:id="rId16" w:history="1">
        <w:r w:rsidRPr="00690E3D">
          <w:rPr>
            <w:rStyle w:val="Hyperlink"/>
            <w:sz w:val="24"/>
            <w:szCs w:val="24"/>
            <w:lang w:val="et-EE"/>
          </w:rPr>
          <w:t>http://data.europa.eu/eli/reg_del/2019/715/oj</w:t>
        </w:r>
      </w:hyperlink>
      <w:r w:rsidRPr="00690E3D">
        <w:rPr>
          <w:sz w:val="24"/>
          <w:szCs w:val="24"/>
          <w:lang w:val="et-EE"/>
        </w:rPr>
        <w:t>.</w:t>
      </w:r>
    </w:p>
  </w:footnote>
  <w:footnote w:id="17">
    <w:p w14:paraId="60CDC592" w14:textId="7F968A33" w:rsidR="00902C00" w:rsidRPr="00690E3D" w:rsidRDefault="00902C00" w:rsidP="00902C00">
      <w:pPr>
        <w:pStyle w:val="FootnoteText"/>
        <w:ind w:left="567" w:hanging="567"/>
        <w:rPr>
          <w:sz w:val="24"/>
          <w:szCs w:val="24"/>
          <w:lang w:val="et-EE"/>
        </w:rPr>
      </w:pPr>
      <w:r w:rsidRPr="00690E3D">
        <w:rPr>
          <w:rStyle w:val="FootnoteReference"/>
          <w:sz w:val="24"/>
          <w:szCs w:val="24"/>
        </w:rPr>
        <w:footnoteRef/>
      </w:r>
      <w:r w:rsidRPr="00690E3D">
        <w:rPr>
          <w:sz w:val="24"/>
          <w:szCs w:val="24"/>
          <w:lang w:val="et-EE"/>
        </w:rPr>
        <w:t xml:space="preserve"> </w:t>
      </w:r>
      <w:r w:rsidRPr="00690E3D">
        <w:rPr>
          <w:sz w:val="24"/>
          <w:szCs w:val="24"/>
          <w:lang w:val="et-EE"/>
        </w:rPr>
        <w:tab/>
      </w:r>
      <w:r w:rsidRPr="00690E3D">
        <w:rPr>
          <w:sz w:val="24"/>
          <w:szCs w:val="24"/>
          <w:lang w:val="et-EE"/>
        </w:rPr>
        <w:t>Euroopa Parlamendi ja nõukogu 15. detsembri 2021. aasta määrus (EL) 2021/2303, mis käsitleb Euroopa Liidu Varjupaigaametit ja millega tunnistatakse kehtetuks määrus (EL) nr 439/2010 (ELT L 468, 30.12.2021, lk 1, ELI: </w:t>
      </w:r>
      <w:hyperlink r:id="rId17" w:history="1">
        <w:r w:rsidRPr="00690E3D">
          <w:rPr>
            <w:rStyle w:val="Hyperlink"/>
            <w:sz w:val="24"/>
            <w:szCs w:val="24"/>
            <w:lang w:val="et-EE"/>
          </w:rPr>
          <w:t>http://data.europa.eu/eli/reg/2021/2303/oj</w:t>
        </w:r>
      </w:hyperlink>
      <w:r w:rsidRPr="00690E3D">
        <w:rPr>
          <w:sz w:val="24"/>
          <w:szCs w:val="24"/>
          <w:lang w:val="et-EE"/>
        </w:rPr>
        <w:t>).</w:t>
      </w:r>
    </w:p>
  </w:footnote>
  <w:footnote w:id="18">
    <w:p w14:paraId="42207307" w14:textId="4530CA91" w:rsidR="000F474C" w:rsidRPr="00690E3D" w:rsidRDefault="000F474C" w:rsidP="002109E9">
      <w:pPr>
        <w:pStyle w:val="FootnoteText"/>
        <w:ind w:left="567" w:hanging="567"/>
        <w:rPr>
          <w:sz w:val="24"/>
          <w:szCs w:val="24"/>
          <w:lang w:val="et-EE"/>
        </w:rPr>
      </w:pPr>
      <w:r w:rsidRPr="00690E3D">
        <w:rPr>
          <w:rStyle w:val="FootnoteReference"/>
          <w:sz w:val="24"/>
          <w:szCs w:val="24"/>
          <w:lang w:val="et-EE"/>
        </w:rPr>
        <w:footnoteRef/>
      </w:r>
      <w:r w:rsidR="002109E9" w:rsidRPr="00690E3D">
        <w:rPr>
          <w:sz w:val="24"/>
          <w:szCs w:val="24"/>
          <w:lang w:val="et-EE"/>
        </w:rPr>
        <w:t xml:space="preserve"> </w:t>
      </w:r>
      <w:r w:rsidR="002109E9" w:rsidRPr="00690E3D">
        <w:rPr>
          <w:sz w:val="24"/>
          <w:szCs w:val="24"/>
          <w:lang w:val="et-EE"/>
        </w:rPr>
        <w:tab/>
      </w:r>
      <w:r w:rsidR="0036295E" w:rsidRPr="00690E3D">
        <w:rPr>
          <w:sz w:val="24"/>
          <w:szCs w:val="24"/>
          <w:lang w:val="et-EE"/>
        </w:rPr>
        <w:t>ELT</w:t>
      </w:r>
      <w:r w:rsidR="00EB4B5C" w:rsidRPr="00690E3D">
        <w:rPr>
          <w:sz w:val="24"/>
          <w:szCs w:val="24"/>
          <w:lang w:val="fi-FI"/>
        </w:rPr>
        <w:t> </w:t>
      </w:r>
      <w:r w:rsidR="0036295E" w:rsidRPr="00690E3D">
        <w:rPr>
          <w:sz w:val="24"/>
          <w:szCs w:val="24"/>
          <w:lang w:val="fi-FI"/>
        </w:rPr>
        <w:t>L, 2025/1681, 8.10.2025, ELI: </w:t>
      </w:r>
      <w:hyperlink r:id="rId18" w:tgtFrame="_blank" w:tooltip="Gives access to this document through its ELI URI." w:history="1">
        <w:r w:rsidR="0036295E" w:rsidRPr="00690E3D">
          <w:rPr>
            <w:rStyle w:val="Hyperlink"/>
            <w:sz w:val="24"/>
            <w:szCs w:val="24"/>
            <w:lang w:val="fi-FI"/>
          </w:rPr>
          <w:t>http://data.europa.eu/eli/res/2025/1681/oj</w:t>
        </w:r>
      </w:hyperlink>
      <w:r w:rsidR="0036295E" w:rsidRPr="00690E3D">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D7EA3" w14:textId="77777777" w:rsidR="002109E9" w:rsidRPr="002109E9" w:rsidRDefault="002109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52B85" w14:textId="77777777" w:rsidR="002109E9" w:rsidRPr="002109E9" w:rsidRDefault="002109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C0A2C" w14:textId="77777777" w:rsidR="002109E9" w:rsidRPr="002109E9" w:rsidRDefault="002109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13210" w14:textId="77777777" w:rsidR="00064002" w:rsidRPr="002109E9"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55BC5" w14:textId="77777777" w:rsidR="00064002" w:rsidRPr="002109E9"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DAD0D" w14:textId="77777777" w:rsidR="00064002" w:rsidRPr="002109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6119224">
    <w:abstractNumId w:val="9"/>
  </w:num>
  <w:num w:numId="2" w16cid:durableId="677393970">
    <w:abstractNumId w:val="9"/>
  </w:num>
  <w:num w:numId="3" w16cid:durableId="1723673899">
    <w:abstractNumId w:val="7"/>
  </w:num>
  <w:num w:numId="4" w16cid:durableId="1775899159">
    <w:abstractNumId w:val="7"/>
  </w:num>
  <w:num w:numId="5" w16cid:durableId="1274706980">
    <w:abstractNumId w:val="6"/>
  </w:num>
  <w:num w:numId="6" w16cid:durableId="1233539367">
    <w:abstractNumId w:val="6"/>
  </w:num>
  <w:num w:numId="7" w16cid:durableId="1445350110">
    <w:abstractNumId w:val="5"/>
  </w:num>
  <w:num w:numId="8" w16cid:durableId="842747254">
    <w:abstractNumId w:val="5"/>
  </w:num>
  <w:num w:numId="9" w16cid:durableId="971864849">
    <w:abstractNumId w:val="4"/>
  </w:num>
  <w:num w:numId="10" w16cid:durableId="122357421">
    <w:abstractNumId w:val="4"/>
  </w:num>
  <w:num w:numId="11" w16cid:durableId="337655405">
    <w:abstractNumId w:val="8"/>
  </w:num>
  <w:num w:numId="12" w16cid:durableId="1316913013">
    <w:abstractNumId w:val="8"/>
  </w:num>
  <w:num w:numId="13" w16cid:durableId="718869351">
    <w:abstractNumId w:val="3"/>
  </w:num>
  <w:num w:numId="14" w16cid:durableId="1193768172">
    <w:abstractNumId w:val="3"/>
  </w:num>
  <w:num w:numId="15" w16cid:durableId="372461125">
    <w:abstractNumId w:val="2"/>
  </w:num>
  <w:num w:numId="16" w16cid:durableId="30958820">
    <w:abstractNumId w:val="2"/>
  </w:num>
  <w:num w:numId="17" w16cid:durableId="531382378">
    <w:abstractNumId w:val="1"/>
  </w:num>
  <w:num w:numId="18" w16cid:durableId="850408780">
    <w:abstractNumId w:val="1"/>
  </w:num>
  <w:num w:numId="19" w16cid:durableId="1545021949">
    <w:abstractNumId w:val="0"/>
  </w:num>
  <w:num w:numId="20" w16cid:durableId="470904819">
    <w:abstractNumId w:val="0"/>
  </w:num>
  <w:num w:numId="21" w16cid:durableId="1638995250">
    <w:abstractNumId w:val="9"/>
  </w:num>
  <w:num w:numId="22" w16cid:durableId="1445686765">
    <w:abstractNumId w:val="7"/>
  </w:num>
  <w:num w:numId="23" w16cid:durableId="480853904">
    <w:abstractNumId w:val="6"/>
  </w:num>
  <w:num w:numId="24" w16cid:durableId="1378238343">
    <w:abstractNumId w:val="5"/>
  </w:num>
  <w:num w:numId="25" w16cid:durableId="627977340">
    <w:abstractNumId w:val="4"/>
  </w:num>
  <w:num w:numId="26" w16cid:durableId="1213690368">
    <w:abstractNumId w:val="8"/>
  </w:num>
  <w:num w:numId="27" w16cid:durableId="1553035394">
    <w:abstractNumId w:val="3"/>
  </w:num>
  <w:num w:numId="28" w16cid:durableId="1971010041">
    <w:abstractNumId w:val="2"/>
  </w:num>
  <w:num w:numId="29" w16cid:durableId="1654211793">
    <w:abstractNumId w:val="1"/>
  </w:num>
  <w:num w:numId="30" w16cid:durableId="872885302">
    <w:abstractNumId w:val="0"/>
  </w:num>
  <w:num w:numId="31" w16cid:durableId="1134520643">
    <w:abstractNumId w:val="9"/>
  </w:num>
  <w:num w:numId="32" w16cid:durableId="1044057992">
    <w:abstractNumId w:val="7"/>
  </w:num>
  <w:num w:numId="33" w16cid:durableId="1265772949">
    <w:abstractNumId w:val="6"/>
  </w:num>
  <w:num w:numId="34" w16cid:durableId="961569917">
    <w:abstractNumId w:val="5"/>
  </w:num>
  <w:num w:numId="35" w16cid:durableId="699666790">
    <w:abstractNumId w:val="4"/>
  </w:num>
  <w:num w:numId="36" w16cid:durableId="890073806">
    <w:abstractNumId w:val="8"/>
  </w:num>
  <w:num w:numId="37" w16cid:durableId="459764434">
    <w:abstractNumId w:val="3"/>
  </w:num>
  <w:num w:numId="38" w16cid:durableId="1951544582">
    <w:abstractNumId w:val="2"/>
  </w:num>
  <w:num w:numId="39" w16cid:durableId="593171420">
    <w:abstractNumId w:val="1"/>
  </w:num>
  <w:num w:numId="40" w16cid:durableId="2126997835">
    <w:abstractNumId w:val="0"/>
  </w:num>
  <w:num w:numId="41" w16cid:durableId="1301962430">
    <w:abstractNumId w:val="10"/>
  </w:num>
  <w:num w:numId="42" w16cid:durableId="1471633441">
    <w:abstractNumId w:val="10"/>
  </w:num>
  <w:num w:numId="43" w16cid:durableId="2082949341">
    <w:abstractNumId w:val="10"/>
  </w:num>
  <w:num w:numId="44" w16cid:durableId="14743713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ET"/>
    <w:docVar w:name="dvnumam" w:val="0"/>
    <w:docVar w:name="dvpe" w:val="774.259"/>
    <w:docVar w:name="dvrapporteur" w:val="Raportöör: "/>
    <w:docVar w:name="dvtitre" w:val="Euroopa Parlamendi .... 2025. aasta otsus Euroopa Liidu asutuste 2023. aasta eelarve täitmisele heakskiidu andmise kohta(2024/2030(DEC))"/>
  </w:docVars>
  <w:rsids>
    <w:rsidRoot w:val="001D43A7"/>
    <w:rsid w:val="00002272"/>
    <w:rsid w:val="00064002"/>
    <w:rsid w:val="000677B9"/>
    <w:rsid w:val="000831BA"/>
    <w:rsid w:val="000A42CC"/>
    <w:rsid w:val="000E7DD9"/>
    <w:rsid w:val="000F474C"/>
    <w:rsid w:val="0010095E"/>
    <w:rsid w:val="00125B37"/>
    <w:rsid w:val="00187494"/>
    <w:rsid w:val="001D43A7"/>
    <w:rsid w:val="001F32AE"/>
    <w:rsid w:val="002109E9"/>
    <w:rsid w:val="002767FF"/>
    <w:rsid w:val="002B18FE"/>
    <w:rsid w:val="002B5493"/>
    <w:rsid w:val="00343214"/>
    <w:rsid w:val="00361C00"/>
    <w:rsid w:val="0036295E"/>
    <w:rsid w:val="00395FA1"/>
    <w:rsid w:val="003E15D4"/>
    <w:rsid w:val="00411CCE"/>
    <w:rsid w:val="0041666E"/>
    <w:rsid w:val="00421060"/>
    <w:rsid w:val="00471C19"/>
    <w:rsid w:val="004867E3"/>
    <w:rsid w:val="00494A28"/>
    <w:rsid w:val="004C0004"/>
    <w:rsid w:val="004C5D52"/>
    <w:rsid w:val="0050519A"/>
    <w:rsid w:val="005072A1"/>
    <w:rsid w:val="0051135D"/>
    <w:rsid w:val="00514517"/>
    <w:rsid w:val="00545827"/>
    <w:rsid w:val="00560270"/>
    <w:rsid w:val="005A3463"/>
    <w:rsid w:val="005C2568"/>
    <w:rsid w:val="005F1B17"/>
    <w:rsid w:val="006037C0"/>
    <w:rsid w:val="006631B6"/>
    <w:rsid w:val="00680577"/>
    <w:rsid w:val="00690E3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B40"/>
    <w:rsid w:val="008C2AC6"/>
    <w:rsid w:val="00902C0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57CF"/>
    <w:rsid w:val="00E365E1"/>
    <w:rsid w:val="00E820A4"/>
    <w:rsid w:val="00EB006A"/>
    <w:rsid w:val="00EB4772"/>
    <w:rsid w:val="00EB4B5C"/>
    <w:rsid w:val="00EC3721"/>
    <w:rsid w:val="00ED169E"/>
    <w:rsid w:val="00ED4235"/>
    <w:rsid w:val="00F04346"/>
    <w:rsid w:val="00F075DC"/>
    <w:rsid w:val="00F149E9"/>
    <w:rsid w:val="00F44E9D"/>
    <w:rsid w:val="00F5134D"/>
    <w:rsid w:val="00F74202"/>
    <w:rsid w:val="00F87713"/>
    <w:rsid w:val="00FB4360"/>
    <w:rsid w:val="00FD0C70"/>
    <w:rsid w:val="00FE32A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A1BFB"/>
  <w15:chartTrackingRefBased/>
  <w15:docId w15:val="{B77D90B6-1579-4FF6-9D14-B792B2EA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F474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F474C"/>
    <w:pPr>
      <w:spacing w:before="480" w:after="240"/>
    </w:pPr>
  </w:style>
  <w:style w:type="paragraph" w:customStyle="1" w:styleId="NormalBold">
    <w:name w:val="NormalBold"/>
    <w:basedOn w:val="Normal"/>
    <w:rsid w:val="000F474C"/>
    <w:rPr>
      <w:b/>
    </w:rPr>
  </w:style>
  <w:style w:type="paragraph" w:customStyle="1" w:styleId="NormalHanging12a">
    <w:name w:val="NormalHanging12a"/>
    <w:basedOn w:val="Normal"/>
    <w:link w:val="NormalHanging12aChar"/>
    <w:rsid w:val="000F474C"/>
    <w:pPr>
      <w:spacing w:after="240"/>
      <w:ind w:left="567" w:hanging="567"/>
    </w:pPr>
  </w:style>
  <w:style w:type="paragraph" w:customStyle="1" w:styleId="EPFooter">
    <w:name w:val="EPFooter"/>
    <w:basedOn w:val="Normal"/>
    <w:rsid w:val="000F474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0F474C"/>
    <w:rPr>
      <w:sz w:val="24"/>
      <w:lang w:val="et-EE"/>
    </w:rPr>
  </w:style>
  <w:style w:type="paragraph" w:customStyle="1" w:styleId="PageHeadingDec">
    <w:name w:val="PageHeadingDec"/>
    <w:basedOn w:val="Normal"/>
    <w:link w:val="PageHeadingDecChar"/>
    <w:qFormat/>
    <w:rsid w:val="000F474C"/>
    <w:pPr>
      <w:keepNext/>
      <w:spacing w:after="480"/>
      <w:jc w:val="center"/>
    </w:pPr>
    <w:rPr>
      <w:rFonts w:cs="Arial"/>
      <w:b/>
    </w:rPr>
  </w:style>
  <w:style w:type="character" w:customStyle="1" w:styleId="PageHeadingDecChar">
    <w:name w:val="PageHeadingDec Char"/>
    <w:basedOn w:val="DefaultParagraphFont"/>
    <w:link w:val="PageHeadingDec"/>
    <w:rsid w:val="000F474C"/>
    <w:rPr>
      <w:rFonts w:cs="Arial"/>
      <w:b/>
      <w:sz w:val="24"/>
      <w:lang w:val="et-EE"/>
    </w:rPr>
  </w:style>
  <w:style w:type="paragraph" w:customStyle="1" w:styleId="PageHeadingNotTOC">
    <w:name w:val="PageHeadingNotTOC"/>
    <w:basedOn w:val="Normal"/>
    <w:rsid w:val="000F474C"/>
    <w:pPr>
      <w:keepNext/>
      <w:spacing w:after="480"/>
      <w:jc w:val="center"/>
    </w:pPr>
    <w:rPr>
      <w:rFonts w:ascii="Arial" w:hAnsi="Arial" w:cs="Arial"/>
      <w:b/>
    </w:rPr>
  </w:style>
  <w:style w:type="paragraph" w:styleId="Footer">
    <w:name w:val="footer"/>
    <w:basedOn w:val="Normal"/>
    <w:link w:val="FooterChar"/>
    <w:uiPriority w:val="99"/>
    <w:rsid w:val="000F474C"/>
    <w:pPr>
      <w:tabs>
        <w:tab w:val="center" w:pos="4513"/>
        <w:tab w:val="right" w:pos="9026"/>
      </w:tabs>
    </w:pPr>
  </w:style>
  <w:style w:type="character" w:customStyle="1" w:styleId="FooterChar">
    <w:name w:val="Footer Char"/>
    <w:basedOn w:val="DefaultParagraphFont"/>
    <w:link w:val="Footer"/>
    <w:uiPriority w:val="99"/>
    <w:rsid w:val="000F474C"/>
    <w:rPr>
      <w:sz w:val="24"/>
      <w:lang w:val="et-EE"/>
    </w:rPr>
  </w:style>
  <w:style w:type="character" w:styleId="Hyperlink">
    <w:name w:val="Hyperlink"/>
    <w:basedOn w:val="DefaultParagraphFont"/>
    <w:uiPriority w:val="99"/>
    <w:rsid w:val="000F474C"/>
    <w:rPr>
      <w:color w:val="0563C1" w:themeColor="hyperlink"/>
      <w:u w:val="single"/>
    </w:rPr>
  </w:style>
  <w:style w:type="paragraph" w:customStyle="1" w:styleId="CM1">
    <w:name w:val="CM1"/>
    <w:basedOn w:val="Normal"/>
    <w:next w:val="Normal"/>
    <w:rsid w:val="000F474C"/>
    <w:pPr>
      <w:widowControl/>
      <w:autoSpaceDE w:val="0"/>
      <w:autoSpaceDN w:val="0"/>
      <w:adjustRightInd w:val="0"/>
    </w:pPr>
    <w:rPr>
      <w:rFonts w:ascii="EUAlbertina" w:hAnsi="EUAlbertina"/>
      <w:szCs w:val="24"/>
    </w:rPr>
  </w:style>
  <w:style w:type="paragraph" w:styleId="Header">
    <w:name w:val="header"/>
    <w:basedOn w:val="Normal"/>
    <w:link w:val="HeaderChar"/>
    <w:rsid w:val="002109E9"/>
    <w:pPr>
      <w:tabs>
        <w:tab w:val="center" w:pos="4513"/>
        <w:tab w:val="right" w:pos="9026"/>
      </w:tabs>
    </w:pPr>
  </w:style>
  <w:style w:type="character" w:customStyle="1" w:styleId="HeaderChar">
    <w:name w:val="Header Char"/>
    <w:basedOn w:val="DefaultParagraphFont"/>
    <w:link w:val="Header"/>
    <w:rsid w:val="002109E9"/>
    <w:rPr>
      <w:sz w:val="24"/>
      <w:lang w:val="et-EE"/>
    </w:rPr>
  </w:style>
  <w:style w:type="paragraph" w:styleId="Revision">
    <w:name w:val="Revision"/>
    <w:hidden/>
    <w:uiPriority w:val="99"/>
    <w:semiHidden/>
    <w:rsid w:val="005A3463"/>
    <w:rPr>
      <w:sz w:val="24"/>
      <w:lang w:val="et-EE"/>
    </w:rPr>
  </w:style>
  <w:style w:type="character" w:styleId="UnresolvedMention">
    <w:name w:val="Unresolved Mention"/>
    <w:basedOn w:val="DefaultParagraphFont"/>
    <w:uiPriority w:val="99"/>
    <w:semiHidden/>
    <w:unhideWhenUsed/>
    <w:rsid w:val="00902C00"/>
    <w:rPr>
      <w:color w:val="605E5C"/>
      <w:shd w:val="clear" w:color="auto" w:fill="E1DFDD"/>
    </w:rPr>
  </w:style>
  <w:style w:type="character" w:styleId="FollowedHyperlink">
    <w:name w:val="FollowedHyperlink"/>
    <w:basedOn w:val="DefaultParagraphFont"/>
    <w:rsid w:val="00690E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s/2025/1681/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dec/2025/1663/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2395</Words>
  <Characters>18003</Characters>
  <Application>Microsoft Office Word</Application>
  <DocSecurity>0</DocSecurity>
  <Lines>353</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2025-10-23T12:27:00Z</dcterms:created>
  <dcterms:modified xsi:type="dcterms:W3CDTF">2025-10-23T12:27:00Z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P10_TA(2025)0246_</vt:lpwstr>
  </property>
  <property fmtid="{D5CDD505-2E9C-101B-9397-08002B2CF9AE}" pid="4" name="&lt;Type&gt;">
    <vt:lpwstr>RR</vt:lpwstr>
  </property>
</Properties>
</file>