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E0F1C" w14:paraId="3093D5F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A57E8FB" w14:textId="77777777" w:rsidR="00751A4A" w:rsidRPr="00FE0F1C" w:rsidRDefault="008230D2" w:rsidP="0010095E">
            <w:pPr>
              <w:pStyle w:val="EPName"/>
            </w:pPr>
            <w:r w:rsidRPr="00FE0F1C">
              <w:t>Europski parlament</w:t>
            </w:r>
          </w:p>
          <w:p w14:paraId="2991CA6A" w14:textId="77777777" w:rsidR="00751A4A" w:rsidRPr="00FE0F1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E0F1C">
              <w:t>2024</w:t>
            </w:r>
            <w:r w:rsidR="00817416" w:rsidRPr="00FE0F1C">
              <w:t>-202</w:t>
            </w:r>
            <w:r w:rsidRPr="00FE0F1C">
              <w:t>9</w:t>
            </w:r>
          </w:p>
        </w:tc>
        <w:tc>
          <w:tcPr>
            <w:tcW w:w="2268" w:type="dxa"/>
            <w:shd w:val="clear" w:color="auto" w:fill="auto"/>
          </w:tcPr>
          <w:p w14:paraId="590F0731" w14:textId="77777777" w:rsidR="00751A4A" w:rsidRPr="00FE0F1C" w:rsidRDefault="00187494" w:rsidP="0010095E">
            <w:pPr>
              <w:pStyle w:val="EPLogo"/>
            </w:pPr>
            <w:r w:rsidRPr="00FE0F1C">
              <w:rPr>
                <w:noProof/>
                <w:lang w:eastAsia="ja-JP"/>
              </w:rPr>
              <w:drawing>
                <wp:inline distT="0" distB="0" distL="0" distR="0" wp14:anchorId="1FBCD164" wp14:editId="29B9B8A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284458A" w14:textId="77777777" w:rsidR="00D058B8" w:rsidRPr="00FE0F1C" w:rsidRDefault="00D058B8" w:rsidP="004C5D52">
      <w:pPr>
        <w:pStyle w:val="LineTop"/>
      </w:pPr>
    </w:p>
    <w:p w14:paraId="176C8CB0" w14:textId="77777777" w:rsidR="00680577" w:rsidRPr="00FE0F1C" w:rsidRDefault="008230D2" w:rsidP="00680577">
      <w:pPr>
        <w:pStyle w:val="EPBodyTA1"/>
      </w:pPr>
      <w:r w:rsidRPr="00FE0F1C">
        <w:t>USVOJENI TEKSTOVI</w:t>
      </w:r>
    </w:p>
    <w:p w14:paraId="3A5DEF57" w14:textId="77777777" w:rsidR="00D058B8" w:rsidRPr="00FE0F1C" w:rsidRDefault="00D058B8" w:rsidP="00D058B8">
      <w:pPr>
        <w:pStyle w:val="LineBottom"/>
      </w:pPr>
    </w:p>
    <w:p w14:paraId="40B3A74F" w14:textId="0B4C5F85" w:rsidR="008230D2" w:rsidRPr="00FE0F1C" w:rsidRDefault="008230D2" w:rsidP="008230D2">
      <w:pPr>
        <w:pStyle w:val="ATHeading1"/>
      </w:pPr>
      <w:bookmarkStart w:id="0" w:name="TANumber"/>
      <w:r w:rsidRPr="00FE0F1C">
        <w:t>P10_TA(2025)0</w:t>
      </w:r>
      <w:r w:rsidR="002070B3">
        <w:t>246</w:t>
      </w:r>
      <w:bookmarkEnd w:id="0"/>
    </w:p>
    <w:p w14:paraId="47265F36" w14:textId="77777777" w:rsidR="008230D2" w:rsidRPr="00FE0F1C" w:rsidRDefault="008230D2" w:rsidP="008230D2">
      <w:pPr>
        <w:pStyle w:val="ATHeading2"/>
      </w:pPr>
      <w:bookmarkStart w:id="1" w:name="title"/>
      <w:r w:rsidRPr="00FE0F1C">
        <w:t>Razrješnica za 2023.: Agencije</w:t>
      </w:r>
      <w:bookmarkEnd w:id="1"/>
    </w:p>
    <w:p w14:paraId="261F6878" w14:textId="77777777" w:rsidR="008230D2" w:rsidRPr="00FE0F1C" w:rsidRDefault="008230D2" w:rsidP="008230D2">
      <w:pPr>
        <w:rPr>
          <w:i/>
          <w:vanish/>
        </w:rPr>
      </w:pPr>
      <w:r w:rsidRPr="00FE0F1C">
        <w:rPr>
          <w:i/>
        </w:rPr>
        <w:fldChar w:fldCharType="begin"/>
      </w:r>
      <w:r w:rsidRPr="00FE0F1C">
        <w:rPr>
          <w:i/>
        </w:rPr>
        <w:instrText xml:space="preserve"> TC"(</w:instrText>
      </w:r>
      <w:bookmarkStart w:id="2" w:name="DocNumber"/>
      <w:r w:rsidRPr="00FE0F1C">
        <w:rPr>
          <w:i/>
        </w:rPr>
        <w:instrText>A10-0169/2025</w:instrText>
      </w:r>
      <w:bookmarkEnd w:id="2"/>
      <w:r w:rsidRPr="00FE0F1C">
        <w:rPr>
          <w:i/>
        </w:rPr>
        <w:instrText xml:space="preserve"> - Izvjestitelj: Erik </w:instrText>
      </w:r>
      <w:proofErr w:type="spellStart"/>
      <w:r w:rsidRPr="00FE0F1C">
        <w:rPr>
          <w:i/>
        </w:rPr>
        <w:instrText>Marquardt</w:instrText>
      </w:r>
      <w:proofErr w:type="spellEnd"/>
      <w:r w:rsidRPr="00FE0F1C">
        <w:rPr>
          <w:i/>
        </w:rPr>
        <w:instrText xml:space="preserve">)"\l3 \n&gt; \* MERGEFORMAT </w:instrText>
      </w:r>
      <w:r w:rsidRPr="00FE0F1C">
        <w:rPr>
          <w:i/>
        </w:rPr>
        <w:fldChar w:fldCharType="end"/>
      </w:r>
    </w:p>
    <w:p w14:paraId="1DF792DF" w14:textId="77777777" w:rsidR="008230D2" w:rsidRPr="00FE0F1C" w:rsidRDefault="008230D2" w:rsidP="008230D2">
      <w:pPr>
        <w:rPr>
          <w:vanish/>
        </w:rPr>
      </w:pPr>
      <w:bookmarkStart w:id="3" w:name="Commission"/>
      <w:r w:rsidRPr="00FE0F1C">
        <w:rPr>
          <w:vanish/>
        </w:rPr>
        <w:t>Odbor za proračunski nadzor</w:t>
      </w:r>
      <w:bookmarkEnd w:id="3"/>
    </w:p>
    <w:p w14:paraId="3DCA2F3B" w14:textId="77777777" w:rsidR="008230D2" w:rsidRPr="00FE0F1C" w:rsidRDefault="008230D2" w:rsidP="008230D2">
      <w:pPr>
        <w:rPr>
          <w:vanish/>
        </w:rPr>
      </w:pPr>
      <w:bookmarkStart w:id="4" w:name="PE"/>
      <w:r w:rsidRPr="00FE0F1C">
        <w:rPr>
          <w:vanish/>
        </w:rPr>
        <w:t>PE774.259</w:t>
      </w:r>
      <w:bookmarkEnd w:id="4"/>
    </w:p>
    <w:p w14:paraId="1082C972" w14:textId="46C88F83" w:rsidR="008230D2" w:rsidRPr="00FE0F1C" w:rsidRDefault="00F025DE" w:rsidP="008230D2">
      <w:pPr>
        <w:pStyle w:val="ATHeading3"/>
      </w:pPr>
      <w:bookmarkStart w:id="5" w:name="Sujet"/>
      <w:r>
        <w:t xml:space="preserve">1. </w:t>
      </w:r>
      <w:r w:rsidR="008230D2" w:rsidRPr="00FE0F1C">
        <w:t xml:space="preserve">Odluka Europskog parlamenta od </w:t>
      </w:r>
      <w:r w:rsidR="00FE0F1C">
        <w:t>22</w:t>
      </w:r>
      <w:r w:rsidR="008230D2" w:rsidRPr="00FE0F1C">
        <w:t xml:space="preserve">. </w:t>
      </w:r>
      <w:r w:rsidR="00FE0F1C">
        <w:t xml:space="preserve">listopada </w:t>
      </w:r>
      <w:r w:rsidR="008230D2" w:rsidRPr="00FE0F1C">
        <w:t xml:space="preserve">2025. o razrješnici za izvršenje proračuna </w:t>
      </w:r>
      <w:r w:rsidR="00337790">
        <w:t>A</w:t>
      </w:r>
      <w:r w:rsidR="008230D2" w:rsidRPr="00FE0F1C">
        <w:t>gencij</w:t>
      </w:r>
      <w:r w:rsidR="00337790">
        <w:t>e</w:t>
      </w:r>
      <w:r w:rsidR="008230D2" w:rsidRPr="00FE0F1C">
        <w:t xml:space="preserve"> Europske unije za </w:t>
      </w:r>
      <w:r w:rsidR="00337790">
        <w:t xml:space="preserve">azil za </w:t>
      </w:r>
      <w:r w:rsidR="008230D2" w:rsidRPr="00FE0F1C">
        <w:t>financijsku godinu 2023.</w:t>
      </w:r>
      <w:bookmarkEnd w:id="5"/>
      <w:r w:rsidR="008230D2" w:rsidRPr="00FE0F1C">
        <w:t xml:space="preserve"> </w:t>
      </w:r>
      <w:bookmarkStart w:id="6" w:name="References"/>
      <w:r w:rsidR="008230D2" w:rsidRPr="00FE0F1C">
        <w:t>(2024/2030(DEC))</w:t>
      </w:r>
      <w:bookmarkEnd w:id="6"/>
    </w:p>
    <w:p w14:paraId="0D248950" w14:textId="77777777" w:rsidR="00471AA6" w:rsidRPr="00FE0F1C" w:rsidRDefault="00471AA6" w:rsidP="00471AA6">
      <w:pPr>
        <w:pStyle w:val="EPComma"/>
      </w:pPr>
      <w:bookmarkStart w:id="7" w:name="TextBodyBegin"/>
      <w:bookmarkEnd w:id="7"/>
      <w:r w:rsidRPr="00FE0F1C">
        <w:rPr>
          <w:i/>
        </w:rPr>
        <w:t>Europski parlament</w:t>
      </w:r>
      <w:r w:rsidRPr="00FE0F1C">
        <w:t>,</w:t>
      </w:r>
    </w:p>
    <w:p w14:paraId="4DB47A1C" w14:textId="77777777" w:rsidR="00471AA6" w:rsidRPr="00FE0F1C" w:rsidRDefault="00471AA6" w:rsidP="00471AA6">
      <w:pPr>
        <w:pStyle w:val="NormalHanging12a"/>
      </w:pPr>
      <w:r w:rsidRPr="00FE0F1C">
        <w:t>–</w:t>
      </w:r>
      <w:r w:rsidRPr="00FE0F1C">
        <w:tab/>
        <w:t>uzimajući u obzir završnu godišnju računovodstvenu dokumentaciju Agencije Europske unije za azil za financijsku godinu 2023.,</w:t>
      </w:r>
    </w:p>
    <w:p w14:paraId="1FBD58EB" w14:textId="77777777" w:rsidR="00471AA6" w:rsidRPr="00FE0F1C" w:rsidRDefault="00471AA6" w:rsidP="00471AA6">
      <w:pPr>
        <w:pStyle w:val="NormalHanging12a"/>
      </w:pPr>
      <w:r w:rsidRPr="00FE0F1C">
        <w:t>–</w:t>
      </w:r>
      <w:r w:rsidRPr="00FE0F1C">
        <w:tab/>
        <w:t>uzimajući u obzir godišnje izvješće Revizorskog suda o agencijama EU-a za financijsku godinu 2023., kojemu su priloženi odgovori agencija</w:t>
      </w:r>
      <w:r w:rsidRPr="00FE0F1C">
        <w:rPr>
          <w:rStyle w:val="FootnoteReference"/>
        </w:rPr>
        <w:footnoteReference w:id="1"/>
      </w:r>
      <w:r w:rsidRPr="00FE0F1C">
        <w:t>,</w:t>
      </w:r>
    </w:p>
    <w:p w14:paraId="3E08F38E" w14:textId="77777777" w:rsidR="00471AA6" w:rsidRPr="00FE0F1C" w:rsidRDefault="00471AA6" w:rsidP="00471AA6">
      <w:pPr>
        <w:pStyle w:val="NormalHanging12a"/>
      </w:pPr>
      <w:r w:rsidRPr="00FE0F1C">
        <w:t>–</w:t>
      </w:r>
      <w:r w:rsidRPr="00FE0F1C">
        <w:tab/>
        <w:t>uzimajući u obzir izjavu o jamstvu</w:t>
      </w:r>
      <w:r w:rsidRPr="00FE0F1C">
        <w:rPr>
          <w:rStyle w:val="FootnoteReference"/>
        </w:rPr>
        <w:footnoteReference w:id="2"/>
      </w:r>
      <w:r w:rsidRPr="00FE0F1C">
        <w:t xml:space="preserve"> u pogledu pouzdanosti računovodstvene dokumentacije te zakonitosti i pravilnosti temeljnih transakcija, koju je u skladu s člankom 287. Ugovora o funkcioniranju Europske unije Revizorski sud podnio za financijsku godinu 2023.,</w:t>
      </w:r>
    </w:p>
    <w:p w14:paraId="787473A9" w14:textId="77777777" w:rsidR="00471AA6" w:rsidRPr="00FE0F1C" w:rsidRDefault="00471AA6" w:rsidP="00471AA6">
      <w:pPr>
        <w:pStyle w:val="NormalHanging12a"/>
      </w:pPr>
      <w:r w:rsidRPr="00FE0F1C">
        <w:t>–</w:t>
      </w:r>
      <w:r w:rsidRPr="00FE0F1C">
        <w:tab/>
        <w:t>uzimajući u obzir preporuku Vijeća od 17. veljače 2025. o razrješnici koju Agencija treba dobiti za izvršenje proračuna za financijsku godinu 2023. (05755/2025 – C10</w:t>
      </w:r>
      <w:r w:rsidRPr="00FE0F1C">
        <w:noBreakHyphen/>
        <w:t>0024/2025),</w:t>
      </w:r>
    </w:p>
    <w:p w14:paraId="26861BDF" w14:textId="77777777" w:rsidR="00471AA6" w:rsidRPr="00FE0F1C" w:rsidRDefault="00471AA6" w:rsidP="00471AA6">
      <w:pPr>
        <w:pStyle w:val="NormalHanging12a"/>
      </w:pPr>
      <w:r w:rsidRPr="00FE0F1C">
        <w:t>–</w:t>
      </w:r>
      <w:r w:rsidRPr="00FE0F1C">
        <w:tab/>
        <w:t>uzimajući u obzir svoju Odluku od 7. svibnja 2025.</w:t>
      </w:r>
      <w:r w:rsidRPr="00FE0F1C">
        <w:rPr>
          <w:rStyle w:val="FootnoteReference"/>
        </w:rPr>
        <w:footnoteReference w:id="3"/>
      </w:r>
      <w:r w:rsidRPr="00FE0F1C">
        <w:t xml:space="preserve"> o odgodi Odluke o razrješnici za financijsku godinu 2023. i odgovore izvršne direktorice Agencije Europske unije za azil,</w:t>
      </w:r>
    </w:p>
    <w:p w14:paraId="01E80F0F" w14:textId="77777777" w:rsidR="00471AA6" w:rsidRPr="00FE0F1C" w:rsidRDefault="00471AA6" w:rsidP="00471AA6">
      <w:pPr>
        <w:pStyle w:val="NormalHanging12a"/>
      </w:pPr>
      <w:r w:rsidRPr="00FE0F1C">
        <w:t>–</w:t>
      </w:r>
      <w:r w:rsidRPr="00FE0F1C">
        <w:tab/>
        <w:t>uzimajući u obzir članak 319. Ugovora o funkcioniranju Europske unije,</w:t>
      </w:r>
    </w:p>
    <w:p w14:paraId="3E966C25" w14:textId="77777777" w:rsidR="00471AA6" w:rsidRPr="00FE0F1C" w:rsidRDefault="00471AA6" w:rsidP="00471AA6">
      <w:pPr>
        <w:pStyle w:val="NormalHanging12a"/>
      </w:pPr>
      <w:r w:rsidRPr="00FE0F1C">
        <w:t>–</w:t>
      </w:r>
      <w:r w:rsidRPr="00FE0F1C">
        <w:tab/>
        <w:t xml:space="preserve">uzimajući u obzir Uredbu (EU, Euratom) 2018/1046 Europskog parlamenta i Vijeća od 18. srpnja 2018. o financijskim pravilima koja se primjenjuju na opći proračun Unije, o izmjeni uredaba (EU) br. 1296/2013, (EU) br. 1301/2013, (EU) br. 1303/2013, (EU) br. 1304/2013, (EU) br. 1309/2013, (EU) br. 1316/2013, (EU) br. 223/2014, (EU) </w:t>
      </w:r>
      <w:r w:rsidRPr="00FE0F1C">
        <w:lastRenderedPageBreak/>
        <w:t>br. 283/2014 i Odluke br. 541/2014/EU te o stavljanju izvan snage Uredbe (EU, Euratom) br. 966/2012</w:t>
      </w:r>
      <w:r w:rsidRPr="00FE0F1C">
        <w:rPr>
          <w:rStyle w:val="FootnoteReference"/>
        </w:rPr>
        <w:footnoteReference w:id="4"/>
      </w:r>
      <w:r w:rsidRPr="00FE0F1C">
        <w:t>, a posebno njezin članak 70.,</w:t>
      </w:r>
    </w:p>
    <w:p w14:paraId="2BBF9C0A" w14:textId="77777777" w:rsidR="00471AA6" w:rsidRPr="00FE0F1C" w:rsidRDefault="00471AA6" w:rsidP="00471AA6">
      <w:pPr>
        <w:pStyle w:val="NormalHanging12a"/>
      </w:pPr>
      <w:r w:rsidRPr="00FE0F1C">
        <w:t>–</w:t>
      </w:r>
      <w:r w:rsidRPr="00FE0F1C">
        <w:tab/>
        <w:t>uzimajući u obzir Uredbu (EU, Euratom) 2024/2509 Europskog parlamenta i Vijeća od 23. rujna 2024. o financijskim pravilima koja se primjenjuju na opći proračun Unije</w:t>
      </w:r>
      <w:r w:rsidRPr="00FE0F1C">
        <w:rPr>
          <w:rStyle w:val="FootnoteReference"/>
        </w:rPr>
        <w:footnoteReference w:id="5"/>
      </w:r>
      <w:r w:rsidRPr="00FE0F1C">
        <w:t>, a posebno njezin članak 70.,</w:t>
      </w:r>
    </w:p>
    <w:p w14:paraId="70D1F8E2" w14:textId="77777777" w:rsidR="00471AA6" w:rsidRPr="00FE0F1C" w:rsidRDefault="00471AA6" w:rsidP="00471AA6">
      <w:pPr>
        <w:pStyle w:val="NormalHanging12a"/>
      </w:pPr>
      <w:r w:rsidRPr="00FE0F1C">
        <w:t>–</w:t>
      </w:r>
      <w:r w:rsidRPr="00FE0F1C">
        <w:tab/>
        <w:t>uzimajući u obzir Uredbu (EU) br. 439/2010 Europskog parlamenta i Vijeća od 19. svibnja 2010. o osnivanju Europskog potpornog ureda za azil</w:t>
      </w:r>
      <w:r w:rsidRPr="00FE0F1C">
        <w:rPr>
          <w:rStyle w:val="FootnoteReference"/>
        </w:rPr>
        <w:footnoteReference w:id="6"/>
      </w:r>
      <w:r w:rsidRPr="00FE0F1C">
        <w:t>, a posebno njezin članak 36.,</w:t>
      </w:r>
    </w:p>
    <w:p w14:paraId="4245DA5B" w14:textId="77777777" w:rsidR="00471AA6" w:rsidRPr="00FE0F1C" w:rsidRDefault="00471AA6" w:rsidP="00471AA6">
      <w:pPr>
        <w:pStyle w:val="NormalHanging12a"/>
      </w:pPr>
      <w:r w:rsidRPr="00FE0F1C">
        <w:t>–</w:t>
      </w:r>
      <w:r w:rsidRPr="00FE0F1C">
        <w:tab/>
        <w:t>uzimajući u obzir Uredbu (EU) 2021/2303 Europskog parlamenta i Vijeća od 15. prosinca 2021. o Agenciji Europske unije za azil i stavljanju izvan snage Uredbe (EU) br. 439/2010</w:t>
      </w:r>
      <w:r w:rsidRPr="00FE0F1C">
        <w:rPr>
          <w:rStyle w:val="FootnoteReference"/>
        </w:rPr>
        <w:footnoteReference w:id="7"/>
      </w:r>
      <w:r w:rsidRPr="00FE0F1C">
        <w:t>, a posebno njezin članak 55.,</w:t>
      </w:r>
    </w:p>
    <w:p w14:paraId="0CD6B066" w14:textId="77777777" w:rsidR="00471AA6" w:rsidRPr="00FE0F1C" w:rsidRDefault="00471AA6" w:rsidP="00471AA6">
      <w:pPr>
        <w:pStyle w:val="NormalHanging12a"/>
      </w:pPr>
      <w:r w:rsidRPr="00FE0F1C">
        <w:t>–</w:t>
      </w:r>
      <w:r w:rsidRPr="00FE0F1C">
        <w:tab/>
        <w:t xml:space="preserve">uzimajući u obzir Delegiranu uredbu Komisije (EU) 2019/715 od 18. prosinca 2018. o okvirnoj financijskoj uredbi za tijela osnovana na temelju Ugovora o funkcioniranju Europske unije i Ugovora o </w:t>
      </w:r>
      <w:proofErr w:type="spellStart"/>
      <w:r w:rsidRPr="00FE0F1C">
        <w:t>Euratomu</w:t>
      </w:r>
      <w:proofErr w:type="spellEnd"/>
      <w:r w:rsidRPr="00FE0F1C">
        <w:t xml:space="preserve"> na koja se upućuje u članku 70. Uredbe (EU, Euratom) 2018/1046 Europskog parlamenta i Vijeća</w:t>
      </w:r>
      <w:r w:rsidRPr="00FE0F1C">
        <w:rPr>
          <w:rStyle w:val="FootnoteReference"/>
        </w:rPr>
        <w:footnoteReference w:id="8"/>
      </w:r>
      <w:r w:rsidRPr="00FE0F1C">
        <w:t>, a posebno njezin članak 105.,</w:t>
      </w:r>
    </w:p>
    <w:p w14:paraId="2339FCA4" w14:textId="77777777" w:rsidR="00471AA6" w:rsidRPr="00FE0F1C" w:rsidRDefault="00471AA6" w:rsidP="00471AA6">
      <w:pPr>
        <w:pStyle w:val="NormalHanging12a"/>
      </w:pPr>
      <w:r w:rsidRPr="00FE0F1C">
        <w:t>–</w:t>
      </w:r>
      <w:r w:rsidRPr="00FE0F1C">
        <w:tab/>
        <w:t>uzimajući u obzir članak 102. Poslovnika i Prilog V. Poslovniku,</w:t>
      </w:r>
    </w:p>
    <w:p w14:paraId="029DF347" w14:textId="77777777" w:rsidR="00471AA6" w:rsidRPr="00FE0F1C" w:rsidRDefault="00471AA6" w:rsidP="00471AA6">
      <w:pPr>
        <w:pStyle w:val="NormalHanging12a"/>
      </w:pPr>
      <w:r w:rsidRPr="00FE0F1C">
        <w:t>–</w:t>
      </w:r>
      <w:r w:rsidRPr="00FE0F1C">
        <w:tab/>
        <w:t>uzimajući u obzir drugo izvješće Odbora za proračunski nadzor (A10</w:t>
      </w:r>
      <w:r w:rsidRPr="00FE0F1C">
        <w:noBreakHyphen/>
        <w:t>0169/2025),</w:t>
      </w:r>
    </w:p>
    <w:p w14:paraId="008A9A27" w14:textId="77777777" w:rsidR="00471AA6" w:rsidRPr="00FE0F1C" w:rsidRDefault="00471AA6" w:rsidP="00471AA6">
      <w:pPr>
        <w:pStyle w:val="NormalHanging12a"/>
      </w:pPr>
      <w:r w:rsidRPr="00FE0F1C">
        <w:t>1.</w:t>
      </w:r>
      <w:r w:rsidRPr="00FE0F1C">
        <w:tab/>
        <w:t>daje razrješnicu izvršnoj direktorici Agencije Europske unije za azil za izvršenje proračuna Agencije za financijsku godinu 2023.;</w:t>
      </w:r>
    </w:p>
    <w:p w14:paraId="604875DA" w14:textId="77777777" w:rsidR="00471AA6" w:rsidRPr="00FE0F1C" w:rsidRDefault="00471AA6" w:rsidP="00471AA6">
      <w:pPr>
        <w:pStyle w:val="NormalHanging12a"/>
      </w:pPr>
      <w:r w:rsidRPr="00FE0F1C">
        <w:t>2.</w:t>
      </w:r>
      <w:r w:rsidRPr="00FE0F1C">
        <w:tab/>
        <w:t>iznosi svoje primjedbe u Rezoluciji u nastavku;</w:t>
      </w:r>
    </w:p>
    <w:p w14:paraId="56DE190F" w14:textId="77777777" w:rsidR="00471AA6" w:rsidRPr="00FE0F1C" w:rsidRDefault="00471AA6" w:rsidP="00471AA6">
      <w:pPr>
        <w:pStyle w:val="NormalHanging12a"/>
      </w:pPr>
      <w:r w:rsidRPr="00FE0F1C">
        <w:t>3.</w:t>
      </w:r>
      <w:r w:rsidRPr="00FE0F1C">
        <w:tab/>
        <w:t xml:space="preserve">nalaže svojoj predsjednici da ovu Odluku i Rezoluciju, koja je njezin sastavni dio, proslijedi izvršnoj direktorici Agencije Europske unije za azil, Vijeću, Komisiji i Revizorskom sudu te da ih da na objavu u </w:t>
      </w:r>
      <w:r w:rsidRPr="00FE0F1C">
        <w:rPr>
          <w:i/>
        </w:rPr>
        <w:t>Službenom listu Europske unije</w:t>
      </w:r>
      <w:r w:rsidRPr="00FE0F1C">
        <w:t xml:space="preserve"> (serija L).</w:t>
      </w:r>
    </w:p>
    <w:p w14:paraId="21743EA0" w14:textId="77777777" w:rsidR="00471AA6" w:rsidRPr="00FE0F1C" w:rsidRDefault="00471AA6" w:rsidP="00471AA6"/>
    <w:p w14:paraId="0393425E" w14:textId="77777777" w:rsidR="00471AA6" w:rsidRPr="00FE0F1C" w:rsidRDefault="00471AA6" w:rsidP="00471AA6">
      <w:pPr>
        <w:pStyle w:val="PageHeadingDec"/>
        <w:sectPr w:rsidR="00471AA6" w:rsidRPr="00FE0F1C" w:rsidSect="0005535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205458E" w14:textId="18BA406E" w:rsidR="00471AA6" w:rsidRPr="00F025DE" w:rsidRDefault="00F025DE" w:rsidP="00F025DE">
      <w:pPr>
        <w:pStyle w:val="PageHeadingNotTOC"/>
        <w:jc w:val="left"/>
        <w:rPr>
          <w:rFonts w:ascii="Times New Roman" w:hAnsi="Times New Roman" w:cs="Times New Roman"/>
        </w:rPr>
      </w:pPr>
      <w:bookmarkStart w:id="8" w:name="_Toc107908457"/>
      <w:bookmarkStart w:id="9" w:name="_Toc107913004"/>
      <w:bookmarkStart w:id="10" w:name="_Toc107915329"/>
      <w:bookmarkStart w:id="11" w:name="_Toc107915333"/>
      <w:bookmarkStart w:id="12" w:name="_Toc107915473"/>
      <w:bookmarkStart w:id="13" w:name="_Toc3565144"/>
      <w:bookmarkStart w:id="14" w:name="_Toc13588379"/>
      <w:bookmarkStart w:id="15" w:name="_Toc179356005"/>
      <w:bookmarkStart w:id="16" w:name="_Toc179374701"/>
      <w:r>
        <w:rPr>
          <w:rFonts w:ascii="Times New Roman" w:hAnsi="Times New Roman" w:cs="Times New Roman"/>
        </w:rPr>
        <w:lastRenderedPageBreak/>
        <w:t xml:space="preserve">2. </w:t>
      </w:r>
      <w:r w:rsidR="00471AA6" w:rsidRPr="00F025DE">
        <w:rPr>
          <w:rFonts w:ascii="Times New Roman" w:hAnsi="Times New Roman" w:cs="Times New Roman"/>
        </w:rPr>
        <w:fldChar w:fldCharType="begin"/>
      </w:r>
      <w:r w:rsidR="00471AA6" w:rsidRPr="00F025DE">
        <w:rPr>
          <w:rFonts w:ascii="Times New Roman" w:hAnsi="Times New Roman" w:cs="Times New Roman"/>
        </w:rPr>
        <w:instrText xml:space="preserve"> </w:instrText>
      </w:r>
      <w:bookmarkStart w:id="17" w:name="_Toc211260515"/>
      <w:r w:rsidR="00471AA6" w:rsidRPr="00F025DE">
        <w:rPr>
          <w:rFonts w:ascii="Times New Roman" w:hAnsi="Times New Roman" w:cs="Times New Roman"/>
        </w:rPr>
        <w:instrText>ODLUKE O ZAKLJUČENJU POSLOVNIH KNJIGA</w:instrText>
      </w:r>
      <w:bookmarkEnd w:id="17"/>
      <w:r w:rsidR="00471AA6" w:rsidRPr="00F025DE">
        <w:rPr>
          <w:rFonts w:ascii="Times New Roman" w:hAnsi="Times New Roman" w:cs="Times New Roman"/>
        </w:rPr>
        <w:instrText xml:space="preserve">" \l 7 </w:instrText>
      </w:r>
      <w:r w:rsidR="00471AA6" w:rsidRPr="00F025DE">
        <w:rPr>
          <w:rFonts w:ascii="Times New Roman" w:hAnsi="Times New Roman" w:cs="Times New Roman"/>
        </w:rPr>
        <w:fldChar w:fldCharType="end"/>
      </w:r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r w:rsidRPr="00F025DE">
        <w:rPr>
          <w:rFonts w:ascii="Times New Roman" w:hAnsi="Times New Roman" w:cs="Times New Roman"/>
        </w:rPr>
        <w:t xml:space="preserve">Odluka Europskog parlamenta </w:t>
      </w:r>
      <w:r>
        <w:rPr>
          <w:rFonts w:ascii="Times New Roman" w:hAnsi="Times New Roman" w:cs="Times New Roman"/>
        </w:rPr>
        <w:t xml:space="preserve">od 22. listopada 2025. </w:t>
      </w:r>
      <w:r w:rsidR="00471AA6" w:rsidRPr="00F025DE">
        <w:rPr>
          <w:rFonts w:ascii="Times New Roman" w:hAnsi="Times New Roman" w:cs="Times New Roman"/>
        </w:rPr>
        <w:t>o zaključenju poslovnih knjiga Agencije Europske unije za azil za financijsku godinu 2023.</w:t>
      </w:r>
      <w:r w:rsidRPr="00F025DE">
        <w:rPr>
          <w:rFonts w:ascii="Times New Roman" w:hAnsi="Times New Roman" w:cs="Times New Roman"/>
        </w:rPr>
        <w:t xml:space="preserve"> </w:t>
      </w:r>
      <w:r w:rsidR="00471AA6" w:rsidRPr="00F025DE">
        <w:rPr>
          <w:rFonts w:ascii="Times New Roman" w:hAnsi="Times New Roman" w:cs="Times New Roman"/>
        </w:rPr>
        <w:t>(2024/2030(DEC))</w:t>
      </w:r>
    </w:p>
    <w:p w14:paraId="0F4A211F" w14:textId="77777777" w:rsidR="00471AA6" w:rsidRPr="00FE0F1C" w:rsidRDefault="00471AA6" w:rsidP="00471AA6">
      <w:pPr>
        <w:pStyle w:val="EPComma"/>
      </w:pPr>
      <w:r w:rsidRPr="00FE0F1C">
        <w:rPr>
          <w:i/>
        </w:rPr>
        <w:t>Europski parlament</w:t>
      </w:r>
      <w:r w:rsidRPr="00FE0F1C">
        <w:t>,</w:t>
      </w:r>
    </w:p>
    <w:p w14:paraId="29E54F25" w14:textId="77777777" w:rsidR="00471AA6" w:rsidRPr="00FE0F1C" w:rsidRDefault="00471AA6" w:rsidP="00471AA6">
      <w:pPr>
        <w:pStyle w:val="NormalHanging12a"/>
      </w:pPr>
      <w:r w:rsidRPr="00FE0F1C">
        <w:t>–</w:t>
      </w:r>
      <w:r w:rsidRPr="00FE0F1C">
        <w:tab/>
        <w:t>uzimajući u obzir završnu godišnju računovodstvenu dokumentaciju Agencije Europske unije za azil za financijsku godinu 2023.,</w:t>
      </w:r>
    </w:p>
    <w:p w14:paraId="5D1A10B6" w14:textId="77777777" w:rsidR="00471AA6" w:rsidRPr="00FE0F1C" w:rsidRDefault="00471AA6" w:rsidP="00471AA6">
      <w:pPr>
        <w:pStyle w:val="NormalHanging12a"/>
      </w:pPr>
      <w:r w:rsidRPr="00FE0F1C">
        <w:t>–</w:t>
      </w:r>
      <w:r w:rsidRPr="00FE0F1C">
        <w:tab/>
        <w:t>uzimajući u obzir godišnje izvješće Revizorskog suda o agencijama EU-a za financijsku godinu 2023., kojemu su priloženi odgovori agencija</w:t>
      </w:r>
      <w:r w:rsidRPr="00FE0F1C">
        <w:rPr>
          <w:rStyle w:val="FootnoteReference"/>
        </w:rPr>
        <w:footnoteReference w:id="9"/>
      </w:r>
      <w:r w:rsidRPr="00FE0F1C">
        <w:t>,</w:t>
      </w:r>
    </w:p>
    <w:p w14:paraId="4C0000E4" w14:textId="77777777" w:rsidR="00471AA6" w:rsidRPr="00FE0F1C" w:rsidRDefault="00471AA6" w:rsidP="00471AA6">
      <w:pPr>
        <w:pStyle w:val="NormalHanging12a"/>
      </w:pPr>
      <w:r w:rsidRPr="00FE0F1C">
        <w:t>–</w:t>
      </w:r>
      <w:r w:rsidRPr="00FE0F1C">
        <w:tab/>
        <w:t>uzimajući u obzir izjavu o jamstvu</w:t>
      </w:r>
      <w:r w:rsidRPr="00FE0F1C">
        <w:rPr>
          <w:rStyle w:val="FootnoteReference"/>
        </w:rPr>
        <w:footnoteReference w:id="10"/>
      </w:r>
      <w:r w:rsidRPr="00FE0F1C">
        <w:t xml:space="preserve"> u pogledu pouzdanosti računovodstvene dokumentacije te zakonitosti i pravilnosti temeljnih transakcija, koju je u skladu s člankom 287. Ugovora o funkcioniranju Europske unije Revizorski sud podnio za financijsku godinu 2023.,</w:t>
      </w:r>
    </w:p>
    <w:p w14:paraId="372EFE73" w14:textId="77777777" w:rsidR="00471AA6" w:rsidRPr="00FE0F1C" w:rsidRDefault="00471AA6" w:rsidP="00471AA6">
      <w:pPr>
        <w:pStyle w:val="NormalHanging12a"/>
      </w:pPr>
      <w:r w:rsidRPr="00FE0F1C">
        <w:t>–</w:t>
      </w:r>
      <w:r w:rsidRPr="00FE0F1C">
        <w:tab/>
        <w:t>uzimajući u obzir preporuku Vijeća od 17. veljače 2025. o razrješnici koju Agencija treba dobiti za izvršenje proračuna za financijsku godinu 2023. (05755/2025 – C10</w:t>
      </w:r>
      <w:r w:rsidRPr="00FE0F1C">
        <w:noBreakHyphen/>
        <w:t>0024/2025),</w:t>
      </w:r>
    </w:p>
    <w:p w14:paraId="20E45087" w14:textId="77777777" w:rsidR="00471AA6" w:rsidRPr="00FE0F1C" w:rsidRDefault="00471AA6" w:rsidP="00471AA6">
      <w:pPr>
        <w:pStyle w:val="NormalHanging12a"/>
      </w:pPr>
      <w:r w:rsidRPr="00FE0F1C">
        <w:t>–</w:t>
      </w:r>
      <w:r w:rsidRPr="00FE0F1C">
        <w:tab/>
        <w:t>uzimajući u obzir svoju Odluku od 7. svibnja 2025.</w:t>
      </w:r>
      <w:r w:rsidRPr="00FE0F1C">
        <w:rPr>
          <w:rStyle w:val="FootnoteReference"/>
        </w:rPr>
        <w:footnoteReference w:id="11"/>
      </w:r>
      <w:r w:rsidRPr="00FE0F1C">
        <w:t xml:space="preserve"> o odgodi Odluke o razrješnici za financijsku godinu 2023. i odgovore izvršne direktorice Agencije Europske unije za azil,</w:t>
      </w:r>
    </w:p>
    <w:p w14:paraId="71F22135" w14:textId="77777777" w:rsidR="00471AA6" w:rsidRPr="00FE0F1C" w:rsidRDefault="00471AA6" w:rsidP="00471AA6">
      <w:pPr>
        <w:pStyle w:val="NormalHanging12a"/>
      </w:pPr>
      <w:r w:rsidRPr="00FE0F1C">
        <w:t>–</w:t>
      </w:r>
      <w:r w:rsidRPr="00FE0F1C">
        <w:tab/>
        <w:t>uzimajući u obzir članak 319. Ugovora o funkcioniranju Europske unije,</w:t>
      </w:r>
    </w:p>
    <w:p w14:paraId="70F0EA1C" w14:textId="77777777" w:rsidR="00471AA6" w:rsidRPr="00FE0F1C" w:rsidRDefault="00471AA6" w:rsidP="00471AA6">
      <w:pPr>
        <w:pStyle w:val="NormalHanging12a"/>
      </w:pPr>
      <w:r w:rsidRPr="00FE0F1C">
        <w:t>–</w:t>
      </w:r>
      <w:r w:rsidRPr="00FE0F1C">
        <w:tab/>
        <w:t>uzimajući u obzir Uredbu (EU, Euratom) 2018/1046 Europskog parlamenta i Vijeća od 18. srpnja 2018. o financijskim pravilima koja se primjenjuju na opći proračun Unije, o izmjeni uredaba (EU) br. 1296/2013, (EU) br. 1301/2013, (EU) br. 1303/2013, (EU) br. 1304/2013, (EU) br. 1309/2013, (EU) br. 1316/2013, (EU) br. 223/2014, (EU) br. 283/2014 i Odluke br. 541/2014/EU te o stavljanju izvan snage Uredbe (EU, Euratom) br. 966/2012</w:t>
      </w:r>
      <w:r w:rsidRPr="00FE0F1C">
        <w:rPr>
          <w:rStyle w:val="FootnoteReference"/>
        </w:rPr>
        <w:footnoteReference w:id="12"/>
      </w:r>
      <w:r w:rsidRPr="00FE0F1C">
        <w:t>, a posebno njezin članak 70.,</w:t>
      </w:r>
    </w:p>
    <w:p w14:paraId="655217C0" w14:textId="77777777" w:rsidR="00471AA6" w:rsidRPr="00FE0F1C" w:rsidRDefault="00471AA6" w:rsidP="00471AA6">
      <w:pPr>
        <w:pStyle w:val="NormalHanging12a"/>
      </w:pPr>
      <w:r w:rsidRPr="00FE0F1C">
        <w:t>–</w:t>
      </w:r>
      <w:r w:rsidRPr="00FE0F1C">
        <w:tab/>
        <w:t>uzimajući u obzir Uredbu (EU, Euratom) 2024/2509 Europskog parlamenta i Vijeća od 23. rujna 2024. o financijskim pravilima koja se primjenjuju na opći proračun Unije</w:t>
      </w:r>
      <w:r w:rsidRPr="00FE0F1C">
        <w:rPr>
          <w:rStyle w:val="FootnoteReference"/>
        </w:rPr>
        <w:footnoteReference w:id="13"/>
      </w:r>
      <w:r w:rsidRPr="00FE0F1C">
        <w:t>, a posebno njezin članak 70.,</w:t>
      </w:r>
    </w:p>
    <w:p w14:paraId="19660A07" w14:textId="77777777" w:rsidR="00471AA6" w:rsidRPr="00FE0F1C" w:rsidRDefault="00471AA6" w:rsidP="00471AA6">
      <w:pPr>
        <w:pStyle w:val="NormalHanging12a"/>
      </w:pPr>
      <w:r w:rsidRPr="00FE0F1C">
        <w:t>–</w:t>
      </w:r>
      <w:r w:rsidRPr="00FE0F1C">
        <w:tab/>
        <w:t>uzimajući u obzir Uredbu (EU) br. 439/2010 Europskog parlamenta i Vijeća od 19. svibnja 2010. o osnivanju Europskog potpornog ureda za azil</w:t>
      </w:r>
      <w:r w:rsidRPr="00FE0F1C">
        <w:rPr>
          <w:rStyle w:val="FootnoteReference"/>
        </w:rPr>
        <w:footnoteReference w:id="14"/>
      </w:r>
      <w:r w:rsidRPr="00FE0F1C">
        <w:t>, a posebno njezin članak 36.,</w:t>
      </w:r>
    </w:p>
    <w:p w14:paraId="7A9B69E2" w14:textId="77777777" w:rsidR="00471AA6" w:rsidRPr="00FE0F1C" w:rsidRDefault="00471AA6" w:rsidP="00471AA6">
      <w:pPr>
        <w:pStyle w:val="NormalHanging12a"/>
      </w:pPr>
      <w:r w:rsidRPr="00FE0F1C">
        <w:t>–</w:t>
      </w:r>
      <w:r w:rsidRPr="00FE0F1C">
        <w:tab/>
        <w:t xml:space="preserve">uzimajući u obzir Uredbu (EU) 2021/2303 Europskog parlamenta i Vijeća od 15. prosinca 2021. o Agenciji Europske unije za azil i stavljanju izvan snage Uredbe </w:t>
      </w:r>
      <w:r w:rsidRPr="00FE0F1C">
        <w:lastRenderedPageBreak/>
        <w:t>(EU) br. 439/2010</w:t>
      </w:r>
      <w:r w:rsidRPr="00FE0F1C">
        <w:rPr>
          <w:rStyle w:val="FootnoteReference"/>
        </w:rPr>
        <w:footnoteReference w:id="15"/>
      </w:r>
      <w:r w:rsidRPr="00FE0F1C">
        <w:t>, a posebno njezin članak 55.,</w:t>
      </w:r>
    </w:p>
    <w:p w14:paraId="3739FDE9" w14:textId="77777777" w:rsidR="00471AA6" w:rsidRPr="00FE0F1C" w:rsidRDefault="00471AA6" w:rsidP="00471AA6">
      <w:pPr>
        <w:pStyle w:val="NormalHanging12a"/>
      </w:pPr>
      <w:r w:rsidRPr="00FE0F1C">
        <w:t>–</w:t>
      </w:r>
      <w:r w:rsidRPr="00FE0F1C">
        <w:tab/>
        <w:t xml:space="preserve">uzimajući u obzir Delegiranu uredbu Komisije (EU) 2019/715 od 18. prosinca 2018. o okvirnoj financijskoj uredbi za tijela osnovana na temelju Ugovora o funkcioniranju Europske unije i Ugovora o </w:t>
      </w:r>
      <w:proofErr w:type="spellStart"/>
      <w:r w:rsidRPr="00FE0F1C">
        <w:t>Euratomu</w:t>
      </w:r>
      <w:proofErr w:type="spellEnd"/>
      <w:r w:rsidRPr="00FE0F1C">
        <w:t xml:space="preserve"> na koja se upućuje u članku 70. Uredbe (EU, Euratom) 2018/1046 Europskog parlamenta i Vijeća</w:t>
      </w:r>
      <w:r w:rsidRPr="00FE0F1C">
        <w:rPr>
          <w:rStyle w:val="FootnoteReference"/>
        </w:rPr>
        <w:footnoteReference w:id="16"/>
      </w:r>
      <w:r w:rsidRPr="00FE0F1C">
        <w:t>, a posebno njezin članak 105.,</w:t>
      </w:r>
    </w:p>
    <w:p w14:paraId="46CEA265" w14:textId="77777777" w:rsidR="00471AA6" w:rsidRPr="00FE0F1C" w:rsidRDefault="00471AA6" w:rsidP="00471AA6">
      <w:pPr>
        <w:pStyle w:val="NormalHanging12a"/>
      </w:pPr>
      <w:r w:rsidRPr="00FE0F1C">
        <w:t>–</w:t>
      </w:r>
      <w:r w:rsidRPr="00FE0F1C">
        <w:tab/>
        <w:t>uzimajući u obzir članak 102. Poslovnika i Prilog V. Poslovniku,</w:t>
      </w:r>
    </w:p>
    <w:p w14:paraId="0038D2DD" w14:textId="77777777" w:rsidR="00471AA6" w:rsidRPr="00FE0F1C" w:rsidRDefault="00471AA6" w:rsidP="00471AA6">
      <w:pPr>
        <w:pStyle w:val="NormalHanging12a"/>
      </w:pPr>
      <w:r w:rsidRPr="00FE0F1C">
        <w:t>–</w:t>
      </w:r>
      <w:r w:rsidRPr="00FE0F1C">
        <w:tab/>
        <w:t>uzimajući u obzir drugo izvješće Odbora za proračunski nadzor (A10</w:t>
      </w:r>
      <w:r w:rsidRPr="00FE0F1C">
        <w:noBreakHyphen/>
        <w:t>0169/2025),</w:t>
      </w:r>
    </w:p>
    <w:p w14:paraId="1EFE176B" w14:textId="77777777" w:rsidR="00471AA6" w:rsidRPr="00FE0F1C" w:rsidRDefault="00471AA6" w:rsidP="00471AA6">
      <w:pPr>
        <w:pStyle w:val="NormalHanging12a"/>
      </w:pPr>
      <w:bookmarkStart w:id="18" w:name="_Hlk205188551"/>
      <w:r w:rsidRPr="00FE0F1C">
        <w:t>1.</w:t>
      </w:r>
      <w:r w:rsidRPr="00FE0F1C">
        <w:tab/>
        <w:t>odobrava zaključenje poslovnih knjiga Agencije Europske unije za azil za financijsku godinu 2023.;</w:t>
      </w:r>
    </w:p>
    <w:bookmarkEnd w:id="18"/>
    <w:p w14:paraId="14D52104" w14:textId="77777777" w:rsidR="00471AA6" w:rsidRPr="00FE0F1C" w:rsidRDefault="00471AA6" w:rsidP="00471AA6">
      <w:pPr>
        <w:pStyle w:val="NormalHanging12a"/>
      </w:pPr>
      <w:r w:rsidRPr="00FE0F1C">
        <w:t>2.</w:t>
      </w:r>
      <w:r w:rsidRPr="00FE0F1C">
        <w:tab/>
        <w:t xml:space="preserve">nalaže svojoj predsjednici da ovu Odluku proslijedi izvršnoj direktorici Agencije Europske unije za azil, Vijeću, Komisiji i Revizorskom sudu te da je da na objavu u </w:t>
      </w:r>
      <w:r w:rsidRPr="00FE0F1C">
        <w:rPr>
          <w:i/>
        </w:rPr>
        <w:t>Službenom listu Europske unije</w:t>
      </w:r>
      <w:r w:rsidRPr="00FE0F1C">
        <w:t xml:space="preserve"> (serija L).</w:t>
      </w:r>
    </w:p>
    <w:p w14:paraId="53FB037B" w14:textId="77777777" w:rsidR="00F025DE" w:rsidRDefault="00F025DE" w:rsidP="00471AA6">
      <w:pPr>
        <w:pStyle w:val="PageHeadingNotTOC"/>
        <w:sectPr w:rsidR="00F025DE" w:rsidSect="00055356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bookmarkStart w:id="19" w:name="_Toc107908467"/>
      <w:bookmarkStart w:id="20" w:name="_Toc107913011"/>
      <w:bookmarkStart w:id="21" w:name="_Toc107915344"/>
      <w:bookmarkStart w:id="22" w:name="_Toc107915484"/>
      <w:bookmarkStart w:id="23" w:name="_Toc3565145"/>
      <w:bookmarkStart w:id="24" w:name="_Toc13588380"/>
      <w:bookmarkStart w:id="25" w:name="_Toc179356429"/>
      <w:bookmarkStart w:id="26" w:name="_Toc179374702"/>
    </w:p>
    <w:bookmarkEnd w:id="19"/>
    <w:bookmarkEnd w:id="20"/>
    <w:bookmarkEnd w:id="21"/>
    <w:bookmarkEnd w:id="22"/>
    <w:bookmarkEnd w:id="23"/>
    <w:bookmarkEnd w:id="24"/>
    <w:bookmarkEnd w:id="25"/>
    <w:bookmarkEnd w:id="26"/>
    <w:p w14:paraId="01330D82" w14:textId="6F06DC97" w:rsidR="00471AA6" w:rsidRPr="00F025DE" w:rsidRDefault="00F025DE" w:rsidP="00F025DE">
      <w:pPr>
        <w:pStyle w:val="PageHeadingNotTOC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3. </w:t>
      </w:r>
      <w:r w:rsidRPr="00F025DE">
        <w:rPr>
          <w:rFonts w:ascii="Times New Roman" w:hAnsi="Times New Roman" w:cs="Times New Roman"/>
        </w:rPr>
        <w:t xml:space="preserve">Rezolucija Europskog parlamenta </w:t>
      </w:r>
      <w:r>
        <w:rPr>
          <w:rFonts w:ascii="Times New Roman" w:hAnsi="Times New Roman" w:cs="Times New Roman"/>
        </w:rPr>
        <w:t xml:space="preserve">od 22. listopada 2025. </w:t>
      </w:r>
      <w:r w:rsidR="00471AA6" w:rsidRPr="00F025DE">
        <w:rPr>
          <w:rFonts w:ascii="Times New Roman" w:hAnsi="Times New Roman" w:cs="Times New Roman"/>
        </w:rPr>
        <w:t>s primjedbama koje su sastavni dio Odluke o razrješnici za izvršenje proračuna agencija Europske unije za financijsku godinu 2023.</w:t>
      </w:r>
      <w:r w:rsidRPr="00F025DE">
        <w:rPr>
          <w:rFonts w:ascii="Times New Roman" w:hAnsi="Times New Roman" w:cs="Times New Roman"/>
        </w:rPr>
        <w:t xml:space="preserve"> </w:t>
      </w:r>
      <w:r w:rsidR="00471AA6" w:rsidRPr="00F025DE">
        <w:rPr>
          <w:rFonts w:ascii="Times New Roman" w:hAnsi="Times New Roman" w:cs="Times New Roman"/>
        </w:rPr>
        <w:t>(2024/2030(DEC))</w:t>
      </w:r>
    </w:p>
    <w:p w14:paraId="1E99DAE4" w14:textId="77777777" w:rsidR="00471AA6" w:rsidRPr="00FE0F1C" w:rsidRDefault="00471AA6" w:rsidP="00471AA6">
      <w:pPr>
        <w:pStyle w:val="EPComma"/>
      </w:pPr>
      <w:r w:rsidRPr="00FE0F1C">
        <w:rPr>
          <w:i/>
        </w:rPr>
        <w:t>Europski parlament</w:t>
      </w:r>
      <w:r w:rsidRPr="00FE0F1C">
        <w:t>,</w:t>
      </w:r>
    </w:p>
    <w:p w14:paraId="0F6F2C2F" w14:textId="77777777" w:rsidR="00471AA6" w:rsidRPr="00FE0F1C" w:rsidRDefault="00471AA6" w:rsidP="00471AA6">
      <w:pPr>
        <w:pStyle w:val="NormalHanging12a"/>
      </w:pPr>
      <w:r w:rsidRPr="00FE0F1C">
        <w:t>–</w:t>
      </w:r>
      <w:r w:rsidRPr="00FE0F1C">
        <w:tab/>
        <w:t>uzimajući u obzir svoju Odluku o razrješnici za izvršenje proračuna Agencije Europske unije za azil za financijsku godinu 2023.,</w:t>
      </w:r>
    </w:p>
    <w:p w14:paraId="36FEAD67" w14:textId="77777777" w:rsidR="00471AA6" w:rsidRPr="00FE0F1C" w:rsidRDefault="00471AA6" w:rsidP="00471AA6">
      <w:pPr>
        <w:pStyle w:val="NormalHanging12a"/>
      </w:pPr>
      <w:r w:rsidRPr="00FE0F1C">
        <w:t>–</w:t>
      </w:r>
      <w:r w:rsidRPr="00FE0F1C">
        <w:tab/>
        <w:t>uzimajući u obzir članak 102. Poslovnika i Prilog V. Poslovniku,</w:t>
      </w:r>
    </w:p>
    <w:p w14:paraId="634F0B97" w14:textId="4285D565" w:rsidR="00471AA6" w:rsidRPr="00FE0F1C" w:rsidRDefault="00471AA6" w:rsidP="00471AA6">
      <w:pPr>
        <w:pStyle w:val="NormalHanging12a"/>
      </w:pPr>
      <w:r w:rsidRPr="00FE0F1C">
        <w:t>–</w:t>
      </w:r>
      <w:r w:rsidRPr="00FE0F1C">
        <w:tab/>
        <w:t xml:space="preserve">uzimajući u obzir funkcioniranje zajedničkog europskog sustava azila, poštovanje i pravilna provedba i primjena pravila te održiva i odgovarajuća financijska potpora </w:t>
      </w:r>
      <w:r w:rsidR="00F025DE">
        <w:t>Agencije Europske unije za azil</w:t>
      </w:r>
      <w:r w:rsidRPr="00FE0F1C">
        <w:t xml:space="preserve"> ključni su za osiguravanje sustava zajedničke odgovornosti i solidarnosti među državama članicama Europske unije,</w:t>
      </w:r>
    </w:p>
    <w:p w14:paraId="6A7C86CE" w14:textId="77777777" w:rsidR="00471AA6" w:rsidRPr="00FE0F1C" w:rsidRDefault="00471AA6" w:rsidP="00471AA6">
      <w:pPr>
        <w:pStyle w:val="NormalHanging12a"/>
      </w:pPr>
      <w:r w:rsidRPr="00FE0F1C">
        <w:t>–</w:t>
      </w:r>
      <w:r w:rsidRPr="00FE0F1C">
        <w:tab/>
        <w:t>uzimajući u obzir završno izvješće OLAF-a (OC-2022-0717) o Agenciji Europske unije za azil dovršeno u listopadu 2024. i stavljeno na raspolaganje članovima Odbora za proračunski nadzor u ožujku 2025.,</w:t>
      </w:r>
    </w:p>
    <w:p w14:paraId="464C7CB4" w14:textId="77665F7B" w:rsidR="00471AA6" w:rsidRPr="00FE0F1C" w:rsidRDefault="00471AA6" w:rsidP="00471AA6">
      <w:pPr>
        <w:pStyle w:val="NormalHanging12a"/>
        <w:rPr>
          <w:bCs/>
        </w:rPr>
      </w:pPr>
      <w:r w:rsidRPr="00FE0F1C">
        <w:t>–</w:t>
      </w:r>
      <w:r w:rsidRPr="00FE0F1C">
        <w:tab/>
        <w:t xml:space="preserve">uzimajući u obzir pisma koja su poslale predsjednica </w:t>
      </w:r>
      <w:r w:rsidR="00337790">
        <w:t xml:space="preserve">upravljačkog odbora </w:t>
      </w:r>
      <w:r w:rsidR="00F025DE" w:rsidRPr="00FE0F1C">
        <w:t>Agencije Europske unije za azil</w:t>
      </w:r>
      <w:r w:rsidRPr="00FE0F1C">
        <w:t xml:space="preserve"> u ožujku 2025. te izvršna direktorica Agencije Europske unije za azil u srpnju 2025.,</w:t>
      </w:r>
    </w:p>
    <w:p w14:paraId="7F58E67F" w14:textId="77777777" w:rsidR="00471AA6" w:rsidRPr="00FE0F1C" w:rsidRDefault="00471AA6" w:rsidP="00471AA6">
      <w:pPr>
        <w:pStyle w:val="NormalHanging12a"/>
      </w:pPr>
      <w:r w:rsidRPr="00FE0F1C">
        <w:t xml:space="preserve">– </w:t>
      </w:r>
      <w:r w:rsidRPr="00FE0F1C">
        <w:tab/>
        <w:t>uzimajući u obzir razmjenu gledišta s predstavnicima OLAF-a, Agencije Europske unije za azil i Glavne uprave za unutarnje poslove od 15. srpnja 2025.,</w:t>
      </w:r>
    </w:p>
    <w:p w14:paraId="108F7F90" w14:textId="77777777" w:rsidR="00471AA6" w:rsidRPr="00FE0F1C" w:rsidRDefault="00471AA6" w:rsidP="00471AA6">
      <w:pPr>
        <w:pStyle w:val="NormalHanging12a"/>
      </w:pPr>
      <w:r w:rsidRPr="00FE0F1C">
        <w:t>–</w:t>
      </w:r>
      <w:r w:rsidRPr="00FE0F1C">
        <w:tab/>
        <w:t>uzimajući u obzir drugo izvješće Odbora za proračunski nadzor (A10</w:t>
      </w:r>
      <w:r w:rsidRPr="00FE0F1C">
        <w:noBreakHyphen/>
        <w:t>0169/2025),</w:t>
      </w:r>
    </w:p>
    <w:p w14:paraId="6C1D80AA" w14:textId="77777777" w:rsidR="00471AA6" w:rsidRPr="00FE0F1C" w:rsidRDefault="00471AA6" w:rsidP="00471AA6">
      <w:pPr>
        <w:pStyle w:val="NormalHanging12a"/>
      </w:pPr>
      <w:r w:rsidRPr="00FE0F1C">
        <w:t>A.</w:t>
      </w:r>
      <w:r w:rsidRPr="00FE0F1C">
        <w:tab/>
        <w:t>budući da sve decentralizirane agencije Unije moraju biti transparentne i u potpunosti odgovorne prema građanima Unije u pogledu sredstava koja su im povjerena kao tijelima Unije;</w:t>
      </w:r>
    </w:p>
    <w:p w14:paraId="42DDF34B" w14:textId="77777777" w:rsidR="00471AA6" w:rsidRPr="00FE0F1C" w:rsidRDefault="00471AA6" w:rsidP="00471AA6">
      <w:pPr>
        <w:pStyle w:val="NormalHanging12a"/>
      </w:pPr>
      <w:r w:rsidRPr="00FE0F1C">
        <w:t>B.</w:t>
      </w:r>
      <w:r w:rsidRPr="00FE0F1C">
        <w:tab/>
        <w:t>budući da Agencija Europske unije za azil, kao tijelo Unije kojem su povjerene znatne odgovornosti i resursi, ima odgovarajuću dužnost djelovati u skladu s najvišim standardima transparentnosti, odgovornosti i uzornog ponašanja, čime se osigurava povjerenje građana i institucija Unije;</w:t>
      </w:r>
    </w:p>
    <w:p w14:paraId="57CB4FB3" w14:textId="77777777" w:rsidR="00471AA6" w:rsidRPr="00FE0F1C" w:rsidRDefault="00471AA6" w:rsidP="00471AA6">
      <w:pPr>
        <w:pStyle w:val="NormalHanging12a"/>
      </w:pPr>
      <w:r w:rsidRPr="00FE0F1C">
        <w:t>C.</w:t>
      </w:r>
      <w:r w:rsidRPr="00FE0F1C">
        <w:tab/>
        <w:t>budući da je uloga Parlamenta u pogledu razrješnice za proračun utvrđena u Ugovoru o funkcioniranju Europske unije (UFEU), Financijskoj uredbi i Okvirnoj financijskoj uredbi;</w:t>
      </w:r>
    </w:p>
    <w:p w14:paraId="2DBD5C7F" w14:textId="77777777" w:rsidR="00471AA6" w:rsidRPr="00FE0F1C" w:rsidRDefault="00471AA6" w:rsidP="00471AA6">
      <w:pPr>
        <w:pStyle w:val="NormalHanging12a"/>
      </w:pPr>
      <w:r w:rsidRPr="00FE0F1C">
        <w:t>D.</w:t>
      </w:r>
      <w:r w:rsidRPr="00FE0F1C">
        <w:tab/>
        <w:t>budući da OLAF, kao tijelo Unije za borbu protiv prijevara, ima dužnost Europskom parlamentu osigurati pravodoban i odgovarajući pristup svojim nalazima kako bi se omogućio učinkovit nadzor davanja razrješnice;</w:t>
      </w:r>
    </w:p>
    <w:p w14:paraId="54923F24" w14:textId="77777777" w:rsidR="00471AA6" w:rsidRPr="00FE0F1C" w:rsidRDefault="00471AA6" w:rsidP="00471AA6">
      <w:pPr>
        <w:pStyle w:val="NormalHanging12a"/>
      </w:pPr>
      <w:r w:rsidRPr="00FE0F1C">
        <w:t>1.</w:t>
      </w:r>
      <w:r w:rsidRPr="00FE0F1C">
        <w:tab/>
        <w:t>podsjeća na ulogu Parlamenta u postupku davanja razrješnice, utvrđenu UFEU-om, Financijskom uredbom i njegovim Poslovnikom;</w:t>
      </w:r>
    </w:p>
    <w:p w14:paraId="098D1B1A" w14:textId="77777777" w:rsidR="00471AA6" w:rsidRPr="00FE0F1C" w:rsidRDefault="00471AA6" w:rsidP="00471AA6">
      <w:pPr>
        <w:pStyle w:val="NormalHanging12a"/>
      </w:pPr>
      <w:r w:rsidRPr="00FE0F1C">
        <w:t>2.</w:t>
      </w:r>
      <w:r w:rsidRPr="00FE0F1C">
        <w:tab/>
        <w:t>podsjeća na to da je 7. svibnja 2025. Parlament odlučio odgoditi odluku o davanju razrješnice za 2023. Agenciji Europske unije za azil („Agencija”);</w:t>
      </w:r>
    </w:p>
    <w:p w14:paraId="055571D1" w14:textId="77777777" w:rsidR="00471AA6" w:rsidRPr="00FE0F1C" w:rsidRDefault="00471AA6" w:rsidP="00471AA6">
      <w:pPr>
        <w:pStyle w:val="NormalHanging12a"/>
      </w:pPr>
      <w:r w:rsidRPr="00FE0F1C">
        <w:lastRenderedPageBreak/>
        <w:t>3.</w:t>
      </w:r>
      <w:r w:rsidRPr="00FE0F1C">
        <w:tab/>
        <w:t>ističe presudnu važnost odgovornog i transparentnog djelovanja pri izvršenju proračuna Unije; ustraje u tome da svako nepoštovanje tih načela ozbiljno narušava povjerenje javnosti;</w:t>
      </w:r>
    </w:p>
    <w:p w14:paraId="39FC0956" w14:textId="77777777" w:rsidR="00471AA6" w:rsidRPr="00FE0F1C" w:rsidRDefault="00471AA6" w:rsidP="00471AA6">
      <w:pPr>
        <w:pStyle w:val="NormalHanging12a"/>
        <w:rPr>
          <w:b/>
          <w:i/>
        </w:rPr>
      </w:pPr>
      <w:r w:rsidRPr="00FE0F1C">
        <w:rPr>
          <w:b/>
          <w:i/>
        </w:rPr>
        <w:t>Ishod istrage koju provodi Europski ured za borbu protiv prijevara (OLAF)</w:t>
      </w:r>
    </w:p>
    <w:p w14:paraId="14FEFABE" w14:textId="77777777" w:rsidR="00471AA6" w:rsidRPr="00FE0F1C" w:rsidRDefault="00471AA6" w:rsidP="00471AA6">
      <w:pPr>
        <w:pStyle w:val="NormalHanging12a"/>
      </w:pPr>
      <w:r w:rsidRPr="00FE0F1C">
        <w:t>4.</w:t>
      </w:r>
      <w:r w:rsidRPr="00FE0F1C">
        <w:tab/>
        <w:t xml:space="preserve">napominje da je OLAF članovima Odbora za proračunski nadzor u ožujku 2025. i Odboru za građanske slobode, pravosuđe i unutarnje poslove u srpnju 2025. stavio na raspolaganje </w:t>
      </w:r>
      <w:proofErr w:type="spellStart"/>
      <w:r w:rsidRPr="00FE0F1C">
        <w:t>anonimiziranu</w:t>
      </w:r>
      <w:proofErr w:type="spellEnd"/>
      <w:r w:rsidRPr="00FE0F1C">
        <w:t xml:space="preserve"> verziju svojeg konačnog izvješća o istrazi; žali zbog kašnjenja u pristupu istrazi, koji je dodijeljen tek u ožujku unatoč zahtjevu izvjestitelja iz prosinca 2024., pri čemu se u odgovoru OLAF-a navode prigovori Upravnog odbora Agencije Europske unije za azil; ustraje u tome da je članovima odbora CONT pristup izvješću trebao biti omogućen ranije kako bi se na odgovarajući način zajamčilo izvršavanje njihova mandata;</w:t>
      </w:r>
    </w:p>
    <w:p w14:paraId="14E5FDFA" w14:textId="77777777" w:rsidR="00471AA6" w:rsidRPr="00FE0F1C" w:rsidRDefault="00471AA6" w:rsidP="00471AA6">
      <w:pPr>
        <w:pStyle w:val="NormalHanging12a"/>
      </w:pPr>
      <w:r w:rsidRPr="00FE0F1C">
        <w:t>5.</w:t>
      </w:r>
      <w:r w:rsidRPr="00FE0F1C">
        <w:tab/>
        <w:t>svjestan je da se istrage OLAF-a moraju provoditi kontinuirano tijekom razdoblja koje mora biti razmjerno okolnostima i složenosti slučaja; zabrinut je zbog dugog trajanja istraga OLAF-a jer se time ugrožava sposobnost tijela nadležnog za davanje razrješnice da učinkovito razmotri njegove nalaze; ustraje na ključnoj ulozi pravodobnih istraga u održavanju učinkovitog nadzora Parlamenta; poziva OLAF da preispita i ubrza postupak dovršetka istraga i njihova dijeljenja s tijelom nadležnim za davanje razrješnice; naglašava da takva kašnjenja narušavaju sposobnost članova odbora CONT da učinkovito izvršavaju svoj nadzorni mandat i poziva na donošenje mjera kako bi se u budućnosti osigurao brz pristup izvješćima o istragama;</w:t>
      </w:r>
    </w:p>
    <w:p w14:paraId="564D2713" w14:textId="77777777" w:rsidR="00471AA6" w:rsidRPr="00FE0F1C" w:rsidRDefault="00471AA6" w:rsidP="00471AA6">
      <w:pPr>
        <w:pStyle w:val="NormalHanging12a"/>
      </w:pPr>
      <w:r w:rsidRPr="00FE0F1C">
        <w:t>6.</w:t>
      </w:r>
      <w:r w:rsidRPr="00FE0F1C">
        <w:tab/>
        <w:t>naglašava da zaštita proračuna Unije mora ostati temeljna vrijednost dobrog financijskog upravljanja, koju kao svoju dužnost moraju poštovati sve institucije Unije, uključujući agencije i decentralizirana tijela koji moraju biti jasan primjer odgovornosti i transparentnosti u korištenju europskih javnih sredstava; ponavlja potrebu za pojačanom koordinacijom i suradnjom unutar institucionalnog okvira za borbu protiv prijevara, posebno kako bi se odgovorilo na potrebu za bržim i učinkovitijim istragama OLAF-a, čime bi se ti napori uskladili sa širim ciljem zaštite financija Unije;</w:t>
      </w:r>
    </w:p>
    <w:p w14:paraId="68E0FA23" w14:textId="77777777" w:rsidR="00471AA6" w:rsidRPr="00FE0F1C" w:rsidRDefault="00471AA6" w:rsidP="00471AA6">
      <w:pPr>
        <w:pStyle w:val="NormalHanging12a"/>
      </w:pPr>
      <w:r w:rsidRPr="00FE0F1C">
        <w:t>7.</w:t>
      </w:r>
      <w:r w:rsidRPr="00FE0F1C">
        <w:tab/>
        <w:t xml:space="preserve">poziva Agenciju i OLAF da stave na raspolaganje javnosti </w:t>
      </w:r>
      <w:proofErr w:type="spellStart"/>
      <w:r w:rsidRPr="00FE0F1C">
        <w:t>anonimizirani</w:t>
      </w:r>
      <w:proofErr w:type="spellEnd"/>
      <w:r w:rsidRPr="00FE0F1C">
        <w:t xml:space="preserve"> sažetak izvješća OLAF-a, u mjeri u kojoj je to zakonski moguće, u interesu transparentnosti i povjerenja javnosti;</w:t>
      </w:r>
    </w:p>
    <w:p w14:paraId="19E902AF" w14:textId="77777777" w:rsidR="00471AA6" w:rsidRPr="00FE0F1C" w:rsidRDefault="00471AA6" w:rsidP="00471AA6">
      <w:pPr>
        <w:pStyle w:val="NormalHanging12a"/>
      </w:pPr>
      <w:r w:rsidRPr="00FE0F1C">
        <w:t>8.</w:t>
      </w:r>
      <w:r w:rsidRPr="00FE0F1C">
        <w:tab/>
        <w:t>prima na znanje da je OLAF nakon istrage izdao stegovne i administrativne preporuke;</w:t>
      </w:r>
    </w:p>
    <w:p w14:paraId="1B18B19E" w14:textId="77777777" w:rsidR="00471AA6" w:rsidRPr="00FE0F1C" w:rsidRDefault="00471AA6" w:rsidP="00471AA6">
      <w:pPr>
        <w:pStyle w:val="NormalHanging12a"/>
      </w:pPr>
      <w:r w:rsidRPr="00FE0F1C">
        <w:t>9.</w:t>
      </w:r>
      <w:r w:rsidRPr="00FE0F1C">
        <w:tab/>
        <w:t>primjećuje da je, kad je riječ o stegovnim preporukama, Upravni odbor u smislu daljnjeg postupanja odlučio da neće pokrenuti stegovni postupak te je umjesto toga izdao pisane preporuke s upozorenjem i od izvršne direktorice zatražio konkretne prijedloge putem korektivnih mjera i raspored njihove provedbe što je prije moguće; prima na znanje da je u skladu s tim zahtjevom izvršna direktorica Upravnom odboru podnijela sljedeće dokumente koji uključuju:</w:t>
      </w:r>
    </w:p>
    <w:p w14:paraId="1D62BD29" w14:textId="77777777" w:rsidR="00471AA6" w:rsidRPr="00FE0F1C" w:rsidRDefault="00471AA6" w:rsidP="00471AA6">
      <w:pPr>
        <w:pStyle w:val="NormalHanging12a"/>
        <w:ind w:left="927" w:hanging="360"/>
      </w:pPr>
      <w:r w:rsidRPr="00FE0F1C">
        <w:t>–</w:t>
      </w:r>
      <w:r w:rsidRPr="00FE0F1C">
        <w:tab/>
        <w:t>preporuke Upravnog odbora;</w:t>
      </w:r>
    </w:p>
    <w:p w14:paraId="6FFFA1A9" w14:textId="77777777" w:rsidR="00471AA6" w:rsidRPr="00FE0F1C" w:rsidRDefault="00471AA6" w:rsidP="00471AA6">
      <w:pPr>
        <w:pStyle w:val="NormalHanging12a"/>
        <w:ind w:left="927" w:hanging="360"/>
      </w:pPr>
      <w:r w:rsidRPr="00FE0F1C">
        <w:t>–</w:t>
      </w:r>
      <w:r w:rsidRPr="00FE0F1C">
        <w:tab/>
        <w:t>trenutačno stanje u Agenciji u pogledu svake preporuke; i</w:t>
      </w:r>
    </w:p>
    <w:p w14:paraId="3CE9D372" w14:textId="77777777" w:rsidR="00471AA6" w:rsidRPr="00FE0F1C" w:rsidRDefault="00471AA6" w:rsidP="00471AA6">
      <w:pPr>
        <w:pStyle w:val="NormalHanging12a"/>
        <w:ind w:left="927" w:hanging="360"/>
      </w:pPr>
      <w:r w:rsidRPr="00FE0F1C">
        <w:t>–</w:t>
      </w:r>
      <w:r w:rsidRPr="00FE0F1C">
        <w:tab/>
        <w:t xml:space="preserve">dodatne korektivne mjere koje će se provesti uz uključivanje privremenog vremenskog okvira za njihovu provedbu; poziva Upravni odbor da poduzme daljnje </w:t>
      </w:r>
      <w:r w:rsidRPr="00FE0F1C">
        <w:lastRenderedPageBreak/>
        <w:t>korake u vezi s preporukama i izvijesti tijelo nadležno za davanje razrješnice o njihovoj potpunoj i pravodobnoj provedbi;</w:t>
      </w:r>
    </w:p>
    <w:p w14:paraId="71618A69" w14:textId="0F28C62B" w:rsidR="00471AA6" w:rsidRPr="00FE0F1C" w:rsidRDefault="00471AA6" w:rsidP="00471AA6">
      <w:pPr>
        <w:pStyle w:val="NormalHanging12a"/>
      </w:pPr>
      <w:r w:rsidRPr="00FE0F1C">
        <w:t>10.</w:t>
      </w:r>
      <w:r w:rsidRPr="00FE0F1C">
        <w:tab/>
        <w:t xml:space="preserve">žali zbog toga što je Upravni odbor nakon intenzivnih rasprava odlučio da neće provesti stegovne preporuke OLAF-a, uključujući pokretanje stegovnih postupaka protiv izvršne direktorice </w:t>
      </w:r>
      <w:r w:rsidR="00F025DE" w:rsidRPr="00FE0F1C">
        <w:t>Agencije</w:t>
      </w:r>
      <w:r w:rsidRPr="00FE0F1C">
        <w:t xml:space="preserve"> ili bilo kojeg drugog člana osoblja Agencije, unatoč znatnim nalazima OLAF-a, koji se čine sustavnim i kojima se narušava povjerenje u vodstvo Agencije; naglašava da se tom odlukom postavljaju pitanja o predanosti Odbora odgovornosti, u skladu s institucijskim očekivanjima, te prima na znanje namjernu odluku Odbora da ne provede preporuke nakon preispitivanja postavljenih pitanja; naglašava da će Parlament i dalje posebno voditi računa o poduzetim korektivnim mjerama; očekuje od Agencije da pokaže uzorno daljnje postupanje, visoke standarde, jasnu odgovornost za provedbu korektivnih mjera i potpunu odgovornost; poziva Agenciju da osigura transparentno izvješćivanje Parlamenta, među ostalim dijeljenjem zapisnika s rasprava Upravnog odbora s Parlamentom, kako bi se ojačao parlamentarni nadzor;</w:t>
      </w:r>
    </w:p>
    <w:p w14:paraId="4607E1B8" w14:textId="77777777" w:rsidR="00471AA6" w:rsidRPr="00FE0F1C" w:rsidRDefault="00471AA6" w:rsidP="00471AA6">
      <w:pPr>
        <w:pStyle w:val="NormalHanging12a"/>
      </w:pPr>
      <w:r w:rsidRPr="00FE0F1C">
        <w:t>11.</w:t>
      </w:r>
      <w:r w:rsidRPr="00FE0F1C">
        <w:tab/>
        <w:t>napominje da je izvršna direktorica pripremila „Izjavu o viziji o vodstvu koje provodi promjene u EUAA-u” s provedenim korektivnim mjerama i korektivnim mjerama koje treba provesti; traži od Agencije da obavijesti tijelo nadležno za davanje razrješnice o provedenim korektivnim mjerama i onima koje treba provesti, kao i o rokovima za njihovo dovršenje;</w:t>
      </w:r>
    </w:p>
    <w:p w14:paraId="376B282F" w14:textId="77777777" w:rsidR="00471AA6" w:rsidRPr="00FE0F1C" w:rsidRDefault="00471AA6" w:rsidP="00471AA6">
      <w:pPr>
        <w:pStyle w:val="NormalHanging12a"/>
      </w:pPr>
      <w:r w:rsidRPr="00FE0F1C">
        <w:t>12.</w:t>
      </w:r>
      <w:r w:rsidRPr="00FE0F1C">
        <w:tab/>
        <w:t>izražava zabrinutost zbog toga što se administrativne preporuke odnose na praksu ocjenjivanja osoblja koje provode voditelji sektora, a ne načelnici odjela, kao i na nedostatke u upravljanju sukobima interesa unutar Agencije;</w:t>
      </w:r>
    </w:p>
    <w:p w14:paraId="24F172D6" w14:textId="77777777" w:rsidR="00471AA6" w:rsidRPr="00FE0F1C" w:rsidRDefault="00471AA6" w:rsidP="00471AA6">
      <w:pPr>
        <w:pStyle w:val="NormalHanging12a"/>
      </w:pPr>
      <w:r w:rsidRPr="00FE0F1C">
        <w:t>13.</w:t>
      </w:r>
      <w:r w:rsidRPr="00FE0F1C">
        <w:tab/>
        <w:t>pozdravlja činjenicu da će od 2025. načelnici odjela provoditi evaluacije osoblja kako je predviđeno primjenjivim pravilima;</w:t>
      </w:r>
    </w:p>
    <w:p w14:paraId="5DCF3476" w14:textId="77777777" w:rsidR="00471AA6" w:rsidRPr="00FE0F1C" w:rsidRDefault="00471AA6" w:rsidP="00471AA6">
      <w:pPr>
        <w:pStyle w:val="NormalHanging12a"/>
      </w:pPr>
      <w:r w:rsidRPr="00FE0F1C">
        <w:t>14.</w:t>
      </w:r>
      <w:r w:rsidRPr="00FE0F1C">
        <w:tab/>
        <w:t>duboko žali zbog nedostataka u upravljanju sukobima interesa unutar Agencije, posebno u pogledu neispravnog postupanja Upravnog odbora s pritužbama na odluke izvršne direktorice; ustraje u tome da takve prakse narušavaju integritet i vjerodostojnost Agencije; poziva Agenciju da odmah obavijesti tijelo nadležno za davanje razrješnice o korektivnim mjerama i organizacijskim promjenama koje su uvedene; naglašava da će se prihvatljivim smatrati samo čvrst i uzoran okvir za upravljanje sukobima interesa;</w:t>
      </w:r>
    </w:p>
    <w:p w14:paraId="711C7FF6" w14:textId="77777777" w:rsidR="00471AA6" w:rsidRPr="00FE0F1C" w:rsidRDefault="00471AA6" w:rsidP="00471AA6">
      <w:pPr>
        <w:pStyle w:val="NormalHanging12a"/>
      </w:pPr>
      <w:r w:rsidRPr="00FE0F1C">
        <w:t>15.</w:t>
      </w:r>
      <w:r w:rsidRPr="00FE0F1C">
        <w:tab/>
        <w:t>prima na znanje da su i Upravni odbor i izvršna direktorica uvidjeli ozbiljnost optužbi i pitanja o kojima je riječ; no potvrđuje da je izvršna direktorica izrazila skepticizam, pozivajući se na izvanredno radno opterećenje tijekom kriza, koje se ne može upotrijebiti kao opravdanje za odbacivanje nalaza; smatra da svjesnost o stanju moraju pratiti odlučne korektivne mjere, pravodobna provedba i potpuna odgovornost prema tijelu nadležnom za davanje razrješnice;</w:t>
      </w:r>
    </w:p>
    <w:p w14:paraId="6D65EC30" w14:textId="77777777" w:rsidR="00471AA6" w:rsidRPr="00FE0F1C" w:rsidRDefault="00471AA6" w:rsidP="00471AA6">
      <w:pPr>
        <w:pStyle w:val="NormalHanging12a"/>
      </w:pPr>
      <w:r w:rsidRPr="00FE0F1C">
        <w:t>16.</w:t>
      </w:r>
      <w:r w:rsidRPr="00FE0F1C">
        <w:tab/>
        <w:t xml:space="preserve">sa zabrinutošću primjećuje opetovane propuste u upravljanju, uključujući nemogućnost Upravnog odbora da provodi pravodoban i učinkovit nadzor; žali zbog toga što se nekoliko nepravilnosti moglo spriječiti boljim unutarnjim kontrolama i proaktivnim angažmanom Upravnog odbora; ustraje u tome da se taj institucionalni neuspjeh mora riješiti strukturno, a ne samo </w:t>
      </w:r>
      <w:proofErr w:type="spellStart"/>
      <w:r w:rsidRPr="00FE0F1C">
        <w:t>postupovno</w:t>
      </w:r>
      <w:proofErr w:type="spellEnd"/>
      <w:r w:rsidRPr="00FE0F1C">
        <w:t>;</w:t>
      </w:r>
    </w:p>
    <w:p w14:paraId="7A22D5F6" w14:textId="2A47212F" w:rsidR="00471AA6" w:rsidRPr="00FE0F1C" w:rsidRDefault="00471AA6" w:rsidP="00471AA6">
      <w:pPr>
        <w:pStyle w:val="NormalHanging12a"/>
      </w:pPr>
      <w:r w:rsidRPr="00FE0F1C">
        <w:t>17.</w:t>
      </w:r>
      <w:r w:rsidRPr="00FE0F1C">
        <w:tab/>
        <w:t xml:space="preserve">žali zbog problema lošeg upravljanja, posebno u području ljudskih resursa, s ozbiljnim </w:t>
      </w:r>
      <w:r w:rsidRPr="00FE0F1C">
        <w:lastRenderedPageBreak/>
        <w:t xml:space="preserve">nepravilnostima, posebno u postupcima imenovanja i odabira, čime se krše Pravilnik o osoblju za dužnosnike i Uvjeti zaposlenja ostalih službenika; svjestan je da se Agencija u razdoblju od 2019. do 2022. suočavala s teškim okolnostima, kao što su pandemija bolesti COVID-19, aktivacija Direktive o privremenoj zaštiti i stupanje na snagu Uredbe o </w:t>
      </w:r>
      <w:r w:rsidR="00F025DE">
        <w:t>Agenciji</w:t>
      </w:r>
      <w:r w:rsidR="00F025DE">
        <w:rPr>
          <w:rStyle w:val="FootnoteReference"/>
        </w:rPr>
        <w:footnoteReference w:id="17"/>
      </w:r>
      <w:r w:rsidRPr="00FE0F1C">
        <w:t xml:space="preserve"> s novim mandatom, nadležnostima i odgovornostima; međutim, odbacuje svaki pokušaj da se takve okolnosti iskoriste kao opravdanje za neusklađenost s obvezujućim zakonodavstvom; poziva Agenciju da u potpunosti uskladi svoje postupke zapošljavanja s primjenjivim pravilima te ustraje u donošenju strogih i transparentnih postupaka koji se temelje na zaslugama, popraćenih provedivim smjernicama i pod strogim nadzorom tijela nadležnog za davanje razrješnice;</w:t>
      </w:r>
    </w:p>
    <w:p w14:paraId="25772732" w14:textId="77777777" w:rsidR="00471AA6" w:rsidRPr="00FE0F1C" w:rsidRDefault="00471AA6" w:rsidP="00471AA6">
      <w:pPr>
        <w:pStyle w:val="NormalHanging12a"/>
      </w:pPr>
      <w:r w:rsidRPr="00FE0F1C">
        <w:t>18.</w:t>
      </w:r>
      <w:r w:rsidRPr="00FE0F1C">
        <w:tab/>
        <w:t>pozdravlja činjenicu da je praksa imenovanja privremenih rukovoditelja prekinuta od siječnja 2023.;</w:t>
      </w:r>
    </w:p>
    <w:p w14:paraId="67276122" w14:textId="77777777" w:rsidR="00471AA6" w:rsidRPr="00FE0F1C" w:rsidRDefault="00471AA6" w:rsidP="00471AA6">
      <w:pPr>
        <w:pStyle w:val="NormalHanging12a"/>
      </w:pPr>
      <w:r w:rsidRPr="00FE0F1C">
        <w:t>19.</w:t>
      </w:r>
      <w:r w:rsidRPr="00FE0F1C">
        <w:tab/>
        <w:t>podsjeća da je jedna od temeljnih zadaća Upravnog odbora pružiti opće smjernice za aktivnosti Agencije i osigurati da Agencija učinkovito ispuni svoj mandat; smatra da, kako bi se pružila opća orijentacija, Upravni odbor mora biti svjestan zakonodavstva primjenjivog na Agenciju i propisno obaviješten o njemu, kao i o ključnim promjenama u upravljanju Agencijom; žali zbog opetovanih nedostataka u tom pogledu i poziva Agenciju da uspostavi učinkovite, sustavne i transparentne postupke u komunikaciji s Upravnim odborom;</w:t>
      </w:r>
    </w:p>
    <w:p w14:paraId="6CC6497D" w14:textId="77777777" w:rsidR="00471AA6" w:rsidRPr="00FE0F1C" w:rsidRDefault="00471AA6" w:rsidP="00471AA6">
      <w:pPr>
        <w:pStyle w:val="NormalHanging12a"/>
      </w:pPr>
      <w:r w:rsidRPr="00FE0F1C">
        <w:t>20.</w:t>
      </w:r>
      <w:r w:rsidRPr="00FE0F1C">
        <w:tab/>
        <w:t>poziva Europsku komisiju, koja ima dva mjesta u Upravnom odboru, da aktivno podupire druge članove odbora i pomaže im u njihovu razumijevanju pravila koja se primjenjuju na Agenciju te da utvrdi i prenosi dalje pouke izvučene iz tog konkretnog slučaja kao dio širih napora oko prevencije; poziva Agenciju da tijelo nadležno za davanje razrješnice obavijesti o mjerama poduzetima radi poboljšanja komunikacije s Upravnim odborom;</w:t>
      </w:r>
    </w:p>
    <w:p w14:paraId="0DFE2F15" w14:textId="77777777" w:rsidR="00471AA6" w:rsidRPr="00FE0F1C" w:rsidRDefault="00471AA6" w:rsidP="00471AA6">
      <w:pPr>
        <w:pStyle w:val="NormalHanging12a"/>
      </w:pPr>
      <w:r w:rsidRPr="00FE0F1C">
        <w:t>21.</w:t>
      </w:r>
      <w:r w:rsidRPr="00FE0F1C">
        <w:tab/>
        <w:t>pozdravlja prijedlog Komisije iznesen tijekom razmjene gledišta o mogućnosti dijeljenja zajedničkih službi u određenim horizontalnim područjima među decentraliziranim agencijama jer bi se time doprinijelo boljem upravljanju postupcima i učinkovitijem korištenju resursa; potiče Komisiju da istraži tu mogućnost i predloži konkretne mjere u tom pogledu;</w:t>
      </w:r>
    </w:p>
    <w:p w14:paraId="6B60F70B" w14:textId="77777777" w:rsidR="00471AA6" w:rsidRPr="00FE0F1C" w:rsidRDefault="00471AA6" w:rsidP="00471AA6">
      <w:pPr>
        <w:pStyle w:val="NormalHanging12a"/>
      </w:pPr>
      <w:r w:rsidRPr="00FE0F1C">
        <w:t>22.</w:t>
      </w:r>
      <w:r w:rsidRPr="00FE0F1C">
        <w:tab/>
        <w:t>poziva Agenciju da uspostavi neovisnu internu etičku funkciju i ističe važnost čvrstih pravila o zaštiti zviždača u skladu s Direktivom (EU) 2019/1937; naglašava da interni kanali za podnošenje prijava moraju biti povjerljivi, vjerodostojni i pouzdani za osoblje na svim razinama;</w:t>
      </w:r>
    </w:p>
    <w:p w14:paraId="01F2469A" w14:textId="77777777" w:rsidR="00471AA6" w:rsidRPr="00FE0F1C" w:rsidRDefault="00471AA6" w:rsidP="00471AA6">
      <w:pPr>
        <w:pStyle w:val="NormalHanging12a"/>
      </w:pPr>
      <w:r w:rsidRPr="00FE0F1C">
        <w:t>23.</w:t>
      </w:r>
      <w:r w:rsidRPr="00FE0F1C">
        <w:tab/>
        <w:t xml:space="preserve">ističe da je istraga OLAF-a zaključena tek 2024., iako su neki od događaja zabilježeni 2021., 2022. i ranije; naglašava da se još ne može zaključiti da su ta pitanja u potpunosti riješena; naglašava da tijelo nadležno za davanje razrješnice zadržava puno pravo na izvršavanje svojih nadzornih odgovornosti dok se situacija u potpunosti ne ispravi i ne razjasni; poziva izvršnu direktoricu i Upravni odbor da uvide i riješe sve strukturne nedostatke u upravljanju ljudskim resursima Agencije i u nadzornim funkcijama Upravnog odbora i da poduzmu učinkovite mjere za sprečavanje ponavljanja sličnih </w:t>
      </w:r>
      <w:r w:rsidRPr="00FE0F1C">
        <w:lastRenderedPageBreak/>
        <w:t>problema te zadržava pravo da uskrati ili uvjetuje buduće odluke o razrješnici, ako Agencija ne provede potpunu strukturnu reformu;</w:t>
      </w:r>
    </w:p>
    <w:p w14:paraId="468B411C" w14:textId="77777777" w:rsidR="00471AA6" w:rsidRPr="00FE0F1C" w:rsidRDefault="00471AA6" w:rsidP="00471AA6">
      <w:pPr>
        <w:pStyle w:val="NormalHanging12a"/>
      </w:pPr>
      <w:r w:rsidRPr="00FE0F1C">
        <w:t>24.</w:t>
      </w:r>
      <w:r w:rsidRPr="00FE0F1C">
        <w:tab/>
        <w:t>s posebnom zabrinutošću prima na znanje iznimno visoke stope fluktuacije osoblja, kako je navedeno u izvješću OLAF-a, a da uprava za to ne može dati zadovoljavajuće objašnjenje; poziva izvršnu direktoricu i Upravni odbor, a posebno predstavnike Komisije u njemu, da uspostave sustavne izlazne razgovore sa svim članovima osoblja koji podnesu ostavku, da sveobuhvatno dokumentiraju nalaze i da tijelo nadležno za davanje razrješnice izvješćuju o rezultatima i napretku postignutom u tom pogledu u okviru postupka davanja razrješnice za 2024. godinu;</w:t>
      </w:r>
    </w:p>
    <w:p w14:paraId="674DADBB" w14:textId="77777777" w:rsidR="00471AA6" w:rsidRPr="00FE0F1C" w:rsidRDefault="00471AA6" w:rsidP="00471AA6">
      <w:pPr>
        <w:pStyle w:val="NormalHanging12a"/>
      </w:pPr>
      <w:r w:rsidRPr="00FE0F1C">
        <w:t>25.</w:t>
      </w:r>
      <w:r w:rsidRPr="00FE0F1C">
        <w:tab/>
        <w:t>pohvaljuje osoblje Agencije zbog predanosti izvršavanju svojih zadaća unatoč zahtjevnim okolnostima; smatra da je ključno poticati pozitivno radno okruženje promicanjem dobrih praksi na razini ljudskih resursa i nagrađivanjem uspješnosti koja se temelji na zaslugama; potiče Upravni odbor i izvršnu direktoricu da osiguraju da je Agencija sigurno i poticajno radno mjesto koje potiče otvorenu komunikaciju i osnažuje pojedince da izraze svoje mišljenje bez straha od odmazde; poziva Agenciju da osigura da se sva izvješća o profesionalnim povredama shvate ozbiljno i temeljito istraže, uz poduzimanje odgovarajućih daljnjih mjera kako bi se očuvao integritet i povjerenje unutar organizacije;</w:t>
      </w:r>
    </w:p>
    <w:p w14:paraId="2A0ED89E" w14:textId="77777777" w:rsidR="00471AA6" w:rsidRPr="00FE0F1C" w:rsidRDefault="00471AA6" w:rsidP="00471AA6">
      <w:pPr>
        <w:pStyle w:val="NormalHanging12a"/>
        <w:jc w:val="center"/>
      </w:pPr>
      <w:r w:rsidRPr="00FE0F1C">
        <w:t>°</w:t>
      </w:r>
    </w:p>
    <w:p w14:paraId="1698FEA4" w14:textId="77777777" w:rsidR="00471AA6" w:rsidRPr="00FE0F1C" w:rsidRDefault="00471AA6" w:rsidP="00471AA6">
      <w:pPr>
        <w:pStyle w:val="NormalHanging12a"/>
        <w:jc w:val="center"/>
      </w:pPr>
      <w:r w:rsidRPr="00FE0F1C">
        <w:t>°</w:t>
      </w:r>
      <w:r w:rsidRPr="00FE0F1C">
        <w:tab/>
        <w:t>°</w:t>
      </w:r>
    </w:p>
    <w:p w14:paraId="43555EF5" w14:textId="22ED30B9" w:rsidR="00E365E1" w:rsidRPr="00FE0F1C" w:rsidRDefault="00471AA6" w:rsidP="00FE0F1C">
      <w:pPr>
        <w:ind w:left="567" w:hanging="567"/>
      </w:pPr>
      <w:r w:rsidRPr="00FE0F1C">
        <w:t>26.</w:t>
      </w:r>
      <w:r w:rsidRPr="00FE0F1C">
        <w:tab/>
        <w:t>u vezi s drugim primjedbama upućuje na svoju Rezoluciju od 7</w:t>
      </w:r>
      <w:r w:rsidR="00FE0F1C">
        <w:t>.</w:t>
      </w:r>
      <w:r w:rsidRPr="00FE0F1C">
        <w:t xml:space="preserve"> svibnja 2025</w:t>
      </w:r>
      <w:r w:rsidR="00FE0F1C">
        <w:t>.</w:t>
      </w:r>
      <w:r w:rsidRPr="00FE0F1C">
        <w:rPr>
          <w:rStyle w:val="FootnoteReference"/>
        </w:rPr>
        <w:footnoteReference w:id="18"/>
      </w:r>
      <w:r w:rsidRPr="00FE0F1C">
        <w:t xml:space="preserve"> s primjedbama koje su sastavni dio odluka o razrješnici za izvršenje proračuna agencija Europske unije.</w:t>
      </w:r>
    </w:p>
    <w:sectPr w:rsidR="00E365E1" w:rsidRPr="00FE0F1C" w:rsidSect="0005535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87F1D3" w14:textId="77777777" w:rsidR="008230D2" w:rsidRPr="00055356" w:rsidRDefault="008230D2">
      <w:r w:rsidRPr="00055356">
        <w:separator/>
      </w:r>
    </w:p>
  </w:endnote>
  <w:endnote w:type="continuationSeparator" w:id="0">
    <w:p w14:paraId="24B01EC6" w14:textId="77777777" w:rsidR="008230D2" w:rsidRPr="00055356" w:rsidRDefault="008230D2">
      <w:r w:rsidRPr="0005535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ABB1AF" w14:textId="77777777" w:rsidR="00055356" w:rsidRPr="00055356" w:rsidRDefault="0005535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4CD07" w14:textId="77777777" w:rsidR="00055356" w:rsidRPr="00055356" w:rsidRDefault="0005535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4CC0D0" w14:textId="77777777" w:rsidR="00471AA6" w:rsidRPr="00055356" w:rsidRDefault="00471AA6" w:rsidP="00806EEE">
    <w:pPr>
      <w:pStyle w:val="EPFooter"/>
    </w:pPr>
    <w:r w:rsidRPr="00055356">
      <w:rPr>
        <w:rStyle w:val="HideTWBExt"/>
      </w:rPr>
      <w:t>&lt;PathFdR&gt;</w:t>
    </w:r>
    <w:r w:rsidRPr="00055356">
      <w:t>PR\1321847HR.docx</w:t>
    </w:r>
    <w:r w:rsidRPr="00055356">
      <w:rPr>
        <w:rStyle w:val="HideTWBExt"/>
      </w:rPr>
      <w:t>&lt;/</w:t>
    </w:r>
    <w:proofErr w:type="spellStart"/>
    <w:r w:rsidRPr="00055356">
      <w:rPr>
        <w:rStyle w:val="HideTWBExt"/>
      </w:rPr>
      <w:t>PathFdR</w:t>
    </w:r>
    <w:proofErr w:type="spellEnd"/>
    <w:r w:rsidRPr="00055356">
      <w:rPr>
        <w:rStyle w:val="HideTWBExt"/>
      </w:rPr>
      <w:t>&gt;</w:t>
    </w:r>
    <w:r w:rsidRPr="00055356">
      <w:tab/>
    </w:r>
    <w:r w:rsidRPr="00055356">
      <w:fldChar w:fldCharType="begin"/>
    </w:r>
    <w:r w:rsidRPr="00055356">
      <w:instrText xml:space="preserve"> PAGE </w:instrText>
    </w:r>
    <w:r w:rsidRPr="00055356">
      <w:fldChar w:fldCharType="separate"/>
    </w:r>
    <w:r w:rsidRPr="00055356">
      <w:rPr>
        <w:noProof/>
      </w:rPr>
      <w:t>4</w:t>
    </w:r>
    <w:r w:rsidRPr="00055356">
      <w:fldChar w:fldCharType="end"/>
    </w:r>
    <w:r w:rsidRPr="00055356">
      <w:t>/</w:t>
    </w:r>
    <w:r w:rsidRPr="00055356">
      <w:fldChar w:fldCharType="begin"/>
    </w:r>
    <w:r w:rsidRPr="00055356">
      <w:instrText xml:space="preserve"> NUMPAGES </w:instrText>
    </w:r>
    <w:r w:rsidRPr="00055356">
      <w:fldChar w:fldCharType="separate"/>
    </w:r>
    <w:r w:rsidRPr="00055356">
      <w:rPr>
        <w:noProof/>
      </w:rPr>
      <w:t>11</w:t>
    </w:r>
    <w:r w:rsidRPr="00055356">
      <w:rPr>
        <w:noProof/>
      </w:rPr>
      <w:fldChar w:fldCharType="end"/>
    </w:r>
    <w:r w:rsidRPr="00055356">
      <w:tab/>
      <w:t>PE</w:t>
    </w:r>
    <w:r w:rsidRPr="00055356">
      <w:rPr>
        <w:rStyle w:val="HideTWBExt"/>
      </w:rPr>
      <w:t>&lt;</w:t>
    </w:r>
    <w:proofErr w:type="spellStart"/>
    <w:r w:rsidRPr="00055356">
      <w:rPr>
        <w:rStyle w:val="HideTWBExt"/>
      </w:rPr>
      <w:t>NoPE</w:t>
    </w:r>
    <w:proofErr w:type="spellEnd"/>
    <w:r w:rsidRPr="00055356">
      <w:rPr>
        <w:rStyle w:val="HideTWBExt"/>
      </w:rPr>
      <w:t>&gt;</w:t>
    </w:r>
    <w:r w:rsidRPr="00055356">
      <w:t>774.259</w:t>
    </w:r>
    <w:r w:rsidRPr="00055356">
      <w:rPr>
        <w:rStyle w:val="HideTWBExt"/>
      </w:rPr>
      <w:t>&lt;/</w:t>
    </w:r>
    <w:proofErr w:type="spellStart"/>
    <w:r w:rsidRPr="00055356">
      <w:rPr>
        <w:rStyle w:val="HideTWBExt"/>
      </w:rPr>
      <w:t>NoPE</w:t>
    </w:r>
    <w:proofErr w:type="spellEnd"/>
    <w:r w:rsidRPr="00055356">
      <w:rPr>
        <w:rStyle w:val="HideTWBExt"/>
      </w:rPr>
      <w:t>&gt;&lt;Version&gt;</w:t>
    </w:r>
    <w:r w:rsidRPr="00055356">
      <w:t>v01-00</w:t>
    </w:r>
    <w:r w:rsidRPr="00055356">
      <w:rPr>
        <w:rStyle w:val="HideTWBExt"/>
      </w:rPr>
      <w:t>&lt;/</w:t>
    </w:r>
    <w:proofErr w:type="spellStart"/>
    <w:r w:rsidRPr="00055356">
      <w:rPr>
        <w:rStyle w:val="HideTWBExt"/>
      </w:rPr>
      <w:t>Version</w:t>
    </w:r>
    <w:proofErr w:type="spellEnd"/>
    <w:r w:rsidRPr="00055356">
      <w:rPr>
        <w:rStyle w:val="HideTWBExt"/>
      </w:rPr>
      <w:t>&gt;</w:t>
    </w:r>
  </w:p>
  <w:p w14:paraId="5C8DBB6F" w14:textId="77777777" w:rsidR="00471AA6" w:rsidRPr="00055356" w:rsidRDefault="00471AA6" w:rsidP="00806EEE">
    <w:pPr>
      <w:pStyle w:val="EPFooter2"/>
    </w:pPr>
    <w:r w:rsidRPr="00055356">
      <w:tab/>
    </w:r>
    <w:r w:rsidRPr="00055356">
      <w:tab/>
    </w:r>
    <w:r w:rsidRPr="00055356">
      <w:fldChar w:fldCharType="begin"/>
    </w:r>
    <w:r w:rsidRPr="00055356">
      <w:instrText xml:space="preserve"> DOCPROPERTY "&lt;Extension&gt;" </w:instrText>
    </w:r>
    <w:r w:rsidRPr="00055356">
      <w:fldChar w:fldCharType="separate"/>
    </w:r>
    <w:r w:rsidRPr="00055356">
      <w:t>HR</w:t>
    </w:r>
    <w:r w:rsidRPr="00055356">
      <w:fldChar w:fldCharType="end"/>
    </w:r>
  </w:p>
  <w:p w14:paraId="445C834A" w14:textId="77777777" w:rsidR="00471AA6" w:rsidRPr="00055356" w:rsidRDefault="00471AA6" w:rsidP="00806EEE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DDE6C" w14:textId="77777777" w:rsidR="00064002" w:rsidRPr="00055356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9598CB" w14:textId="77777777" w:rsidR="00064002" w:rsidRPr="00055356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7CB747" w14:textId="77777777" w:rsidR="00064002" w:rsidRPr="0005535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589FF1" w14:textId="77777777" w:rsidR="008230D2" w:rsidRPr="00055356" w:rsidRDefault="008230D2">
      <w:r w:rsidRPr="00055356">
        <w:separator/>
      </w:r>
    </w:p>
  </w:footnote>
  <w:footnote w:type="continuationSeparator" w:id="0">
    <w:p w14:paraId="516D2A25" w14:textId="77777777" w:rsidR="008230D2" w:rsidRPr="00055356" w:rsidRDefault="008230D2">
      <w:r w:rsidRPr="00055356">
        <w:continuationSeparator/>
      </w:r>
    </w:p>
  </w:footnote>
  <w:footnote w:id="1">
    <w:p w14:paraId="35B4ADA5" w14:textId="6ACD6CC2" w:rsidR="00471AA6" w:rsidRPr="00055356" w:rsidRDefault="00471AA6" w:rsidP="00055356">
      <w:pPr>
        <w:pStyle w:val="FootnoteText"/>
        <w:ind w:left="567" w:hanging="567"/>
        <w:rPr>
          <w:sz w:val="24"/>
          <w:lang w:val="hr-HR"/>
        </w:rPr>
      </w:pPr>
      <w:r w:rsidRPr="00055356">
        <w:rPr>
          <w:rStyle w:val="FootnoteReference"/>
          <w:sz w:val="24"/>
          <w:lang w:val="hr-HR"/>
        </w:rPr>
        <w:footnoteRef/>
      </w:r>
      <w:r w:rsidR="00055356" w:rsidRPr="00055356">
        <w:rPr>
          <w:sz w:val="24"/>
          <w:lang w:val="hr-HR"/>
        </w:rPr>
        <w:t xml:space="preserve"> </w:t>
      </w:r>
      <w:r w:rsidR="00055356" w:rsidRPr="00055356">
        <w:rPr>
          <w:sz w:val="24"/>
          <w:lang w:val="hr-HR"/>
        </w:rPr>
        <w:tab/>
      </w:r>
      <w:r w:rsidRPr="00055356">
        <w:rPr>
          <w:sz w:val="24"/>
          <w:lang w:val="hr-HR"/>
        </w:rPr>
        <w:t>SL C, C/2024/6332, 24.10.2024</w:t>
      </w:r>
      <w:r w:rsidR="00FE0F1C">
        <w:rPr>
          <w:sz w:val="24"/>
          <w:lang w:val="hr-HR"/>
        </w:rPr>
        <w:t>.</w:t>
      </w:r>
      <w:r w:rsidRPr="00055356">
        <w:rPr>
          <w:sz w:val="24"/>
          <w:lang w:val="hr-HR"/>
        </w:rPr>
        <w:t xml:space="preserve">, ELI: </w:t>
      </w:r>
      <w:hyperlink r:id="rId1" w:history="1">
        <w:r w:rsidRPr="00055356">
          <w:rPr>
            <w:rStyle w:val="Hyperlink"/>
            <w:sz w:val="24"/>
            <w:lang w:val="hr-HR"/>
          </w:rPr>
          <w:t>http://data.europa.eu/eli/C/2024/6332/oj</w:t>
        </w:r>
      </w:hyperlink>
      <w:r w:rsidRPr="00055356">
        <w:rPr>
          <w:sz w:val="24"/>
          <w:lang w:val="hr-HR"/>
        </w:rPr>
        <w:t>.</w:t>
      </w:r>
    </w:p>
  </w:footnote>
  <w:footnote w:id="2">
    <w:p w14:paraId="6F765E2B" w14:textId="75F978F2" w:rsidR="00471AA6" w:rsidRPr="00055356" w:rsidRDefault="00471AA6" w:rsidP="00055356">
      <w:pPr>
        <w:pStyle w:val="FootnoteText"/>
        <w:ind w:left="567" w:hanging="567"/>
        <w:rPr>
          <w:sz w:val="24"/>
          <w:lang w:val="hr-HR"/>
        </w:rPr>
      </w:pPr>
      <w:r w:rsidRPr="00055356">
        <w:rPr>
          <w:rStyle w:val="FootnoteReference"/>
          <w:sz w:val="24"/>
          <w:lang w:val="hr-HR"/>
        </w:rPr>
        <w:footnoteRef/>
      </w:r>
      <w:r w:rsidR="00055356" w:rsidRPr="00055356">
        <w:rPr>
          <w:sz w:val="24"/>
          <w:lang w:val="hr-HR"/>
        </w:rPr>
        <w:t xml:space="preserve"> </w:t>
      </w:r>
      <w:r w:rsidR="00055356" w:rsidRPr="00055356">
        <w:rPr>
          <w:sz w:val="24"/>
          <w:lang w:val="hr-HR"/>
        </w:rPr>
        <w:tab/>
      </w:r>
      <w:r w:rsidRPr="00055356">
        <w:rPr>
          <w:sz w:val="24"/>
          <w:lang w:val="hr-HR"/>
        </w:rPr>
        <w:t>SL C, C/2024/6041, 10.10.2024</w:t>
      </w:r>
      <w:r w:rsidR="00FE0F1C">
        <w:rPr>
          <w:sz w:val="24"/>
          <w:lang w:val="hr-HR"/>
        </w:rPr>
        <w:t>.</w:t>
      </w:r>
      <w:r w:rsidRPr="00055356">
        <w:rPr>
          <w:sz w:val="24"/>
          <w:lang w:val="hr-HR"/>
        </w:rPr>
        <w:t xml:space="preserve">, ELI: </w:t>
      </w:r>
      <w:hyperlink r:id="rId2" w:history="1">
        <w:r w:rsidRPr="00055356">
          <w:rPr>
            <w:rStyle w:val="Hyperlink"/>
            <w:sz w:val="24"/>
            <w:lang w:val="hr-HR"/>
          </w:rPr>
          <w:t>http://data.europa.eu/eli/C/2024/6041/oj</w:t>
        </w:r>
      </w:hyperlink>
      <w:r w:rsidRPr="00055356">
        <w:rPr>
          <w:rStyle w:val="Hyperlink"/>
          <w:sz w:val="24"/>
          <w:lang w:val="hr-HR"/>
        </w:rPr>
        <w:t>.</w:t>
      </w:r>
    </w:p>
  </w:footnote>
  <w:footnote w:id="3">
    <w:p w14:paraId="2B077F8C" w14:textId="3A53AAEB" w:rsidR="00471AA6" w:rsidRPr="00055356" w:rsidRDefault="00471AA6" w:rsidP="00055356">
      <w:pPr>
        <w:pStyle w:val="FootnoteText"/>
        <w:ind w:left="567" w:hanging="567"/>
        <w:rPr>
          <w:sz w:val="24"/>
          <w:lang w:val="hr-HR"/>
        </w:rPr>
      </w:pPr>
      <w:r w:rsidRPr="00055356">
        <w:rPr>
          <w:rStyle w:val="FootnoteReference"/>
          <w:sz w:val="24"/>
          <w:lang w:val="hr-HR"/>
        </w:rPr>
        <w:footnoteRef/>
      </w:r>
      <w:r w:rsidR="00055356" w:rsidRPr="00055356">
        <w:rPr>
          <w:sz w:val="24"/>
          <w:lang w:val="hr-HR"/>
        </w:rPr>
        <w:t xml:space="preserve"> </w:t>
      </w:r>
      <w:r w:rsidR="00055356" w:rsidRPr="00055356">
        <w:rPr>
          <w:sz w:val="24"/>
          <w:lang w:val="hr-HR"/>
        </w:rPr>
        <w:tab/>
      </w:r>
      <w:r w:rsidR="005F5014">
        <w:rPr>
          <w:sz w:val="24"/>
          <w:szCs w:val="24"/>
          <w:lang w:val="hr-HR"/>
        </w:rPr>
        <w:t>SL</w:t>
      </w:r>
      <w:r w:rsidR="005F5014" w:rsidRPr="005F5014">
        <w:rPr>
          <w:sz w:val="24"/>
          <w:szCs w:val="24"/>
          <w:lang w:val="hr-HR"/>
        </w:rPr>
        <w:t xml:space="preserve"> L, 2025/1663, 8.10.2025</w:t>
      </w:r>
      <w:r w:rsidR="005F5014">
        <w:rPr>
          <w:sz w:val="24"/>
          <w:szCs w:val="24"/>
          <w:lang w:val="hr-HR"/>
        </w:rPr>
        <w:t>.</w:t>
      </w:r>
      <w:r w:rsidR="005F5014" w:rsidRPr="005F5014">
        <w:rPr>
          <w:sz w:val="24"/>
          <w:szCs w:val="24"/>
          <w:lang w:val="hr-HR"/>
        </w:rPr>
        <w:t>, ELI: </w:t>
      </w:r>
      <w:hyperlink r:id="rId3" w:tgtFrame="_blank" w:tooltip="Gives access to this document through its ELI URI." w:history="1">
        <w:r w:rsidR="005F5014" w:rsidRPr="005F5014">
          <w:rPr>
            <w:rStyle w:val="Hyperlink"/>
            <w:sz w:val="24"/>
            <w:szCs w:val="24"/>
            <w:lang w:val="hr-HR"/>
          </w:rPr>
          <w:t>http://data.europa.eu/eli/dec/2025/1663/oj</w:t>
        </w:r>
      </w:hyperlink>
      <w:r w:rsidRPr="00055356">
        <w:rPr>
          <w:sz w:val="24"/>
          <w:lang w:val="hr-HR"/>
        </w:rPr>
        <w:t>.</w:t>
      </w:r>
    </w:p>
  </w:footnote>
  <w:footnote w:id="4">
    <w:p w14:paraId="59B4F54D" w14:textId="5CA3C378" w:rsidR="00471AA6" w:rsidRPr="00055356" w:rsidRDefault="00471AA6" w:rsidP="00055356">
      <w:pPr>
        <w:pStyle w:val="FootnoteText"/>
        <w:ind w:left="567" w:hanging="567"/>
        <w:rPr>
          <w:sz w:val="24"/>
          <w:lang w:val="hr-HR"/>
        </w:rPr>
      </w:pPr>
      <w:r w:rsidRPr="00055356">
        <w:rPr>
          <w:rStyle w:val="FootnoteReference"/>
          <w:sz w:val="24"/>
          <w:lang w:val="hr-HR"/>
        </w:rPr>
        <w:footnoteRef/>
      </w:r>
      <w:r w:rsidR="00055356" w:rsidRPr="00055356">
        <w:rPr>
          <w:sz w:val="24"/>
          <w:lang w:val="hr-HR"/>
        </w:rPr>
        <w:t xml:space="preserve"> </w:t>
      </w:r>
      <w:r w:rsidR="00055356" w:rsidRPr="00055356">
        <w:rPr>
          <w:sz w:val="24"/>
          <w:lang w:val="hr-HR"/>
        </w:rPr>
        <w:tab/>
      </w:r>
      <w:r w:rsidRPr="00055356">
        <w:rPr>
          <w:sz w:val="24"/>
          <w:lang w:val="hr-HR"/>
        </w:rPr>
        <w:t xml:space="preserve">SL L 193, 30.7.2018., str. </w:t>
      </w:r>
      <w:r w:rsidRPr="00055356">
        <w:rPr>
          <w:sz w:val="24"/>
          <w:lang w:val="hr-HR"/>
        </w:rPr>
        <w:t xml:space="preserve">1., ELI: </w:t>
      </w:r>
      <w:hyperlink r:id="rId4" w:history="1">
        <w:r w:rsidRPr="00055356">
          <w:rPr>
            <w:rStyle w:val="Hyperlink"/>
            <w:sz w:val="24"/>
            <w:lang w:val="hr-HR"/>
          </w:rPr>
          <w:t>http://data.europa.eu/eli/reg/2018/1046/oj</w:t>
        </w:r>
      </w:hyperlink>
      <w:r w:rsidRPr="00055356">
        <w:rPr>
          <w:sz w:val="24"/>
          <w:lang w:val="hr-HR"/>
        </w:rPr>
        <w:t>.</w:t>
      </w:r>
    </w:p>
  </w:footnote>
  <w:footnote w:id="5">
    <w:p w14:paraId="0E3363D7" w14:textId="2D8A812E" w:rsidR="00471AA6" w:rsidRPr="00055356" w:rsidRDefault="00471AA6" w:rsidP="00055356">
      <w:pPr>
        <w:pStyle w:val="FootnoteText"/>
        <w:ind w:left="567" w:hanging="567"/>
        <w:rPr>
          <w:sz w:val="24"/>
          <w:lang w:val="hr-HR"/>
        </w:rPr>
      </w:pPr>
      <w:r w:rsidRPr="00055356">
        <w:rPr>
          <w:rStyle w:val="FootnoteReference"/>
          <w:sz w:val="24"/>
          <w:lang w:val="hr-HR"/>
        </w:rPr>
        <w:footnoteRef/>
      </w:r>
      <w:r w:rsidR="00055356" w:rsidRPr="00055356">
        <w:rPr>
          <w:sz w:val="24"/>
          <w:lang w:val="hr-HR"/>
        </w:rPr>
        <w:t xml:space="preserve"> </w:t>
      </w:r>
      <w:r w:rsidR="00055356" w:rsidRPr="00055356">
        <w:rPr>
          <w:sz w:val="24"/>
          <w:lang w:val="hr-HR"/>
        </w:rPr>
        <w:tab/>
      </w:r>
      <w:r w:rsidRPr="00055356">
        <w:rPr>
          <w:sz w:val="24"/>
          <w:lang w:val="hr-HR"/>
        </w:rPr>
        <w:t xml:space="preserve">SL L, 2024/2509, 26.9.2024., ELI: </w:t>
      </w:r>
      <w:hyperlink r:id="rId5" w:history="1">
        <w:r w:rsidRPr="00055356">
          <w:rPr>
            <w:rStyle w:val="Hyperlink"/>
            <w:sz w:val="24"/>
            <w:lang w:val="hr-HR"/>
          </w:rPr>
          <w:t>http://data.europa.eu/eli/reg/2024/2509/oj</w:t>
        </w:r>
      </w:hyperlink>
      <w:r w:rsidRPr="00055356">
        <w:rPr>
          <w:sz w:val="24"/>
          <w:lang w:val="hr-HR"/>
        </w:rPr>
        <w:t>.</w:t>
      </w:r>
    </w:p>
  </w:footnote>
  <w:footnote w:id="6">
    <w:p w14:paraId="6489F2EA" w14:textId="2213BB2C" w:rsidR="00471AA6" w:rsidRPr="00055356" w:rsidRDefault="00471AA6" w:rsidP="00055356">
      <w:pPr>
        <w:pStyle w:val="FootnoteText"/>
        <w:ind w:left="567" w:hanging="567"/>
        <w:rPr>
          <w:sz w:val="24"/>
          <w:lang w:val="hr-HR"/>
        </w:rPr>
      </w:pPr>
      <w:r w:rsidRPr="00055356">
        <w:rPr>
          <w:rStyle w:val="FootnoteReference"/>
          <w:sz w:val="24"/>
          <w:lang w:val="hr-HR"/>
        </w:rPr>
        <w:footnoteRef/>
      </w:r>
      <w:r w:rsidR="00055356" w:rsidRPr="00055356">
        <w:rPr>
          <w:sz w:val="24"/>
          <w:lang w:val="hr-HR"/>
        </w:rPr>
        <w:t xml:space="preserve"> </w:t>
      </w:r>
      <w:r w:rsidR="00055356" w:rsidRPr="00055356">
        <w:rPr>
          <w:sz w:val="24"/>
          <w:lang w:val="hr-HR"/>
        </w:rPr>
        <w:tab/>
      </w:r>
      <w:r w:rsidRPr="00055356">
        <w:rPr>
          <w:sz w:val="24"/>
          <w:lang w:val="hr-HR"/>
        </w:rPr>
        <w:t xml:space="preserve">SL L 132, 29.5.2010., str. </w:t>
      </w:r>
      <w:r w:rsidRPr="00055356">
        <w:rPr>
          <w:sz w:val="24"/>
          <w:lang w:val="hr-HR"/>
        </w:rPr>
        <w:t xml:space="preserve">11., ELI: </w:t>
      </w:r>
      <w:hyperlink r:id="rId6" w:history="1">
        <w:r w:rsidRPr="00055356">
          <w:rPr>
            <w:rStyle w:val="Hyperlink"/>
            <w:sz w:val="24"/>
            <w:lang w:val="hr-HR"/>
          </w:rPr>
          <w:t>http://data.europa.eu/eli/reg/2010/439/oj</w:t>
        </w:r>
      </w:hyperlink>
      <w:r w:rsidRPr="00055356">
        <w:rPr>
          <w:sz w:val="24"/>
          <w:lang w:val="hr-HR"/>
        </w:rPr>
        <w:t>.</w:t>
      </w:r>
    </w:p>
  </w:footnote>
  <w:footnote w:id="7">
    <w:p w14:paraId="1B38E39C" w14:textId="281FB7E6" w:rsidR="00471AA6" w:rsidRPr="00055356" w:rsidRDefault="00471AA6" w:rsidP="00055356">
      <w:pPr>
        <w:pStyle w:val="FootnoteText"/>
        <w:ind w:left="567" w:hanging="567"/>
        <w:rPr>
          <w:sz w:val="24"/>
          <w:lang w:val="hr-HR"/>
        </w:rPr>
      </w:pPr>
      <w:r w:rsidRPr="00055356">
        <w:rPr>
          <w:rStyle w:val="FootnoteReference"/>
          <w:sz w:val="24"/>
          <w:lang w:val="hr-HR"/>
        </w:rPr>
        <w:footnoteRef/>
      </w:r>
      <w:r w:rsidR="00055356" w:rsidRPr="00055356">
        <w:rPr>
          <w:sz w:val="24"/>
          <w:lang w:val="hr-HR"/>
        </w:rPr>
        <w:t xml:space="preserve"> </w:t>
      </w:r>
      <w:r w:rsidR="00055356" w:rsidRPr="00055356">
        <w:rPr>
          <w:sz w:val="24"/>
          <w:lang w:val="hr-HR"/>
        </w:rPr>
        <w:tab/>
      </w:r>
      <w:r w:rsidRPr="00055356">
        <w:rPr>
          <w:sz w:val="24"/>
          <w:lang w:val="hr-HR"/>
        </w:rPr>
        <w:t xml:space="preserve">SL L 468, 30.12.2021., str. </w:t>
      </w:r>
      <w:r w:rsidRPr="00055356">
        <w:rPr>
          <w:sz w:val="24"/>
          <w:lang w:val="hr-HR"/>
        </w:rPr>
        <w:t xml:space="preserve">1., ELI: </w:t>
      </w:r>
      <w:hyperlink r:id="rId7" w:history="1">
        <w:r w:rsidRPr="00055356">
          <w:rPr>
            <w:rStyle w:val="Hyperlink"/>
            <w:sz w:val="24"/>
            <w:lang w:val="hr-HR"/>
          </w:rPr>
          <w:t>http://data.europa.eu/eli/reg/2021/2303/oj</w:t>
        </w:r>
      </w:hyperlink>
      <w:r w:rsidRPr="00055356">
        <w:rPr>
          <w:sz w:val="24"/>
          <w:lang w:val="hr-HR"/>
        </w:rPr>
        <w:t>.</w:t>
      </w:r>
    </w:p>
  </w:footnote>
  <w:footnote w:id="8">
    <w:p w14:paraId="7080A106" w14:textId="748519AC" w:rsidR="00471AA6" w:rsidRPr="00055356" w:rsidRDefault="00471AA6" w:rsidP="00055356">
      <w:pPr>
        <w:pStyle w:val="FootnoteText"/>
        <w:ind w:left="567" w:hanging="567"/>
        <w:rPr>
          <w:sz w:val="24"/>
          <w:lang w:val="hr-HR"/>
        </w:rPr>
      </w:pPr>
      <w:r w:rsidRPr="00055356">
        <w:rPr>
          <w:rStyle w:val="FootnoteReference"/>
          <w:sz w:val="24"/>
          <w:lang w:val="hr-HR"/>
        </w:rPr>
        <w:footnoteRef/>
      </w:r>
      <w:r w:rsidR="00055356" w:rsidRPr="00055356">
        <w:rPr>
          <w:sz w:val="24"/>
          <w:lang w:val="hr-HR"/>
        </w:rPr>
        <w:t xml:space="preserve"> </w:t>
      </w:r>
      <w:r w:rsidR="00055356" w:rsidRPr="00055356">
        <w:rPr>
          <w:sz w:val="24"/>
          <w:lang w:val="hr-HR"/>
        </w:rPr>
        <w:tab/>
      </w:r>
      <w:r w:rsidRPr="00055356">
        <w:rPr>
          <w:sz w:val="24"/>
          <w:lang w:val="hr-HR"/>
        </w:rPr>
        <w:t xml:space="preserve">SL L 122, 10.5.2019., str. </w:t>
      </w:r>
      <w:r w:rsidRPr="00055356">
        <w:rPr>
          <w:sz w:val="24"/>
          <w:lang w:val="hr-HR"/>
        </w:rPr>
        <w:t xml:space="preserve">1., ELI: </w:t>
      </w:r>
      <w:hyperlink r:id="rId8" w:history="1">
        <w:r w:rsidRPr="00055356">
          <w:rPr>
            <w:rStyle w:val="Hyperlink"/>
            <w:sz w:val="24"/>
            <w:lang w:val="hr-HR"/>
          </w:rPr>
          <w:t>http://data.europa.eu/eli/reg_del/2019/715/oj</w:t>
        </w:r>
      </w:hyperlink>
      <w:r w:rsidRPr="00055356">
        <w:rPr>
          <w:sz w:val="24"/>
          <w:lang w:val="hr-HR"/>
        </w:rPr>
        <w:t>.</w:t>
      </w:r>
    </w:p>
  </w:footnote>
  <w:footnote w:id="9">
    <w:p w14:paraId="11AE5CB7" w14:textId="62D8B636" w:rsidR="00471AA6" w:rsidRPr="00055356" w:rsidRDefault="00471AA6" w:rsidP="00055356">
      <w:pPr>
        <w:pStyle w:val="FootnoteText"/>
        <w:ind w:left="567" w:hanging="567"/>
        <w:rPr>
          <w:sz w:val="24"/>
          <w:lang w:val="hr-HR"/>
        </w:rPr>
      </w:pPr>
      <w:r w:rsidRPr="00055356">
        <w:rPr>
          <w:rStyle w:val="FootnoteReference"/>
          <w:sz w:val="24"/>
          <w:lang w:val="hr-HR"/>
        </w:rPr>
        <w:footnoteRef/>
      </w:r>
      <w:r w:rsidR="00055356" w:rsidRPr="00055356">
        <w:rPr>
          <w:sz w:val="24"/>
          <w:lang w:val="hr-HR"/>
        </w:rPr>
        <w:t xml:space="preserve"> </w:t>
      </w:r>
      <w:r w:rsidR="00055356" w:rsidRPr="00055356">
        <w:rPr>
          <w:sz w:val="24"/>
          <w:lang w:val="hr-HR"/>
        </w:rPr>
        <w:tab/>
      </w:r>
      <w:r w:rsidRPr="00055356">
        <w:rPr>
          <w:sz w:val="24"/>
          <w:lang w:val="hr-HR"/>
        </w:rPr>
        <w:t>SL C, C/2024/6332, 24.10.2024</w:t>
      </w:r>
      <w:r w:rsidR="00FE0F1C">
        <w:rPr>
          <w:sz w:val="24"/>
          <w:lang w:val="hr-HR"/>
        </w:rPr>
        <w:t>.</w:t>
      </w:r>
      <w:r w:rsidRPr="00055356">
        <w:rPr>
          <w:sz w:val="24"/>
          <w:lang w:val="hr-HR"/>
        </w:rPr>
        <w:t xml:space="preserve">, ELI: </w:t>
      </w:r>
      <w:r w:rsidRPr="00055356">
        <w:rPr>
          <w:rStyle w:val="Hyperlink"/>
          <w:sz w:val="24"/>
          <w:lang w:val="hr-HR"/>
        </w:rPr>
        <w:t>http://data.europa.eu/eli/C/2024/6332/oj</w:t>
      </w:r>
      <w:r w:rsidRPr="00055356">
        <w:rPr>
          <w:sz w:val="24"/>
          <w:lang w:val="hr-HR"/>
        </w:rPr>
        <w:t>.</w:t>
      </w:r>
    </w:p>
  </w:footnote>
  <w:footnote w:id="10">
    <w:p w14:paraId="6927A3EE" w14:textId="78E2835A" w:rsidR="00471AA6" w:rsidRPr="00055356" w:rsidRDefault="00471AA6" w:rsidP="00055356">
      <w:pPr>
        <w:pStyle w:val="FootnoteText"/>
        <w:ind w:left="567" w:hanging="567"/>
        <w:rPr>
          <w:sz w:val="24"/>
          <w:lang w:val="hr-HR"/>
        </w:rPr>
      </w:pPr>
      <w:r w:rsidRPr="00055356">
        <w:rPr>
          <w:rStyle w:val="FootnoteReference"/>
          <w:sz w:val="24"/>
          <w:lang w:val="hr-HR"/>
        </w:rPr>
        <w:footnoteRef/>
      </w:r>
      <w:r w:rsidR="00055356" w:rsidRPr="00055356">
        <w:rPr>
          <w:sz w:val="24"/>
          <w:lang w:val="hr-HR"/>
        </w:rPr>
        <w:t xml:space="preserve"> </w:t>
      </w:r>
      <w:r w:rsidR="00055356" w:rsidRPr="00055356">
        <w:rPr>
          <w:sz w:val="24"/>
          <w:lang w:val="hr-HR"/>
        </w:rPr>
        <w:tab/>
      </w:r>
      <w:r w:rsidRPr="00055356">
        <w:rPr>
          <w:sz w:val="24"/>
          <w:lang w:val="hr-HR"/>
        </w:rPr>
        <w:t>SL C, C/2024/6041, 10.10.2024</w:t>
      </w:r>
      <w:r w:rsidR="00FE0F1C">
        <w:rPr>
          <w:sz w:val="24"/>
          <w:lang w:val="hr-HR"/>
        </w:rPr>
        <w:t>.</w:t>
      </w:r>
      <w:r w:rsidRPr="00055356">
        <w:rPr>
          <w:sz w:val="24"/>
          <w:lang w:val="hr-HR"/>
        </w:rPr>
        <w:t xml:space="preserve">, ELI: </w:t>
      </w:r>
      <w:r w:rsidRPr="00055356">
        <w:rPr>
          <w:rStyle w:val="Hyperlink"/>
          <w:sz w:val="24"/>
          <w:lang w:val="hr-HR"/>
        </w:rPr>
        <w:t>http://data.europa.eu/eli/C/2024/6041/oj</w:t>
      </w:r>
      <w:r w:rsidRPr="00055356">
        <w:rPr>
          <w:sz w:val="24"/>
          <w:lang w:val="hr-HR"/>
        </w:rPr>
        <w:t>.</w:t>
      </w:r>
    </w:p>
  </w:footnote>
  <w:footnote w:id="11">
    <w:p w14:paraId="30C8DE4B" w14:textId="119E0A03" w:rsidR="00471AA6" w:rsidRPr="00337790" w:rsidRDefault="00471AA6" w:rsidP="00055356">
      <w:pPr>
        <w:pStyle w:val="FootnoteText"/>
        <w:ind w:left="567" w:hanging="567"/>
        <w:rPr>
          <w:sz w:val="24"/>
          <w:lang w:val="hr-HR"/>
        </w:rPr>
      </w:pPr>
      <w:r w:rsidRPr="00055356">
        <w:rPr>
          <w:rStyle w:val="FootnoteReference"/>
          <w:sz w:val="24"/>
          <w:lang w:val="hr-HR"/>
        </w:rPr>
        <w:footnoteRef/>
      </w:r>
      <w:r w:rsidR="00055356" w:rsidRPr="00055356">
        <w:rPr>
          <w:sz w:val="24"/>
          <w:lang w:val="hr-HR"/>
        </w:rPr>
        <w:t xml:space="preserve"> </w:t>
      </w:r>
      <w:r w:rsidR="00055356" w:rsidRPr="00055356">
        <w:rPr>
          <w:sz w:val="24"/>
          <w:lang w:val="hr-HR"/>
        </w:rPr>
        <w:tab/>
      </w:r>
      <w:r w:rsidR="005F5014">
        <w:rPr>
          <w:sz w:val="24"/>
          <w:szCs w:val="24"/>
          <w:lang w:val="fi-FI"/>
        </w:rPr>
        <w:t>SL</w:t>
      </w:r>
      <w:r w:rsidR="005F5014" w:rsidRPr="005F5014">
        <w:rPr>
          <w:sz w:val="24"/>
          <w:szCs w:val="24"/>
          <w:lang w:val="fi-FI"/>
        </w:rPr>
        <w:t xml:space="preserve"> L, 2025/1663, 8.10.2025</w:t>
      </w:r>
      <w:r w:rsidR="005F5014">
        <w:rPr>
          <w:sz w:val="24"/>
          <w:szCs w:val="24"/>
          <w:lang w:val="fi-FI"/>
        </w:rPr>
        <w:t>.</w:t>
      </w:r>
      <w:r w:rsidR="005F5014" w:rsidRPr="005F5014">
        <w:rPr>
          <w:sz w:val="24"/>
          <w:szCs w:val="24"/>
          <w:lang w:val="fi-FI"/>
        </w:rPr>
        <w:t>, ELI: </w:t>
      </w:r>
      <w:hyperlink r:id="rId9" w:tgtFrame="_blank" w:tooltip="Gives access to this document through its ELI URI." w:history="1">
        <w:r w:rsidR="005F5014" w:rsidRPr="005F5014">
          <w:rPr>
            <w:rStyle w:val="Hyperlink"/>
            <w:sz w:val="24"/>
            <w:szCs w:val="24"/>
            <w:lang w:val="fi-FI"/>
          </w:rPr>
          <w:t>http://data.europa.eu/eli/dec/2025/1663/oj</w:t>
        </w:r>
      </w:hyperlink>
      <w:r w:rsidRPr="00337790">
        <w:rPr>
          <w:sz w:val="24"/>
          <w:lang w:val="hr-HR"/>
        </w:rPr>
        <w:t>.</w:t>
      </w:r>
    </w:p>
  </w:footnote>
  <w:footnote w:id="12">
    <w:p w14:paraId="2504AE40" w14:textId="319E57EB" w:rsidR="00471AA6" w:rsidRPr="00055356" w:rsidRDefault="00471AA6" w:rsidP="00055356">
      <w:pPr>
        <w:pStyle w:val="FootnoteText"/>
        <w:ind w:left="567" w:hanging="567"/>
        <w:rPr>
          <w:sz w:val="24"/>
          <w:lang w:val="hr-HR"/>
        </w:rPr>
      </w:pPr>
      <w:r w:rsidRPr="00337790">
        <w:rPr>
          <w:rStyle w:val="FootnoteReference"/>
          <w:sz w:val="24"/>
          <w:lang w:val="hr-HR"/>
        </w:rPr>
        <w:footnoteRef/>
      </w:r>
      <w:r w:rsidR="00055356" w:rsidRPr="00337790">
        <w:rPr>
          <w:sz w:val="24"/>
          <w:lang w:val="hr-HR"/>
        </w:rPr>
        <w:t xml:space="preserve"> </w:t>
      </w:r>
      <w:r w:rsidR="00055356" w:rsidRPr="00337790">
        <w:rPr>
          <w:sz w:val="24"/>
          <w:lang w:val="hr-HR"/>
        </w:rPr>
        <w:tab/>
      </w:r>
      <w:r w:rsidRPr="00337790">
        <w:rPr>
          <w:sz w:val="24"/>
          <w:lang w:val="hr-HR"/>
        </w:rPr>
        <w:t xml:space="preserve">SL L 193, 30.7.2018., str. </w:t>
      </w:r>
      <w:r w:rsidRPr="00337790">
        <w:rPr>
          <w:sz w:val="24"/>
          <w:lang w:val="hr-HR"/>
        </w:rPr>
        <w:t xml:space="preserve">1., ELI: </w:t>
      </w:r>
      <w:hyperlink r:id="rId10" w:history="1">
        <w:r w:rsidRPr="00337790">
          <w:rPr>
            <w:rStyle w:val="Hyperlink"/>
            <w:sz w:val="24"/>
            <w:lang w:val="hr-HR"/>
          </w:rPr>
          <w:t>http://data.europa.eu/eli/reg/2018/1046/oj</w:t>
        </w:r>
      </w:hyperlink>
      <w:r w:rsidRPr="00055356">
        <w:rPr>
          <w:sz w:val="24"/>
          <w:lang w:val="hr-HR"/>
        </w:rPr>
        <w:t>.</w:t>
      </w:r>
    </w:p>
  </w:footnote>
  <w:footnote w:id="13">
    <w:p w14:paraId="3F9DA045" w14:textId="615C73C6" w:rsidR="00471AA6" w:rsidRPr="00055356" w:rsidRDefault="00471AA6" w:rsidP="00055356">
      <w:pPr>
        <w:pStyle w:val="FootnoteText"/>
        <w:ind w:left="567" w:hanging="567"/>
        <w:rPr>
          <w:sz w:val="24"/>
          <w:lang w:val="hr-HR"/>
        </w:rPr>
      </w:pPr>
      <w:r w:rsidRPr="00055356">
        <w:rPr>
          <w:rStyle w:val="FootnoteReference"/>
          <w:sz w:val="24"/>
          <w:lang w:val="hr-HR"/>
        </w:rPr>
        <w:footnoteRef/>
      </w:r>
      <w:r w:rsidR="00055356" w:rsidRPr="00055356">
        <w:rPr>
          <w:sz w:val="24"/>
          <w:lang w:val="hr-HR"/>
        </w:rPr>
        <w:t xml:space="preserve"> </w:t>
      </w:r>
      <w:r w:rsidR="00055356" w:rsidRPr="00055356">
        <w:rPr>
          <w:sz w:val="24"/>
          <w:lang w:val="hr-HR"/>
        </w:rPr>
        <w:tab/>
      </w:r>
      <w:r w:rsidRPr="00055356">
        <w:rPr>
          <w:sz w:val="24"/>
          <w:lang w:val="hr-HR"/>
        </w:rPr>
        <w:t xml:space="preserve">SL L, 2024/2509, 26.9.2024., ELI: </w:t>
      </w:r>
      <w:hyperlink r:id="rId11" w:history="1">
        <w:r w:rsidRPr="00055356">
          <w:rPr>
            <w:rStyle w:val="Hyperlink"/>
            <w:sz w:val="24"/>
            <w:lang w:val="hr-HR"/>
          </w:rPr>
          <w:t>http://data.europa.eu/eli/reg/2024/2509/oj</w:t>
        </w:r>
      </w:hyperlink>
      <w:r w:rsidRPr="00055356">
        <w:rPr>
          <w:sz w:val="24"/>
          <w:lang w:val="hr-HR"/>
        </w:rPr>
        <w:t>.</w:t>
      </w:r>
    </w:p>
  </w:footnote>
  <w:footnote w:id="14">
    <w:p w14:paraId="1D1A5ACC" w14:textId="48F4B1F2" w:rsidR="00471AA6" w:rsidRPr="00055356" w:rsidRDefault="00471AA6" w:rsidP="00055356">
      <w:pPr>
        <w:pStyle w:val="FootnoteText"/>
        <w:ind w:left="567" w:hanging="567"/>
        <w:rPr>
          <w:sz w:val="24"/>
          <w:lang w:val="hr-HR"/>
        </w:rPr>
      </w:pPr>
      <w:r w:rsidRPr="00055356">
        <w:rPr>
          <w:rStyle w:val="FootnoteReference"/>
          <w:sz w:val="24"/>
          <w:lang w:val="hr-HR"/>
        </w:rPr>
        <w:footnoteRef/>
      </w:r>
      <w:r w:rsidR="00055356" w:rsidRPr="00055356">
        <w:rPr>
          <w:sz w:val="24"/>
          <w:lang w:val="hr-HR"/>
        </w:rPr>
        <w:t xml:space="preserve"> </w:t>
      </w:r>
      <w:r w:rsidR="00055356" w:rsidRPr="00055356">
        <w:rPr>
          <w:sz w:val="24"/>
          <w:lang w:val="hr-HR"/>
        </w:rPr>
        <w:tab/>
      </w:r>
      <w:r w:rsidRPr="00055356">
        <w:rPr>
          <w:sz w:val="24"/>
          <w:lang w:val="hr-HR"/>
        </w:rPr>
        <w:t xml:space="preserve">SL L 132, 29.5.2010., str. </w:t>
      </w:r>
      <w:r w:rsidRPr="00055356">
        <w:rPr>
          <w:sz w:val="24"/>
          <w:lang w:val="hr-HR"/>
        </w:rPr>
        <w:t xml:space="preserve">11., ELI: </w:t>
      </w:r>
      <w:hyperlink r:id="rId12" w:history="1">
        <w:r w:rsidRPr="00055356">
          <w:rPr>
            <w:rStyle w:val="Hyperlink"/>
            <w:sz w:val="24"/>
            <w:lang w:val="hr-HR"/>
          </w:rPr>
          <w:t>http://data.europa.eu/eli/reg/2010/439/oj</w:t>
        </w:r>
      </w:hyperlink>
      <w:r w:rsidRPr="00055356">
        <w:rPr>
          <w:sz w:val="24"/>
          <w:lang w:val="hr-HR"/>
        </w:rPr>
        <w:t>.</w:t>
      </w:r>
    </w:p>
  </w:footnote>
  <w:footnote w:id="15">
    <w:p w14:paraId="171A14E3" w14:textId="439CC57A" w:rsidR="00471AA6" w:rsidRPr="00055356" w:rsidRDefault="00471AA6" w:rsidP="00055356">
      <w:pPr>
        <w:pStyle w:val="FootnoteText"/>
        <w:ind w:left="567" w:hanging="567"/>
        <w:rPr>
          <w:sz w:val="24"/>
          <w:lang w:val="hr-HR"/>
        </w:rPr>
      </w:pPr>
      <w:r w:rsidRPr="00055356">
        <w:rPr>
          <w:rStyle w:val="FootnoteReference"/>
          <w:sz w:val="24"/>
          <w:lang w:val="hr-HR"/>
        </w:rPr>
        <w:footnoteRef/>
      </w:r>
      <w:r w:rsidR="00055356" w:rsidRPr="00055356">
        <w:rPr>
          <w:sz w:val="24"/>
          <w:lang w:val="hr-HR"/>
        </w:rPr>
        <w:t xml:space="preserve"> </w:t>
      </w:r>
      <w:r w:rsidR="00055356" w:rsidRPr="00055356">
        <w:rPr>
          <w:sz w:val="24"/>
          <w:lang w:val="hr-HR"/>
        </w:rPr>
        <w:tab/>
      </w:r>
      <w:r w:rsidRPr="00055356">
        <w:rPr>
          <w:sz w:val="24"/>
          <w:lang w:val="hr-HR"/>
        </w:rPr>
        <w:t xml:space="preserve">SL L 468, 30.12.2021., str. </w:t>
      </w:r>
      <w:r w:rsidRPr="00055356">
        <w:rPr>
          <w:sz w:val="24"/>
          <w:lang w:val="hr-HR"/>
        </w:rPr>
        <w:t xml:space="preserve">1., ELI: </w:t>
      </w:r>
      <w:hyperlink r:id="rId13" w:history="1">
        <w:r w:rsidRPr="00055356">
          <w:rPr>
            <w:rStyle w:val="Hyperlink"/>
            <w:sz w:val="24"/>
            <w:lang w:val="hr-HR"/>
          </w:rPr>
          <w:t>http://data.europa.eu/eli/reg/2021/2303/oj</w:t>
        </w:r>
      </w:hyperlink>
      <w:r w:rsidRPr="00055356">
        <w:rPr>
          <w:sz w:val="24"/>
          <w:lang w:val="hr-HR"/>
        </w:rPr>
        <w:t>.</w:t>
      </w:r>
    </w:p>
  </w:footnote>
  <w:footnote w:id="16">
    <w:p w14:paraId="5E9FF499" w14:textId="61581030" w:rsidR="00471AA6" w:rsidRPr="00055356" w:rsidRDefault="00471AA6" w:rsidP="00055356">
      <w:pPr>
        <w:pStyle w:val="FootnoteText"/>
        <w:ind w:left="567" w:hanging="567"/>
        <w:rPr>
          <w:sz w:val="24"/>
          <w:lang w:val="hr-HR"/>
        </w:rPr>
      </w:pPr>
      <w:r w:rsidRPr="00055356">
        <w:rPr>
          <w:rStyle w:val="FootnoteReference"/>
          <w:sz w:val="24"/>
          <w:lang w:val="hr-HR"/>
        </w:rPr>
        <w:footnoteRef/>
      </w:r>
      <w:r w:rsidR="00055356" w:rsidRPr="00055356">
        <w:rPr>
          <w:sz w:val="24"/>
          <w:lang w:val="hr-HR"/>
        </w:rPr>
        <w:t xml:space="preserve"> </w:t>
      </w:r>
      <w:r w:rsidR="00055356" w:rsidRPr="00055356">
        <w:rPr>
          <w:sz w:val="24"/>
          <w:lang w:val="hr-HR"/>
        </w:rPr>
        <w:tab/>
      </w:r>
      <w:r w:rsidRPr="00055356">
        <w:rPr>
          <w:sz w:val="24"/>
          <w:lang w:val="hr-HR"/>
        </w:rPr>
        <w:t xml:space="preserve">SL L 122, 10.5.2019., str. </w:t>
      </w:r>
      <w:r w:rsidRPr="00055356">
        <w:rPr>
          <w:sz w:val="24"/>
          <w:lang w:val="hr-HR"/>
        </w:rPr>
        <w:t xml:space="preserve">1., ELI: </w:t>
      </w:r>
      <w:hyperlink r:id="rId14" w:history="1">
        <w:r w:rsidRPr="00055356">
          <w:rPr>
            <w:rStyle w:val="Hyperlink"/>
            <w:sz w:val="24"/>
            <w:lang w:val="hr-HR"/>
          </w:rPr>
          <w:t>http://data.europa.eu/eli/reg_del/2019/715/oj</w:t>
        </w:r>
      </w:hyperlink>
      <w:r w:rsidRPr="00055356">
        <w:rPr>
          <w:sz w:val="24"/>
          <w:lang w:val="hr-HR"/>
        </w:rPr>
        <w:t>.</w:t>
      </w:r>
    </w:p>
  </w:footnote>
  <w:footnote w:id="17">
    <w:p w14:paraId="58C504FF" w14:textId="0F3C4E4D" w:rsidR="00F025DE" w:rsidRPr="002070B3" w:rsidRDefault="00F025DE" w:rsidP="002070B3">
      <w:pPr>
        <w:pStyle w:val="FootnoteText"/>
        <w:ind w:left="567" w:hanging="567"/>
        <w:rPr>
          <w:sz w:val="24"/>
          <w:szCs w:val="24"/>
          <w:lang w:val="hr-HR"/>
        </w:rPr>
      </w:pPr>
      <w:r w:rsidRPr="002070B3">
        <w:rPr>
          <w:rStyle w:val="FootnoteReference"/>
          <w:sz w:val="24"/>
          <w:szCs w:val="24"/>
        </w:rPr>
        <w:footnoteRef/>
      </w:r>
      <w:r w:rsidRPr="002070B3">
        <w:rPr>
          <w:sz w:val="24"/>
          <w:szCs w:val="24"/>
          <w:lang w:val="hr-HR"/>
        </w:rPr>
        <w:t xml:space="preserve"> </w:t>
      </w:r>
      <w:r w:rsidRPr="002070B3">
        <w:rPr>
          <w:sz w:val="24"/>
          <w:szCs w:val="24"/>
          <w:lang w:val="hr-HR"/>
        </w:rPr>
        <w:tab/>
      </w:r>
      <w:r w:rsidR="00CC4678" w:rsidRPr="007F1BCC">
        <w:rPr>
          <w:sz w:val="24"/>
          <w:szCs w:val="24"/>
          <w:shd w:val="clear" w:color="auto" w:fill="FFFFFF"/>
          <w:lang w:val="hr-HR"/>
        </w:rPr>
        <w:t xml:space="preserve">Uredba (EU) 2021/2303 Europskog parlamenta i Vijeća od 15. prosinca 2021. o Agenciji Europske unije za azil i stavljanju izvan snage Uredbe (EU) br. 439/2010 (SL L 468, 30.12.2021., str. </w:t>
      </w:r>
      <w:r w:rsidR="00CC4678" w:rsidRPr="007F1BCC">
        <w:rPr>
          <w:sz w:val="24"/>
          <w:szCs w:val="24"/>
          <w:shd w:val="clear" w:color="auto" w:fill="FFFFFF"/>
          <w:lang w:val="hr-HR"/>
        </w:rPr>
        <w:t xml:space="preserve">1., ELI: </w:t>
      </w:r>
      <w:hyperlink r:id="rId15" w:history="1">
        <w:r w:rsidR="00CC4678" w:rsidRPr="002070B3">
          <w:rPr>
            <w:rStyle w:val="Hyperlink"/>
            <w:sz w:val="24"/>
            <w:lang w:val="hr-HR"/>
          </w:rPr>
          <w:t>http://data.europa.eu/eli/reg/2021/2303/oj</w:t>
        </w:r>
      </w:hyperlink>
      <w:r w:rsidR="00CC4678" w:rsidRPr="002070B3">
        <w:rPr>
          <w:rStyle w:val="Hyperlink"/>
          <w:color w:val="auto"/>
          <w:sz w:val="24"/>
          <w:lang w:val="hr-HR"/>
        </w:rPr>
        <w:t>).</w:t>
      </w:r>
    </w:p>
  </w:footnote>
  <w:footnote w:id="18">
    <w:p w14:paraId="39776AE6" w14:textId="2986D51B" w:rsidR="00471AA6" w:rsidRPr="00055356" w:rsidRDefault="00471AA6" w:rsidP="00055356">
      <w:pPr>
        <w:pStyle w:val="FootnoteText"/>
        <w:ind w:left="567" w:hanging="567"/>
        <w:rPr>
          <w:sz w:val="24"/>
          <w:lang w:val="hr-HR"/>
        </w:rPr>
      </w:pPr>
      <w:r w:rsidRPr="00055356">
        <w:rPr>
          <w:rStyle w:val="FootnoteReference"/>
          <w:sz w:val="24"/>
          <w:lang w:val="hr-HR"/>
        </w:rPr>
        <w:footnoteRef/>
      </w:r>
      <w:r w:rsidR="00055356" w:rsidRPr="00055356">
        <w:rPr>
          <w:sz w:val="24"/>
          <w:lang w:val="hr-HR"/>
        </w:rPr>
        <w:t xml:space="preserve"> </w:t>
      </w:r>
      <w:r w:rsidR="00055356" w:rsidRPr="00055356">
        <w:rPr>
          <w:sz w:val="24"/>
          <w:lang w:val="hr-HR"/>
        </w:rPr>
        <w:tab/>
      </w:r>
      <w:r w:rsidR="00337790">
        <w:rPr>
          <w:sz w:val="24"/>
          <w:szCs w:val="24"/>
          <w:lang w:val="hr-HR"/>
        </w:rPr>
        <w:t>SL</w:t>
      </w:r>
      <w:r w:rsidR="00337790" w:rsidRPr="0089346D">
        <w:rPr>
          <w:sz w:val="24"/>
          <w:szCs w:val="24"/>
          <w:lang w:val="hr-HR"/>
        </w:rPr>
        <w:t xml:space="preserve"> L, 2025/1681, 8.10.2025</w:t>
      </w:r>
      <w:r w:rsidR="00337790">
        <w:rPr>
          <w:sz w:val="24"/>
          <w:szCs w:val="24"/>
          <w:lang w:val="hr-HR"/>
        </w:rPr>
        <w:t>.</w:t>
      </w:r>
      <w:r w:rsidR="00337790" w:rsidRPr="0089346D">
        <w:rPr>
          <w:sz w:val="24"/>
          <w:szCs w:val="24"/>
          <w:lang w:val="hr-HR"/>
        </w:rPr>
        <w:t>, ELI: </w:t>
      </w:r>
      <w:hyperlink r:id="rId16" w:tgtFrame="_blank" w:tooltip="Gives access to this document through its ELI URI." w:history="1">
        <w:r w:rsidR="00337790" w:rsidRPr="0089346D">
          <w:rPr>
            <w:rStyle w:val="Hyperlink"/>
            <w:sz w:val="24"/>
            <w:szCs w:val="24"/>
            <w:lang w:val="hr-HR"/>
          </w:rPr>
          <w:t>http://data.europa.eu/eli/res/2025/1681/oj</w:t>
        </w:r>
      </w:hyperlink>
      <w:r w:rsidRPr="00055356">
        <w:rPr>
          <w:sz w:val="24"/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16DA1" w14:textId="77777777" w:rsidR="00055356" w:rsidRPr="00055356" w:rsidRDefault="0005535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34022" w14:textId="77777777" w:rsidR="00055356" w:rsidRPr="00055356" w:rsidRDefault="0005535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832AAB" w14:textId="77777777" w:rsidR="00055356" w:rsidRPr="00055356" w:rsidRDefault="00055356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97B9C" w14:textId="77777777" w:rsidR="00064002" w:rsidRPr="00055356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96B3D9" w14:textId="77777777" w:rsidR="00064002" w:rsidRPr="00055356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A167A" w14:textId="77777777" w:rsidR="00064002" w:rsidRPr="0005535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50319122">
    <w:abstractNumId w:val="9"/>
  </w:num>
  <w:num w:numId="2" w16cid:durableId="2039119346">
    <w:abstractNumId w:val="9"/>
  </w:num>
  <w:num w:numId="3" w16cid:durableId="1331299682">
    <w:abstractNumId w:val="7"/>
  </w:num>
  <w:num w:numId="4" w16cid:durableId="1246527084">
    <w:abstractNumId w:val="7"/>
  </w:num>
  <w:num w:numId="5" w16cid:durableId="797339371">
    <w:abstractNumId w:val="6"/>
  </w:num>
  <w:num w:numId="6" w16cid:durableId="592739823">
    <w:abstractNumId w:val="6"/>
  </w:num>
  <w:num w:numId="7" w16cid:durableId="1235971626">
    <w:abstractNumId w:val="5"/>
  </w:num>
  <w:num w:numId="8" w16cid:durableId="2106878758">
    <w:abstractNumId w:val="5"/>
  </w:num>
  <w:num w:numId="9" w16cid:durableId="1331835119">
    <w:abstractNumId w:val="4"/>
  </w:num>
  <w:num w:numId="10" w16cid:durableId="1845625501">
    <w:abstractNumId w:val="4"/>
  </w:num>
  <w:num w:numId="11" w16cid:durableId="924416437">
    <w:abstractNumId w:val="8"/>
  </w:num>
  <w:num w:numId="12" w16cid:durableId="35551824">
    <w:abstractNumId w:val="8"/>
  </w:num>
  <w:num w:numId="13" w16cid:durableId="256642871">
    <w:abstractNumId w:val="3"/>
  </w:num>
  <w:num w:numId="14" w16cid:durableId="539830462">
    <w:abstractNumId w:val="3"/>
  </w:num>
  <w:num w:numId="15" w16cid:durableId="74057923">
    <w:abstractNumId w:val="2"/>
  </w:num>
  <w:num w:numId="16" w16cid:durableId="2012029823">
    <w:abstractNumId w:val="2"/>
  </w:num>
  <w:num w:numId="17" w16cid:durableId="348726413">
    <w:abstractNumId w:val="1"/>
  </w:num>
  <w:num w:numId="18" w16cid:durableId="332804705">
    <w:abstractNumId w:val="1"/>
  </w:num>
  <w:num w:numId="19" w16cid:durableId="1568761693">
    <w:abstractNumId w:val="0"/>
  </w:num>
  <w:num w:numId="20" w16cid:durableId="1781296489">
    <w:abstractNumId w:val="0"/>
  </w:num>
  <w:num w:numId="21" w16cid:durableId="767237258">
    <w:abstractNumId w:val="9"/>
  </w:num>
  <w:num w:numId="22" w16cid:durableId="1001157623">
    <w:abstractNumId w:val="7"/>
  </w:num>
  <w:num w:numId="23" w16cid:durableId="1124544257">
    <w:abstractNumId w:val="6"/>
  </w:num>
  <w:num w:numId="24" w16cid:durableId="1150975083">
    <w:abstractNumId w:val="5"/>
  </w:num>
  <w:num w:numId="25" w16cid:durableId="2061053336">
    <w:abstractNumId w:val="4"/>
  </w:num>
  <w:num w:numId="26" w16cid:durableId="1976594505">
    <w:abstractNumId w:val="8"/>
  </w:num>
  <w:num w:numId="27" w16cid:durableId="899749130">
    <w:abstractNumId w:val="3"/>
  </w:num>
  <w:num w:numId="28" w16cid:durableId="224684234">
    <w:abstractNumId w:val="2"/>
  </w:num>
  <w:num w:numId="29" w16cid:durableId="1395503">
    <w:abstractNumId w:val="1"/>
  </w:num>
  <w:num w:numId="30" w16cid:durableId="748580771">
    <w:abstractNumId w:val="0"/>
  </w:num>
  <w:num w:numId="31" w16cid:durableId="955721588">
    <w:abstractNumId w:val="9"/>
  </w:num>
  <w:num w:numId="32" w16cid:durableId="170682412">
    <w:abstractNumId w:val="7"/>
  </w:num>
  <w:num w:numId="33" w16cid:durableId="1586114379">
    <w:abstractNumId w:val="6"/>
  </w:num>
  <w:num w:numId="34" w16cid:durableId="1090783792">
    <w:abstractNumId w:val="5"/>
  </w:num>
  <w:num w:numId="35" w16cid:durableId="2127773919">
    <w:abstractNumId w:val="4"/>
  </w:num>
  <w:num w:numId="36" w16cid:durableId="1289823121">
    <w:abstractNumId w:val="8"/>
  </w:num>
  <w:num w:numId="37" w16cid:durableId="2034456071">
    <w:abstractNumId w:val="3"/>
  </w:num>
  <w:num w:numId="38" w16cid:durableId="596452070">
    <w:abstractNumId w:val="2"/>
  </w:num>
  <w:num w:numId="39" w16cid:durableId="1685981092">
    <w:abstractNumId w:val="1"/>
  </w:num>
  <w:num w:numId="40" w16cid:durableId="1508862817">
    <w:abstractNumId w:val="0"/>
  </w:num>
  <w:num w:numId="41" w16cid:durableId="1982926420">
    <w:abstractNumId w:val="10"/>
  </w:num>
  <w:num w:numId="42" w16cid:durableId="105541616">
    <w:abstractNumId w:val="10"/>
  </w:num>
  <w:num w:numId="43" w16cid:durableId="823202752">
    <w:abstractNumId w:val="10"/>
  </w:num>
  <w:num w:numId="44" w16cid:durableId="12796789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69/2025"/>
    <w:docVar w:name="dvlangue" w:val="HR"/>
    <w:docVar w:name="dvnumam" w:val="0"/>
    <w:docVar w:name="dvpe" w:val="774.259"/>
    <w:docVar w:name="dvrapporteur" w:val="Izvjestitelj: "/>
    <w:docVar w:name="dvtitre" w:val="Odluka Europskog parlamenta od .... 2025. o razrješnici za izvršenje proračuna agencija Europske unije za financijsku godinu 2023.(2024/2030(DEC))"/>
  </w:docVars>
  <w:rsids>
    <w:rsidRoot w:val="008230D2"/>
    <w:rsid w:val="00002272"/>
    <w:rsid w:val="00055356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070B3"/>
    <w:rsid w:val="002767FF"/>
    <w:rsid w:val="002B18FE"/>
    <w:rsid w:val="002B5493"/>
    <w:rsid w:val="00337790"/>
    <w:rsid w:val="00343214"/>
    <w:rsid w:val="00361C00"/>
    <w:rsid w:val="00395FA1"/>
    <w:rsid w:val="003E15D4"/>
    <w:rsid w:val="00411CCE"/>
    <w:rsid w:val="0041666E"/>
    <w:rsid w:val="00421060"/>
    <w:rsid w:val="00471AA6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5F5014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1BCC"/>
    <w:rsid w:val="00817416"/>
    <w:rsid w:val="008230D2"/>
    <w:rsid w:val="00842779"/>
    <w:rsid w:val="00865F67"/>
    <w:rsid w:val="00881A7B"/>
    <w:rsid w:val="008840E5"/>
    <w:rsid w:val="00887B3E"/>
    <w:rsid w:val="0089346D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B64B7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C4678"/>
    <w:rsid w:val="00CF071A"/>
    <w:rsid w:val="00CF61B6"/>
    <w:rsid w:val="00D058B8"/>
    <w:rsid w:val="00D56C11"/>
    <w:rsid w:val="00D834A0"/>
    <w:rsid w:val="00D872DF"/>
    <w:rsid w:val="00D91E21"/>
    <w:rsid w:val="00DA7FCD"/>
    <w:rsid w:val="00E365E1"/>
    <w:rsid w:val="00E820A4"/>
    <w:rsid w:val="00E94E96"/>
    <w:rsid w:val="00EB006A"/>
    <w:rsid w:val="00EB4772"/>
    <w:rsid w:val="00ED169E"/>
    <w:rsid w:val="00ED4235"/>
    <w:rsid w:val="00F025DE"/>
    <w:rsid w:val="00F04346"/>
    <w:rsid w:val="00F075DC"/>
    <w:rsid w:val="00F149E9"/>
    <w:rsid w:val="00F2675B"/>
    <w:rsid w:val="00F5134D"/>
    <w:rsid w:val="00F74202"/>
    <w:rsid w:val="00F87713"/>
    <w:rsid w:val="00FB4360"/>
    <w:rsid w:val="00FD0C70"/>
    <w:rsid w:val="00FE0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E7D30F"/>
  <w15:chartTrackingRefBased/>
  <w15:docId w15:val="{79C032BD-DC94-4197-A167-059340886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471AA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471AA6"/>
    <w:pPr>
      <w:spacing w:before="480" w:after="240"/>
    </w:pPr>
  </w:style>
  <w:style w:type="paragraph" w:customStyle="1" w:styleId="NormalBold">
    <w:name w:val="NormalBold"/>
    <w:basedOn w:val="Normal"/>
    <w:rsid w:val="00471AA6"/>
    <w:rPr>
      <w:b/>
    </w:rPr>
  </w:style>
  <w:style w:type="paragraph" w:customStyle="1" w:styleId="NormalHanging12a">
    <w:name w:val="NormalHanging12a"/>
    <w:basedOn w:val="Normal"/>
    <w:link w:val="NormalHanging12aChar"/>
    <w:rsid w:val="00471AA6"/>
    <w:pPr>
      <w:spacing w:after="240"/>
      <w:ind w:left="567" w:hanging="567"/>
    </w:pPr>
  </w:style>
  <w:style w:type="paragraph" w:customStyle="1" w:styleId="EPFooter">
    <w:name w:val="EPFooter"/>
    <w:basedOn w:val="Normal"/>
    <w:rsid w:val="00471AA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rsid w:val="00471AA6"/>
    <w:rPr>
      <w:sz w:val="24"/>
      <w:lang w:val="hr-HR"/>
    </w:rPr>
  </w:style>
  <w:style w:type="paragraph" w:customStyle="1" w:styleId="PageHeadingDec">
    <w:name w:val="PageHeadingDec"/>
    <w:basedOn w:val="Normal"/>
    <w:link w:val="PageHeadingDecChar"/>
    <w:qFormat/>
    <w:rsid w:val="00471AA6"/>
    <w:pPr>
      <w:keepNext/>
      <w:spacing w:after="480"/>
      <w:jc w:val="center"/>
    </w:pPr>
    <w:rPr>
      <w:rFonts w:cs="Arial"/>
      <w:b/>
    </w:rPr>
  </w:style>
  <w:style w:type="character" w:customStyle="1" w:styleId="PageHeadingDecChar">
    <w:name w:val="PageHeadingDec Char"/>
    <w:basedOn w:val="DefaultParagraphFont"/>
    <w:link w:val="PageHeadingDec"/>
    <w:rsid w:val="00471AA6"/>
    <w:rPr>
      <w:rFonts w:cs="Arial"/>
      <w:b/>
      <w:sz w:val="24"/>
      <w:lang w:val="hr-HR"/>
    </w:rPr>
  </w:style>
  <w:style w:type="paragraph" w:customStyle="1" w:styleId="PageHeadingNotTOC">
    <w:name w:val="PageHeadingNotTOC"/>
    <w:basedOn w:val="Normal"/>
    <w:rsid w:val="00471AA6"/>
    <w:pPr>
      <w:keepNext/>
      <w:spacing w:after="480"/>
      <w:jc w:val="center"/>
    </w:pPr>
    <w:rPr>
      <w:rFonts w:ascii="Arial" w:hAnsi="Arial" w:cs="Arial"/>
      <w:b/>
    </w:rPr>
  </w:style>
  <w:style w:type="paragraph" w:styleId="Footer">
    <w:name w:val="footer"/>
    <w:basedOn w:val="Normal"/>
    <w:link w:val="FooterChar"/>
    <w:uiPriority w:val="99"/>
    <w:rsid w:val="00471AA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1AA6"/>
    <w:rPr>
      <w:sz w:val="24"/>
      <w:lang w:val="hr-HR"/>
    </w:rPr>
  </w:style>
  <w:style w:type="character" w:styleId="Hyperlink">
    <w:name w:val="Hyperlink"/>
    <w:basedOn w:val="DefaultParagraphFont"/>
    <w:uiPriority w:val="99"/>
    <w:rsid w:val="00471AA6"/>
    <w:rPr>
      <w:color w:val="0563C1" w:themeColor="hyperlink"/>
      <w:u w:val="single"/>
    </w:rPr>
  </w:style>
  <w:style w:type="paragraph" w:styleId="Header">
    <w:name w:val="header"/>
    <w:basedOn w:val="Normal"/>
    <w:link w:val="HeaderChar"/>
    <w:rsid w:val="000553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55356"/>
    <w:rPr>
      <w:sz w:val="24"/>
      <w:lang w:val="hr-HR"/>
    </w:rPr>
  </w:style>
  <w:style w:type="paragraph" w:styleId="Revision">
    <w:name w:val="Revision"/>
    <w:hidden/>
    <w:uiPriority w:val="99"/>
    <w:semiHidden/>
    <w:rsid w:val="00FE0F1C"/>
    <w:rPr>
      <w:sz w:val="24"/>
      <w:lang w:val="hr-HR"/>
    </w:rPr>
  </w:style>
  <w:style w:type="character" w:styleId="FollowedHyperlink">
    <w:name w:val="FollowedHyperlink"/>
    <w:basedOn w:val="DefaultParagraphFont"/>
    <w:rsid w:val="00CC467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_del/2019/715/oj" TargetMode="External"/><Relationship Id="rId13" Type="http://schemas.openxmlformats.org/officeDocument/2006/relationships/hyperlink" Target="http://data.europa.eu/eli/reg/2021/2303/oj" TargetMode="External"/><Relationship Id="rId3" Type="http://schemas.openxmlformats.org/officeDocument/2006/relationships/hyperlink" Target="http://data.europa.eu/eli/dec/2025/1663/oj" TargetMode="External"/><Relationship Id="rId7" Type="http://schemas.openxmlformats.org/officeDocument/2006/relationships/hyperlink" Target="http://data.europa.eu/eli/reg/2021/2303/oj" TargetMode="External"/><Relationship Id="rId12" Type="http://schemas.openxmlformats.org/officeDocument/2006/relationships/hyperlink" Target="http://data.europa.eu/eli/reg/2010/439/oj" TargetMode="External"/><Relationship Id="rId2" Type="http://schemas.openxmlformats.org/officeDocument/2006/relationships/hyperlink" Target="http://data.europa.eu/eli/C/2024/6041/oj" TargetMode="External"/><Relationship Id="rId16" Type="http://schemas.openxmlformats.org/officeDocument/2006/relationships/hyperlink" Target="http://data.europa.eu/eli/res/2025/1681/oj" TargetMode="External"/><Relationship Id="rId1" Type="http://schemas.openxmlformats.org/officeDocument/2006/relationships/hyperlink" Target="http://data.europa.eu/eli/C/2024/6332/oj" TargetMode="External"/><Relationship Id="rId6" Type="http://schemas.openxmlformats.org/officeDocument/2006/relationships/hyperlink" Target="http://data.europa.eu/eli/reg/2010/439/oj" TargetMode="External"/><Relationship Id="rId11" Type="http://schemas.openxmlformats.org/officeDocument/2006/relationships/hyperlink" Target="http://data.europa.eu/eli/reg/2024/2509/oj" TargetMode="External"/><Relationship Id="rId5" Type="http://schemas.openxmlformats.org/officeDocument/2006/relationships/hyperlink" Target="http://data.europa.eu/eli/reg/2024/2509/oj" TargetMode="External"/><Relationship Id="rId15" Type="http://schemas.openxmlformats.org/officeDocument/2006/relationships/hyperlink" Target="http://data.europa.eu/eli/reg/2021/2303/oj" TargetMode="External"/><Relationship Id="rId10" Type="http://schemas.openxmlformats.org/officeDocument/2006/relationships/hyperlink" Target="http://data.europa.eu/eli/reg/2018/1046/oj" TargetMode="External"/><Relationship Id="rId4" Type="http://schemas.openxmlformats.org/officeDocument/2006/relationships/hyperlink" Target="http://data.europa.eu/eli/reg/2018/1046/oj" TargetMode="External"/><Relationship Id="rId9" Type="http://schemas.openxmlformats.org/officeDocument/2006/relationships/hyperlink" Target="http://data.europa.eu/eli/dec/2025/1663/oj" TargetMode="External"/><Relationship Id="rId14" Type="http://schemas.openxmlformats.org/officeDocument/2006/relationships/hyperlink" Target="http://data.europa.eu/eli/reg_del/2019/71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2838</Words>
  <Characters>17185</Characters>
  <Application>Microsoft Office Word</Application>
  <DocSecurity>0</DocSecurity>
  <Lines>143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2025-10-23T12:37:00Z</dcterms:created>
  <dcterms:modified xsi:type="dcterms:W3CDTF">2025-10-23T12:37:00Z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P10_TA(2025)0246_</vt:lpwstr>
  </property>
  <property fmtid="{D5CDD505-2E9C-101B-9397-08002B2CF9AE}" pid="4" name="&lt;Type&gt;">
    <vt:lpwstr>RR</vt:lpwstr>
  </property>
</Properties>
</file>