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3BB6" w14:paraId="4827230C" w14:textId="77777777" w:rsidTr="0010095E">
        <w:trPr>
          <w:trHeight w:hRule="exact" w:val="1418"/>
        </w:trPr>
        <w:tc>
          <w:tcPr>
            <w:tcW w:w="6804" w:type="dxa"/>
            <w:shd w:val="clear" w:color="auto" w:fill="auto"/>
            <w:vAlign w:val="center"/>
          </w:tcPr>
          <w:p w14:paraId="4AEE2734" w14:textId="77777777" w:rsidR="00751A4A" w:rsidRPr="00F13BB6" w:rsidRDefault="0070009E" w:rsidP="0010095E">
            <w:pPr>
              <w:pStyle w:val="EPName"/>
            </w:pPr>
            <w:r w:rsidRPr="00F13BB6">
              <w:t>Európai Parlament</w:t>
            </w:r>
          </w:p>
          <w:p w14:paraId="2D62D9C6" w14:textId="77777777" w:rsidR="00751A4A" w:rsidRPr="00F13BB6" w:rsidRDefault="005F1B17" w:rsidP="005F1B17">
            <w:pPr>
              <w:pStyle w:val="EPTerm"/>
              <w:rPr>
                <w:rStyle w:val="HideTWBExt"/>
                <w:noProof w:val="0"/>
                <w:vanish w:val="0"/>
                <w:color w:val="auto"/>
              </w:rPr>
            </w:pPr>
            <w:r w:rsidRPr="00F13BB6">
              <w:t>2024</w:t>
            </w:r>
            <w:r w:rsidR="00817416" w:rsidRPr="00F13BB6">
              <w:t>-202</w:t>
            </w:r>
            <w:r w:rsidRPr="00F13BB6">
              <w:t>9</w:t>
            </w:r>
          </w:p>
        </w:tc>
        <w:tc>
          <w:tcPr>
            <w:tcW w:w="2268" w:type="dxa"/>
            <w:shd w:val="clear" w:color="auto" w:fill="auto"/>
          </w:tcPr>
          <w:p w14:paraId="44493947" w14:textId="77777777" w:rsidR="00751A4A" w:rsidRPr="00F13BB6" w:rsidRDefault="00187494" w:rsidP="0010095E">
            <w:pPr>
              <w:pStyle w:val="EPLogo"/>
            </w:pPr>
            <w:r w:rsidRPr="00F13BB6">
              <w:rPr>
                <w:noProof/>
                <w:lang w:eastAsia="ja-JP"/>
              </w:rPr>
              <w:drawing>
                <wp:inline distT="0" distB="0" distL="0" distR="0" wp14:anchorId="46514CFF" wp14:editId="3803BF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785D6D" w14:textId="77777777" w:rsidR="00D058B8" w:rsidRPr="00F13BB6" w:rsidRDefault="00D058B8" w:rsidP="004C5D52">
      <w:pPr>
        <w:pStyle w:val="LineTop"/>
      </w:pPr>
    </w:p>
    <w:p w14:paraId="44A4DED0" w14:textId="77777777" w:rsidR="00680577" w:rsidRPr="00F13BB6" w:rsidRDefault="0070009E" w:rsidP="00680577">
      <w:pPr>
        <w:pStyle w:val="EPBodyTA1"/>
      </w:pPr>
      <w:r w:rsidRPr="00F13BB6">
        <w:t>ELFOGADOTT SZÖVEGEK</w:t>
      </w:r>
    </w:p>
    <w:p w14:paraId="04049E98" w14:textId="77777777" w:rsidR="00D058B8" w:rsidRPr="00F13BB6" w:rsidRDefault="00D058B8" w:rsidP="00D058B8">
      <w:pPr>
        <w:pStyle w:val="LineBottom"/>
      </w:pPr>
    </w:p>
    <w:p w14:paraId="4044D634" w14:textId="5FD26237" w:rsidR="0070009E" w:rsidRPr="00F13BB6" w:rsidRDefault="0070009E" w:rsidP="0070009E">
      <w:pPr>
        <w:pStyle w:val="ATHeading1"/>
      </w:pPr>
      <w:bookmarkStart w:id="0" w:name="TANumber"/>
      <w:r w:rsidRPr="00F13BB6">
        <w:t>P10_TA(2025)0</w:t>
      </w:r>
      <w:r w:rsidR="00F13BB6">
        <w:t>246</w:t>
      </w:r>
      <w:bookmarkEnd w:id="0"/>
    </w:p>
    <w:p w14:paraId="2BDA7071" w14:textId="5FEE6217" w:rsidR="0070009E" w:rsidRPr="00F13BB6" w:rsidRDefault="00D42448" w:rsidP="0070009E">
      <w:pPr>
        <w:pStyle w:val="ATHeading2"/>
      </w:pPr>
      <w:bookmarkStart w:id="1" w:name="title"/>
      <w:r w:rsidRPr="00F13BB6">
        <w:t>2023. évi mentesítés: Ügynökségek</w:t>
      </w:r>
      <w:bookmarkEnd w:id="1"/>
    </w:p>
    <w:p w14:paraId="761879F0" w14:textId="77777777" w:rsidR="0070009E" w:rsidRPr="00F13BB6" w:rsidRDefault="0070009E" w:rsidP="0070009E">
      <w:pPr>
        <w:rPr>
          <w:i/>
          <w:vanish/>
        </w:rPr>
      </w:pPr>
      <w:r w:rsidRPr="00F13BB6">
        <w:rPr>
          <w:i/>
        </w:rPr>
        <w:fldChar w:fldCharType="begin"/>
      </w:r>
      <w:r w:rsidRPr="00F13BB6">
        <w:rPr>
          <w:i/>
        </w:rPr>
        <w:instrText xml:space="preserve"> TC"(</w:instrText>
      </w:r>
      <w:bookmarkStart w:id="2" w:name="DocNumber"/>
      <w:r w:rsidRPr="00F13BB6">
        <w:rPr>
          <w:i/>
        </w:rPr>
        <w:instrText>A10-0169/2025</w:instrText>
      </w:r>
      <w:bookmarkEnd w:id="2"/>
      <w:r w:rsidRPr="00F13BB6">
        <w:rPr>
          <w:i/>
        </w:rPr>
        <w:instrText xml:space="preserve"> - Előadó: Erik Marquardt)"\l3 \n&gt; \* MERGEFORMAT </w:instrText>
      </w:r>
      <w:r w:rsidRPr="00F13BB6">
        <w:rPr>
          <w:i/>
        </w:rPr>
        <w:fldChar w:fldCharType="end"/>
      </w:r>
    </w:p>
    <w:p w14:paraId="240AD2B1" w14:textId="77777777" w:rsidR="0070009E" w:rsidRPr="00F13BB6" w:rsidRDefault="0070009E" w:rsidP="0070009E">
      <w:pPr>
        <w:rPr>
          <w:vanish/>
        </w:rPr>
      </w:pPr>
      <w:bookmarkStart w:id="3" w:name="Commission"/>
      <w:r w:rsidRPr="00F13BB6">
        <w:rPr>
          <w:vanish/>
        </w:rPr>
        <w:t>Költségvetési Ellenőrző Bizottság</w:t>
      </w:r>
      <w:bookmarkEnd w:id="3"/>
    </w:p>
    <w:p w14:paraId="4E41965C" w14:textId="77777777" w:rsidR="0070009E" w:rsidRPr="00F13BB6" w:rsidRDefault="0070009E" w:rsidP="0070009E">
      <w:pPr>
        <w:rPr>
          <w:vanish/>
        </w:rPr>
      </w:pPr>
      <w:bookmarkStart w:id="4" w:name="PE"/>
      <w:r w:rsidRPr="00F13BB6">
        <w:rPr>
          <w:vanish/>
        </w:rPr>
        <w:t>PE774.259</w:t>
      </w:r>
      <w:bookmarkEnd w:id="4"/>
    </w:p>
    <w:p w14:paraId="45321AE4" w14:textId="23BF481E" w:rsidR="0070009E" w:rsidRPr="00F13BB6" w:rsidRDefault="005E5386" w:rsidP="0070009E">
      <w:pPr>
        <w:pStyle w:val="ATHeading3"/>
      </w:pPr>
      <w:bookmarkStart w:id="5" w:name="Sujet"/>
      <w:r w:rsidRPr="00F13BB6">
        <w:t xml:space="preserve">1. </w:t>
      </w:r>
      <w:r w:rsidR="0070009E" w:rsidRPr="00F13BB6">
        <w:t xml:space="preserve">Az Európai Parlament 2025. </w:t>
      </w:r>
      <w:r w:rsidRPr="00F13BB6">
        <w:t>október</w:t>
      </w:r>
      <w:r w:rsidR="0070009E" w:rsidRPr="00F13BB6">
        <w:t xml:space="preserve"> </w:t>
      </w:r>
      <w:r w:rsidR="00892840" w:rsidRPr="00F13BB6">
        <w:t>22-</w:t>
      </w:r>
      <w:r w:rsidR="0070009E" w:rsidRPr="00F13BB6">
        <w:t xml:space="preserve">i határozata az </w:t>
      </w:r>
      <w:r w:rsidR="001D29C8" w:rsidRPr="001D29C8">
        <w:t xml:space="preserve">Európai Unió Menekültügyi Ügynöksége </w:t>
      </w:r>
      <w:r w:rsidR="0070009E" w:rsidRPr="00F13BB6">
        <w:t>2023. évi pénzügyi évre szóló költségvetésének végrehajtására vonatkozó mentesítésről</w:t>
      </w:r>
      <w:bookmarkEnd w:id="5"/>
      <w:r w:rsidR="0070009E" w:rsidRPr="00F13BB6">
        <w:t xml:space="preserve"> </w:t>
      </w:r>
      <w:bookmarkStart w:id="6" w:name="References"/>
      <w:r w:rsidR="0070009E" w:rsidRPr="00F13BB6">
        <w:t>(2024/2030(DEC))</w:t>
      </w:r>
      <w:bookmarkEnd w:id="6"/>
    </w:p>
    <w:p w14:paraId="1640F89F" w14:textId="77777777" w:rsidR="0050675A" w:rsidRPr="00F13BB6" w:rsidRDefault="0050675A" w:rsidP="0050675A">
      <w:pPr>
        <w:pStyle w:val="EPComma"/>
      </w:pPr>
      <w:bookmarkStart w:id="7" w:name="TextBodyBegin"/>
      <w:bookmarkEnd w:id="7"/>
      <w:r w:rsidRPr="00F13BB6">
        <w:rPr>
          <w:i/>
        </w:rPr>
        <w:t>Az Európai Parlament</w:t>
      </w:r>
      <w:r w:rsidRPr="00F13BB6">
        <w:t>,</w:t>
      </w:r>
    </w:p>
    <w:p w14:paraId="558EB3C4" w14:textId="77777777" w:rsidR="0050675A" w:rsidRPr="00F13BB6" w:rsidRDefault="0050675A" w:rsidP="005E5386">
      <w:pPr>
        <w:pStyle w:val="NormalHanging12a"/>
        <w:widowControl/>
      </w:pPr>
      <w:r w:rsidRPr="00F13BB6">
        <w:t>–</w:t>
      </w:r>
      <w:r w:rsidRPr="00F13BB6">
        <w:tab/>
        <w:t>tekintettel az Európai Unió Menekültügyi Ügynöksége 2023. évi pénzügyi évre szóló végleges éves beszámolójára,</w:t>
      </w:r>
    </w:p>
    <w:p w14:paraId="5E935565" w14:textId="77777777" w:rsidR="0050675A" w:rsidRPr="00F13BB6" w:rsidRDefault="0050675A" w:rsidP="005E5386">
      <w:pPr>
        <w:pStyle w:val="NormalHanging12a"/>
        <w:widowControl/>
      </w:pPr>
      <w:r w:rsidRPr="00F13BB6">
        <w:t>–</w:t>
      </w:r>
      <w:r w:rsidRPr="00F13BB6">
        <w:tab/>
        <w:t>tekintettel a Számvevőszéknek az uniós ügynökségekről szóló, 2023. évi pénzügyi évre vonatkozó éves jelentésére, az ügynökségek válaszaival együtt</w:t>
      </w:r>
      <w:r w:rsidRPr="00F13BB6">
        <w:rPr>
          <w:rStyle w:val="FootnoteReference"/>
        </w:rPr>
        <w:footnoteReference w:id="1"/>
      </w:r>
      <w:r w:rsidRPr="00F13BB6">
        <w:t>,</w:t>
      </w:r>
    </w:p>
    <w:p w14:paraId="553FF2CF" w14:textId="77777777" w:rsidR="0050675A" w:rsidRPr="00F13BB6" w:rsidRDefault="0050675A" w:rsidP="005E5386">
      <w:pPr>
        <w:pStyle w:val="NormalHanging12a"/>
        <w:widowControl/>
      </w:pPr>
      <w:r w:rsidRPr="00F13BB6">
        <w:t>–</w:t>
      </w:r>
      <w:r w:rsidRPr="00F13BB6">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13BB6">
        <w:rPr>
          <w:rStyle w:val="FootnoteReference"/>
        </w:rPr>
        <w:footnoteReference w:id="2"/>
      </w:r>
      <w:r w:rsidRPr="00F13BB6">
        <w:t>,</w:t>
      </w:r>
    </w:p>
    <w:p w14:paraId="1152D75A" w14:textId="77777777" w:rsidR="0050675A" w:rsidRPr="00F13BB6" w:rsidRDefault="0050675A" w:rsidP="005E5386">
      <w:pPr>
        <w:pStyle w:val="NormalHanging12a"/>
        <w:widowControl/>
      </w:pPr>
      <w:r w:rsidRPr="00F13BB6">
        <w:t>–</w:t>
      </w:r>
      <w:r w:rsidRPr="00F13BB6">
        <w:tab/>
        <w:t>tekintettel a 2023. évi pénzügyi évre vonatkozó költségvetés végrehajtása tekintetében az ügynökség számára adandó mentesítésről szóló, 2025. február 17-i tanácsi ajánlásra (05755/2025 – C10</w:t>
      </w:r>
      <w:r w:rsidRPr="00F13BB6">
        <w:noBreakHyphen/>
        <w:t>0024/2025),</w:t>
      </w:r>
    </w:p>
    <w:p w14:paraId="321C5D9B" w14:textId="34548F5E" w:rsidR="0050675A" w:rsidRPr="00F13BB6" w:rsidRDefault="0050675A" w:rsidP="005E5386">
      <w:pPr>
        <w:pStyle w:val="NormalHanging12a"/>
        <w:widowControl/>
      </w:pPr>
      <w:r w:rsidRPr="00F13BB6">
        <w:t>–</w:t>
      </w:r>
      <w:r w:rsidRPr="00F13BB6">
        <w:tab/>
        <w:t>tekintettel a 2023. évi pénzügyi évre vonatkozó mentesítésről szóló határozatot elhalasztó</w:t>
      </w:r>
      <w:r w:rsidR="00D42448" w:rsidRPr="00F13BB6">
        <w:t>,</w:t>
      </w:r>
      <w:r w:rsidRPr="00F13BB6">
        <w:t xml:space="preserve"> </w:t>
      </w:r>
      <w:r w:rsidR="00D42448" w:rsidRPr="00F13BB6">
        <w:t xml:space="preserve">2025. május 7-i </w:t>
      </w:r>
      <w:r w:rsidRPr="00F13BB6">
        <w:t>határozatára</w:t>
      </w:r>
      <w:r w:rsidRPr="00F13BB6">
        <w:rPr>
          <w:rStyle w:val="FootnoteReference"/>
        </w:rPr>
        <w:footnoteReference w:id="3"/>
      </w:r>
      <w:r w:rsidRPr="00F13BB6">
        <w:t>, valamint az Európai Unió Menekültügyi Ügynöksége ügyvezető igazgatójának válaszaira,</w:t>
      </w:r>
    </w:p>
    <w:p w14:paraId="053FC8D9" w14:textId="77777777" w:rsidR="0050675A" w:rsidRPr="00F13BB6" w:rsidRDefault="0050675A" w:rsidP="005E5386">
      <w:pPr>
        <w:pStyle w:val="NormalHanging12a"/>
        <w:widowControl/>
      </w:pPr>
      <w:r w:rsidRPr="00F13BB6">
        <w:t>–</w:t>
      </w:r>
      <w:r w:rsidRPr="00F13BB6">
        <w:tab/>
        <w:t>tekintettel az Európai Unió működéséről szóló szerződés 319. cikkére,</w:t>
      </w:r>
    </w:p>
    <w:p w14:paraId="7B08CF85" w14:textId="77777777" w:rsidR="0050675A" w:rsidRPr="00F13BB6" w:rsidRDefault="0050675A" w:rsidP="005E5386">
      <w:pPr>
        <w:pStyle w:val="NormalHanging12a"/>
        <w:widowControl/>
      </w:pPr>
      <w:r w:rsidRPr="00F13BB6">
        <w:t>–</w:t>
      </w:r>
      <w:r w:rsidRPr="00F13BB6">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F13BB6">
        <w:lastRenderedPageBreak/>
        <w:t>hatályon kívül helyezéséről szóló, 2018. július 18-i (EU, Euratom) 2018/1046 európai parlamenti és tanácsi rendeletre</w:t>
      </w:r>
      <w:r w:rsidRPr="00F13BB6">
        <w:rPr>
          <w:rStyle w:val="FootnoteReference"/>
        </w:rPr>
        <w:footnoteReference w:id="4"/>
      </w:r>
      <w:r w:rsidRPr="00F13BB6">
        <w:t xml:space="preserve"> és különösen annak 70. cikkére,</w:t>
      </w:r>
    </w:p>
    <w:p w14:paraId="1C0E2558" w14:textId="77777777" w:rsidR="0050675A" w:rsidRPr="00F13BB6" w:rsidRDefault="0050675A" w:rsidP="005E5386">
      <w:pPr>
        <w:pStyle w:val="NormalHanging12a"/>
        <w:widowControl/>
      </w:pPr>
      <w:r w:rsidRPr="00F13BB6">
        <w:t>–</w:t>
      </w:r>
      <w:r w:rsidRPr="00F13BB6">
        <w:tab/>
        <w:t>tekintettel az Unió általános költségvetésére alkalmazandó pénzügyi szabályokról szóló, 2024. szeptember 23-i (EU, Euratom) 2024/2509 európai parlamenti és tanácsi rendeletre</w:t>
      </w:r>
      <w:r w:rsidRPr="00F13BB6">
        <w:rPr>
          <w:rStyle w:val="FootnoteReference"/>
        </w:rPr>
        <w:footnoteReference w:id="5"/>
      </w:r>
      <w:r w:rsidRPr="00F13BB6">
        <w:t xml:space="preserve"> és különösen annak 70. cikkére,</w:t>
      </w:r>
    </w:p>
    <w:p w14:paraId="65BB568A" w14:textId="77777777" w:rsidR="0050675A" w:rsidRPr="00F13BB6" w:rsidRDefault="0050675A" w:rsidP="005E5386">
      <w:pPr>
        <w:pStyle w:val="NormalHanging12a"/>
        <w:widowControl/>
      </w:pPr>
      <w:r w:rsidRPr="00F13BB6">
        <w:t>–</w:t>
      </w:r>
      <w:r w:rsidRPr="00F13BB6">
        <w:tab/>
        <w:t>tekintettel az Európai Menekültügyi Támogatási Hivatal létrehozásáról szóló, 2010. május 19-i 439/2010/EU európai parlamenti és tanácsi rendeletre</w:t>
      </w:r>
      <w:r w:rsidRPr="00F13BB6">
        <w:rPr>
          <w:rStyle w:val="FootnoteReference"/>
        </w:rPr>
        <w:footnoteReference w:id="6"/>
      </w:r>
      <w:r w:rsidRPr="00F13BB6">
        <w:t xml:space="preserve"> és különösen annak 36. cikkére,</w:t>
      </w:r>
    </w:p>
    <w:p w14:paraId="5EF3E777" w14:textId="77777777" w:rsidR="0050675A" w:rsidRPr="00F13BB6" w:rsidRDefault="0050675A" w:rsidP="005E5386">
      <w:pPr>
        <w:pStyle w:val="NormalHanging12a"/>
        <w:widowControl/>
      </w:pPr>
      <w:r w:rsidRPr="00F13BB6">
        <w:t>–</w:t>
      </w:r>
      <w:r w:rsidRPr="00F13BB6">
        <w:tab/>
        <w:t>tekintettel az Európai Unió Menekültügyi Ügynökségéről és a 439/2010/EU rendelet hatályon kívül helyezéséről szóló, 2021. december 15-i (EU) 2021/2303 európai parlamenti és tanácsi rendeletre</w:t>
      </w:r>
      <w:r w:rsidRPr="00F13BB6">
        <w:rPr>
          <w:rStyle w:val="FootnoteReference"/>
        </w:rPr>
        <w:footnoteReference w:id="7"/>
      </w:r>
      <w:r w:rsidRPr="00F13BB6">
        <w:t xml:space="preserve"> és különösen annak 55. cikkére,</w:t>
      </w:r>
    </w:p>
    <w:p w14:paraId="4E039952" w14:textId="77777777" w:rsidR="0050675A" w:rsidRPr="00F13BB6" w:rsidRDefault="0050675A" w:rsidP="005E5386">
      <w:pPr>
        <w:pStyle w:val="NormalHanging12a"/>
        <w:widowControl/>
      </w:pPr>
      <w:r w:rsidRPr="00F13BB6">
        <w:t>–</w:t>
      </w:r>
      <w:r w:rsidRPr="00F13BB6">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13BB6">
        <w:rPr>
          <w:rStyle w:val="FootnoteReference"/>
        </w:rPr>
        <w:footnoteReference w:id="8"/>
      </w:r>
      <w:r w:rsidRPr="00F13BB6">
        <w:t xml:space="preserve"> és különösen annak 105. cikkére,</w:t>
      </w:r>
    </w:p>
    <w:p w14:paraId="7B1DB780" w14:textId="77777777" w:rsidR="0050675A" w:rsidRPr="00F13BB6" w:rsidRDefault="0050675A" w:rsidP="005E5386">
      <w:pPr>
        <w:pStyle w:val="NormalHanging12a"/>
        <w:widowControl/>
      </w:pPr>
      <w:r w:rsidRPr="00F13BB6">
        <w:t>–</w:t>
      </w:r>
      <w:r w:rsidRPr="00F13BB6">
        <w:tab/>
        <w:t>tekintettel eljárási szabályzata 102. cikkére és V. mellékletére,</w:t>
      </w:r>
    </w:p>
    <w:p w14:paraId="3E15AC1A" w14:textId="77777777" w:rsidR="0050675A" w:rsidRPr="00F13BB6" w:rsidRDefault="0050675A" w:rsidP="005E5386">
      <w:pPr>
        <w:pStyle w:val="NormalHanging12a"/>
        <w:widowControl/>
      </w:pPr>
      <w:r w:rsidRPr="00F13BB6">
        <w:t>–</w:t>
      </w:r>
      <w:r w:rsidRPr="00F13BB6">
        <w:tab/>
        <w:t>tekintettel a Költségvetési Ellenőrző Bizottság második jelentésére (A10-0169/2025),</w:t>
      </w:r>
    </w:p>
    <w:p w14:paraId="60782BFF" w14:textId="77777777" w:rsidR="0050675A" w:rsidRPr="00F13BB6" w:rsidRDefault="0050675A" w:rsidP="005E5386">
      <w:pPr>
        <w:pStyle w:val="NormalHanging12a"/>
        <w:widowControl/>
      </w:pPr>
      <w:r w:rsidRPr="00F13BB6">
        <w:t>1.</w:t>
      </w:r>
      <w:r w:rsidRPr="00F13BB6">
        <w:tab/>
        <w:t>mentesítést ad az Európai Unió Menekültügyi Ügynöksége ügyvezető igazgatója számára az ügynökség 2023. évi pénzügyi évre szóló költségvetésének végrehajtására vonatkozóan;</w:t>
      </w:r>
    </w:p>
    <w:p w14:paraId="7D3CCB92" w14:textId="77777777" w:rsidR="0050675A" w:rsidRPr="00F13BB6" w:rsidRDefault="0050675A" w:rsidP="005E5386">
      <w:pPr>
        <w:pStyle w:val="NormalHanging12a"/>
        <w:widowControl/>
      </w:pPr>
      <w:r w:rsidRPr="00F13BB6">
        <w:t>2.</w:t>
      </w:r>
      <w:r w:rsidRPr="00F13BB6">
        <w:tab/>
        <w:t>megjegyzéseit a mellékelt állásfoglalásban foglalja össze;</w:t>
      </w:r>
    </w:p>
    <w:p w14:paraId="205A9C7F" w14:textId="77777777" w:rsidR="0050675A" w:rsidRPr="00F13BB6" w:rsidRDefault="0050675A" w:rsidP="005E5386">
      <w:pPr>
        <w:pStyle w:val="NormalHanging12a"/>
        <w:widowControl/>
      </w:pPr>
      <w:r w:rsidRPr="00F13BB6">
        <w:t>3.</w:t>
      </w:r>
      <w:r w:rsidRPr="00F13BB6">
        <w:tab/>
        <w:t xml:space="preserve">utasítja elnökét, hogy továbbítsa ezt a határozatot, valamint az annak szerves részét képező állásfoglalást az Európai Unió Menekültügyi Ügynöksége ügyvezető igazgatójának, a Tanácsnak, a Bizottságnak és a Számvevőszéknek, és gondoskodjon az </w:t>
      </w:r>
      <w:r w:rsidRPr="00F13BB6">
        <w:rPr>
          <w:i/>
        </w:rPr>
        <w:t>Európai Unió Hivatalos Lapjában</w:t>
      </w:r>
      <w:r w:rsidRPr="00F13BB6">
        <w:t xml:space="preserve"> (L sorozat) való közzétételükről.</w:t>
      </w:r>
    </w:p>
    <w:p w14:paraId="4F3282BC" w14:textId="77777777" w:rsidR="0050675A" w:rsidRPr="00F13BB6" w:rsidRDefault="0050675A" w:rsidP="0050675A"/>
    <w:p w14:paraId="5FCE54E4" w14:textId="77777777" w:rsidR="0050675A" w:rsidRPr="00F13BB6" w:rsidRDefault="0050675A" w:rsidP="0050675A">
      <w:pPr>
        <w:pStyle w:val="PageHeadingDec"/>
        <w:sectPr w:rsidR="0050675A" w:rsidRPr="00F13BB6" w:rsidSect="008163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BB9C73" w14:textId="74758179" w:rsidR="0050675A" w:rsidRPr="00F13BB6" w:rsidRDefault="00D42448" w:rsidP="00F13BB6">
      <w:pPr>
        <w:pStyle w:val="ATHeading3"/>
      </w:pPr>
      <w:r w:rsidRPr="00F13BB6">
        <w:lastRenderedPageBreak/>
        <w:t>2</w:t>
      </w:r>
      <w:r w:rsidR="005E5386" w:rsidRPr="00F13BB6">
        <w:t xml:space="preserve">. Az Európai Parlament 2025. október </w:t>
      </w:r>
      <w:r w:rsidR="00892840" w:rsidRPr="00F13BB6">
        <w:t>22-</w:t>
      </w:r>
      <w:r w:rsidR="005E5386" w:rsidRPr="00F13BB6">
        <w:t xml:space="preserve">i határozata </w:t>
      </w:r>
      <w:r w:rsidR="0050675A" w:rsidRPr="00F13BB6">
        <w:t>az Európai Unió Menekültügyi Ügynöksége 2023. évi pénzügyi évre vonatkozó elszámolásának lezárásáról</w:t>
      </w:r>
      <w:r w:rsidRPr="00F13BB6">
        <w:t xml:space="preserve"> </w:t>
      </w:r>
      <w:r w:rsidR="0050675A" w:rsidRPr="00F13BB6">
        <w:t>(2024/2030(DEC))</w:t>
      </w:r>
    </w:p>
    <w:p w14:paraId="5D6DC97B" w14:textId="77777777" w:rsidR="0050675A" w:rsidRPr="00F13BB6" w:rsidRDefault="0050675A" w:rsidP="0050675A">
      <w:pPr>
        <w:pStyle w:val="EPComma"/>
      </w:pPr>
      <w:r w:rsidRPr="00F13BB6">
        <w:rPr>
          <w:i/>
        </w:rPr>
        <w:t>Az Európai Parlament</w:t>
      </w:r>
      <w:r w:rsidRPr="00F13BB6">
        <w:t>,</w:t>
      </w:r>
    </w:p>
    <w:p w14:paraId="57D76E7D" w14:textId="77777777" w:rsidR="0050675A" w:rsidRPr="00F13BB6" w:rsidRDefault="0050675A" w:rsidP="0050675A">
      <w:pPr>
        <w:pStyle w:val="NormalHanging12a"/>
      </w:pPr>
      <w:r w:rsidRPr="00F13BB6">
        <w:t>–</w:t>
      </w:r>
      <w:r w:rsidRPr="00F13BB6">
        <w:tab/>
        <w:t>tekintettel az Európai Unió Menekültügyi Ügynöksége 2023. évi pénzügyi évre szóló végleges éves beszámolójára,</w:t>
      </w:r>
    </w:p>
    <w:p w14:paraId="7EB6A672" w14:textId="77777777" w:rsidR="0050675A" w:rsidRPr="00F13BB6" w:rsidRDefault="0050675A" w:rsidP="0050675A">
      <w:pPr>
        <w:pStyle w:val="NormalHanging12a"/>
      </w:pPr>
      <w:r w:rsidRPr="00F13BB6">
        <w:t>–</w:t>
      </w:r>
      <w:r w:rsidRPr="00F13BB6">
        <w:tab/>
        <w:t>tekintettel a Számvevőszéknek az uniós ügynökségekről szóló, 2023. évi pénzügyi évre vonatkozó éves jelentésére, az ügynökségek válaszaival együtt</w:t>
      </w:r>
      <w:r w:rsidRPr="00F13BB6">
        <w:rPr>
          <w:rStyle w:val="FootnoteReference"/>
        </w:rPr>
        <w:footnoteReference w:id="9"/>
      </w:r>
      <w:r w:rsidRPr="00F13BB6">
        <w:t>,</w:t>
      </w:r>
    </w:p>
    <w:p w14:paraId="401C58FA" w14:textId="77777777" w:rsidR="0050675A" w:rsidRPr="00F13BB6" w:rsidRDefault="0050675A" w:rsidP="0050675A">
      <w:pPr>
        <w:pStyle w:val="NormalHanging12a"/>
      </w:pPr>
      <w:r w:rsidRPr="00F13BB6">
        <w:t>–</w:t>
      </w:r>
      <w:r w:rsidRPr="00F13BB6">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F13BB6">
        <w:rPr>
          <w:rStyle w:val="FootnoteReference"/>
        </w:rPr>
        <w:footnoteReference w:id="10"/>
      </w:r>
      <w:r w:rsidRPr="00F13BB6">
        <w:t>,</w:t>
      </w:r>
    </w:p>
    <w:p w14:paraId="1A8E4883" w14:textId="77777777" w:rsidR="0050675A" w:rsidRPr="00F13BB6" w:rsidRDefault="0050675A" w:rsidP="0050675A">
      <w:pPr>
        <w:pStyle w:val="NormalHanging12a"/>
      </w:pPr>
      <w:r w:rsidRPr="00F13BB6">
        <w:t>–</w:t>
      </w:r>
      <w:r w:rsidRPr="00F13BB6">
        <w:tab/>
        <w:t>tekintettel a 2023. évi pénzügyi évre vonatkozó költségvetés végrehajtása tekintetében az ügynökség számára adandó mentesítésről szóló, 2025. február 17-i tanácsi ajánlásra (05755/2025 – C10</w:t>
      </w:r>
      <w:r w:rsidRPr="00F13BB6">
        <w:noBreakHyphen/>
        <w:t>0024/2025),</w:t>
      </w:r>
    </w:p>
    <w:p w14:paraId="5F808D53" w14:textId="5AF4EED3" w:rsidR="0050675A" w:rsidRPr="00F13BB6" w:rsidRDefault="0050675A" w:rsidP="0050675A">
      <w:pPr>
        <w:pStyle w:val="NormalHanging12a"/>
      </w:pPr>
      <w:r w:rsidRPr="00F13BB6">
        <w:t>–</w:t>
      </w:r>
      <w:r w:rsidRPr="00F13BB6">
        <w:tab/>
        <w:t>tekintettel a 2023. évi pénzügyi évre vonatkozó mentesítésről szóló határozatot elhalasztó</w:t>
      </w:r>
      <w:r w:rsidR="00892840" w:rsidRPr="00F13BB6">
        <w:t>, 2025. május 7-i</w:t>
      </w:r>
      <w:r w:rsidRPr="00F13BB6">
        <w:t xml:space="preserve"> határozatára</w:t>
      </w:r>
      <w:r w:rsidRPr="00F13BB6">
        <w:rPr>
          <w:rStyle w:val="FootnoteReference"/>
        </w:rPr>
        <w:footnoteReference w:id="11"/>
      </w:r>
      <w:r w:rsidRPr="00F13BB6">
        <w:t>, valamint az Európai Unió Menekültügyi Ügynöksége ügyvezető igazgatójának válaszaira,</w:t>
      </w:r>
    </w:p>
    <w:p w14:paraId="61BA8AC8" w14:textId="77777777" w:rsidR="0050675A" w:rsidRPr="00F13BB6" w:rsidRDefault="0050675A" w:rsidP="0050675A">
      <w:pPr>
        <w:pStyle w:val="NormalHanging12a"/>
      </w:pPr>
      <w:r w:rsidRPr="00F13BB6">
        <w:t>–</w:t>
      </w:r>
      <w:r w:rsidRPr="00F13BB6">
        <w:tab/>
        <w:t>tekintettel az Európai Unió működéséről szóló szerződés 319. cikkére,</w:t>
      </w:r>
    </w:p>
    <w:p w14:paraId="4C6B0E7F" w14:textId="77777777" w:rsidR="0050675A" w:rsidRPr="00F13BB6" w:rsidRDefault="0050675A" w:rsidP="0050675A">
      <w:pPr>
        <w:pStyle w:val="NormalHanging12a"/>
      </w:pPr>
      <w:r w:rsidRPr="00F13BB6">
        <w:t>–</w:t>
      </w:r>
      <w:r w:rsidRPr="00F13BB6">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13BB6">
        <w:rPr>
          <w:rStyle w:val="FootnoteReference"/>
        </w:rPr>
        <w:footnoteReference w:id="12"/>
      </w:r>
      <w:r w:rsidRPr="00F13BB6">
        <w:t xml:space="preserve"> és különösen annak 70. cikkére,</w:t>
      </w:r>
    </w:p>
    <w:p w14:paraId="4217F0EF" w14:textId="77777777" w:rsidR="0050675A" w:rsidRPr="00F13BB6" w:rsidRDefault="0050675A" w:rsidP="0050675A">
      <w:pPr>
        <w:pStyle w:val="NormalHanging12a"/>
      </w:pPr>
      <w:r w:rsidRPr="00F13BB6">
        <w:t>–</w:t>
      </w:r>
      <w:r w:rsidRPr="00F13BB6">
        <w:tab/>
        <w:t>tekintettel az Unió általános költségvetésére alkalmazandó pénzügyi szabályokról szóló, 2024. szeptember 23-i (EU, Euratom) 2024/2509 európai parlamenti és tanácsi rendeletre</w:t>
      </w:r>
      <w:r w:rsidRPr="00F13BB6">
        <w:rPr>
          <w:rStyle w:val="FootnoteReference"/>
        </w:rPr>
        <w:footnoteReference w:id="13"/>
      </w:r>
      <w:r w:rsidRPr="00F13BB6">
        <w:t xml:space="preserve"> és különösen annak 70. cikkére,</w:t>
      </w:r>
    </w:p>
    <w:p w14:paraId="2B82CFA6" w14:textId="77777777" w:rsidR="0050675A" w:rsidRPr="00F13BB6" w:rsidRDefault="0050675A" w:rsidP="0050675A">
      <w:pPr>
        <w:pStyle w:val="NormalHanging12a"/>
      </w:pPr>
      <w:r w:rsidRPr="00F13BB6">
        <w:t>–</w:t>
      </w:r>
      <w:r w:rsidRPr="00F13BB6">
        <w:tab/>
        <w:t>tekintettel az Európai Menekültügyi Támogatási Hivatal létrehozásáról szóló, 2010. május 19-i 439/2010/EU európai parlamenti és tanácsi rendeletre</w:t>
      </w:r>
      <w:r w:rsidRPr="00F13BB6">
        <w:rPr>
          <w:rStyle w:val="FootnoteReference"/>
        </w:rPr>
        <w:footnoteReference w:id="14"/>
      </w:r>
      <w:r w:rsidRPr="00F13BB6">
        <w:t xml:space="preserve"> és különösen annak 36. cikkére,</w:t>
      </w:r>
    </w:p>
    <w:p w14:paraId="5464F071" w14:textId="77777777" w:rsidR="0050675A" w:rsidRPr="00F13BB6" w:rsidRDefault="0050675A" w:rsidP="0050675A">
      <w:pPr>
        <w:pStyle w:val="NormalHanging12a"/>
      </w:pPr>
      <w:r w:rsidRPr="00F13BB6">
        <w:t>–</w:t>
      </w:r>
      <w:r w:rsidRPr="00F13BB6">
        <w:tab/>
        <w:t xml:space="preserve">tekintettel az Európai Unió Menekültügyi Ügynökségéről és a 439/2010/EU rendelet hatályon kívül helyezéséről szóló, 2021. december 15-i (EU) 2021/2303 európai </w:t>
      </w:r>
      <w:r w:rsidRPr="00F13BB6">
        <w:lastRenderedPageBreak/>
        <w:t>parlamenti és tanácsi rendeletre</w:t>
      </w:r>
      <w:r w:rsidRPr="00F13BB6">
        <w:rPr>
          <w:rStyle w:val="FootnoteReference"/>
        </w:rPr>
        <w:footnoteReference w:id="15"/>
      </w:r>
      <w:r w:rsidRPr="00F13BB6">
        <w:t xml:space="preserve"> és különösen annak 55. cikkére,</w:t>
      </w:r>
    </w:p>
    <w:p w14:paraId="3F68F06C" w14:textId="77777777" w:rsidR="0050675A" w:rsidRPr="00F13BB6" w:rsidRDefault="0050675A" w:rsidP="0050675A">
      <w:pPr>
        <w:pStyle w:val="NormalHanging12a"/>
      </w:pPr>
      <w:r w:rsidRPr="00F13BB6">
        <w:t>–</w:t>
      </w:r>
      <w:r w:rsidRPr="00F13BB6">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F13BB6">
        <w:rPr>
          <w:rStyle w:val="FootnoteReference"/>
        </w:rPr>
        <w:footnoteReference w:id="16"/>
      </w:r>
      <w:r w:rsidRPr="00F13BB6">
        <w:t xml:space="preserve"> és különösen annak 105. cikkére,</w:t>
      </w:r>
    </w:p>
    <w:p w14:paraId="37DC431D" w14:textId="77777777" w:rsidR="0050675A" w:rsidRPr="00F13BB6" w:rsidRDefault="0050675A" w:rsidP="0050675A">
      <w:pPr>
        <w:pStyle w:val="NormalHanging12a"/>
      </w:pPr>
      <w:r w:rsidRPr="00F13BB6">
        <w:t>–</w:t>
      </w:r>
      <w:r w:rsidRPr="00F13BB6">
        <w:tab/>
        <w:t>tekintettel eljárási szabályzata 102. cikkére és V. mellékletére,</w:t>
      </w:r>
    </w:p>
    <w:p w14:paraId="18078E3F" w14:textId="77777777" w:rsidR="0050675A" w:rsidRPr="00F13BB6" w:rsidRDefault="0050675A" w:rsidP="0050675A">
      <w:pPr>
        <w:pStyle w:val="NormalHanging12a"/>
      </w:pPr>
      <w:r w:rsidRPr="00F13BB6">
        <w:t>–</w:t>
      </w:r>
      <w:r w:rsidRPr="00F13BB6">
        <w:tab/>
        <w:t>tekintettel a Költségvetési Ellenőrző Bizottság második jelentésére (A10-0169/2025),</w:t>
      </w:r>
    </w:p>
    <w:p w14:paraId="74E8D123" w14:textId="77777777" w:rsidR="0050675A" w:rsidRPr="00F13BB6" w:rsidRDefault="0050675A" w:rsidP="0050675A">
      <w:pPr>
        <w:pStyle w:val="NormalHanging12a"/>
      </w:pPr>
      <w:r w:rsidRPr="00F13BB6">
        <w:t>1.</w:t>
      </w:r>
      <w:r w:rsidRPr="00F13BB6">
        <w:tab/>
        <w:t>jóváhagyja az Európai Unió Menekültügyi Ügynöksége 2023. évi pénzügyi évre vonatkozó elszámolásának lezárását;</w:t>
      </w:r>
    </w:p>
    <w:p w14:paraId="22AC2C25" w14:textId="77777777" w:rsidR="0050675A" w:rsidRPr="00F13BB6" w:rsidRDefault="0050675A" w:rsidP="0050675A">
      <w:pPr>
        <w:pStyle w:val="NormalHanging12a"/>
      </w:pPr>
      <w:r w:rsidRPr="00F13BB6">
        <w:t>2.</w:t>
      </w:r>
      <w:r w:rsidRPr="00F13BB6">
        <w:tab/>
        <w:t xml:space="preserve">utasítja elnökét, hogy továbbítsa ezt a határozatot az Európai Unió Menekültügyi Ügynöksége ügyvezető igazgatójának, a Tanácsnak, a Bizottságnak és a Számvevőszéknek, és gondoskodjon az </w:t>
      </w:r>
      <w:r w:rsidRPr="00F13BB6">
        <w:rPr>
          <w:i/>
        </w:rPr>
        <w:t>Európai Unió Hivatalos Lapjában</w:t>
      </w:r>
      <w:r w:rsidRPr="00F13BB6">
        <w:t xml:space="preserve"> (L sorozat) való közzétételéről.</w:t>
      </w:r>
    </w:p>
    <w:p w14:paraId="422647CE" w14:textId="77777777" w:rsidR="0050675A" w:rsidRPr="00F13BB6" w:rsidRDefault="0050675A" w:rsidP="0050675A"/>
    <w:p w14:paraId="519D84CC" w14:textId="77777777" w:rsidR="0050675A" w:rsidRPr="00F13BB6" w:rsidRDefault="0050675A" w:rsidP="0050675A">
      <w:pPr>
        <w:pStyle w:val="PageHeadingDec"/>
        <w:sectPr w:rsidR="0050675A" w:rsidRPr="00F13BB6" w:rsidSect="00816346">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2FA905" w14:textId="4D5EA151" w:rsidR="0050675A" w:rsidRPr="00F13BB6" w:rsidRDefault="0050675A" w:rsidP="00F13BB6">
      <w:pPr>
        <w:pStyle w:val="ATHeading3"/>
      </w:pPr>
      <w:r w:rsidRPr="00F13BB6">
        <w:lastRenderedPageBreak/>
        <w:t xml:space="preserve">3. </w:t>
      </w:r>
      <w:r w:rsidR="00D42448" w:rsidRPr="00F13BB6">
        <w:t xml:space="preserve">Az Európai Parlament 2025. október </w:t>
      </w:r>
      <w:r w:rsidR="00892840" w:rsidRPr="00F13BB6">
        <w:t>22-</w:t>
      </w:r>
      <w:r w:rsidR="00D42448" w:rsidRPr="00F13BB6">
        <w:t xml:space="preserve">i állásfoglalása </w:t>
      </w:r>
      <w:r w:rsidRPr="00F13BB6">
        <w:t>az Európai Unió ügynökségei 2023. évi pénzügyi évre szóló költségvetésének végrehajtására vonatkozó mentesítésről szóló határozatok szerves részét képező megjegyzésekkel</w:t>
      </w:r>
      <w:r w:rsidR="00D42448" w:rsidRPr="00F13BB6">
        <w:t xml:space="preserve"> </w:t>
      </w:r>
      <w:r w:rsidRPr="00F13BB6">
        <w:t>(2024/2030(DEC))</w:t>
      </w:r>
    </w:p>
    <w:p w14:paraId="0974087A" w14:textId="77777777" w:rsidR="0050675A" w:rsidRPr="00F13BB6" w:rsidRDefault="0050675A" w:rsidP="0050675A">
      <w:pPr>
        <w:pStyle w:val="EPComma"/>
      </w:pPr>
      <w:r w:rsidRPr="00F13BB6">
        <w:rPr>
          <w:i/>
        </w:rPr>
        <w:t>Az Európai Parlament</w:t>
      </w:r>
      <w:r w:rsidRPr="00F13BB6">
        <w:t>,</w:t>
      </w:r>
    </w:p>
    <w:p w14:paraId="4375D3C3" w14:textId="77777777" w:rsidR="0050675A" w:rsidRPr="00F13BB6" w:rsidRDefault="0050675A" w:rsidP="0050675A">
      <w:pPr>
        <w:pStyle w:val="NormalHanging12a"/>
      </w:pPr>
      <w:r w:rsidRPr="00F13BB6">
        <w:t>–</w:t>
      </w:r>
      <w:r w:rsidRPr="00F13BB6">
        <w:tab/>
        <w:t>tekintettel az Európai Unió Menekültügyi Ügynöksége 2023. évi pénzügyi évre szóló költségvetésének végrehajtására vonatkozó mentesítésről szóló határozatára,</w:t>
      </w:r>
    </w:p>
    <w:p w14:paraId="1A49B676" w14:textId="77777777" w:rsidR="0050675A" w:rsidRPr="00F13BB6" w:rsidRDefault="0050675A" w:rsidP="0050675A">
      <w:pPr>
        <w:pStyle w:val="NormalHanging12a"/>
      </w:pPr>
      <w:r w:rsidRPr="00F13BB6">
        <w:t>–</w:t>
      </w:r>
      <w:r w:rsidRPr="00F13BB6">
        <w:tab/>
        <w:t>tekintettel eljárási szabályzata 102. cikkére és V. mellékletére,</w:t>
      </w:r>
    </w:p>
    <w:p w14:paraId="18E97F72" w14:textId="77777777" w:rsidR="0050675A" w:rsidRPr="00F13BB6" w:rsidRDefault="0050675A" w:rsidP="0050675A">
      <w:pPr>
        <w:pStyle w:val="NormalHanging12a"/>
      </w:pPr>
      <w:r w:rsidRPr="00F13BB6">
        <w:t>–</w:t>
      </w:r>
      <w:r w:rsidRPr="00F13BB6">
        <w:tab/>
        <w:t>tekintettel arra, hogy a közös európai menekültügyi rendszer működéséből adódóan a szabályok tiszteletben tartása, megfelelő végrehajtása és érvényesítése, valamint az Európai Unió Menekültügyi Ügynökségének nyújtott fenntartható és megfelelő pénzügyi támogatás alapvető fontosságú az Európai Unió tagállamai közötti megosztott felelősség és szolidaritás rendszerének biztosításához;</w:t>
      </w:r>
    </w:p>
    <w:p w14:paraId="50CB0331" w14:textId="77777777" w:rsidR="0050675A" w:rsidRPr="00F13BB6" w:rsidRDefault="0050675A" w:rsidP="0050675A">
      <w:pPr>
        <w:pStyle w:val="NormalHanging12a"/>
      </w:pPr>
      <w:r w:rsidRPr="00F13BB6">
        <w:t>–</w:t>
      </w:r>
      <w:r w:rsidRPr="00F13BB6">
        <w:tab/>
        <w:t>tekintettel az OLAF 2024 októberében véglegesített és 2025 márciusában a Költségvetési Ellenőrző Bizottság tagjai rendelkezésére bocsátott, az Európai Unió Menekültügyi Ügynökségéről szóló végleges jelentésére (OC-2022-0717),</w:t>
      </w:r>
    </w:p>
    <w:p w14:paraId="17465348" w14:textId="77777777" w:rsidR="0050675A" w:rsidRPr="00F13BB6" w:rsidRDefault="0050675A" w:rsidP="0050675A">
      <w:pPr>
        <w:pStyle w:val="NormalHanging12a"/>
        <w:rPr>
          <w:bCs/>
        </w:rPr>
      </w:pPr>
      <w:r w:rsidRPr="00F13BB6">
        <w:t>–</w:t>
      </w:r>
      <w:r w:rsidRPr="00F13BB6">
        <w:tab/>
        <w:t>tekintettel az Európai Unió Menekültügyi Ügynökségének elnöke által 2025 márciusában, valamint ügyvezető igazgatója által 2025 júliusában küldött levelekre,</w:t>
      </w:r>
    </w:p>
    <w:p w14:paraId="7FF5BAE2" w14:textId="77777777" w:rsidR="0050675A" w:rsidRPr="00F13BB6" w:rsidRDefault="0050675A" w:rsidP="0050675A">
      <w:pPr>
        <w:pStyle w:val="NormalHanging12a"/>
      </w:pPr>
      <w:r w:rsidRPr="00F13BB6">
        <w:t xml:space="preserve">– </w:t>
      </w:r>
      <w:r w:rsidRPr="00F13BB6">
        <w:tab/>
        <w:t>tekintettel az OLAF, az Európai Unió Menekültügyi Ügynöksége és a DG HOME képviselői részvételével 2025. július 15-én folytatott eszmecserére,</w:t>
      </w:r>
    </w:p>
    <w:p w14:paraId="110F661E" w14:textId="77777777" w:rsidR="0050675A" w:rsidRPr="00F13BB6" w:rsidRDefault="0050675A" w:rsidP="0050675A">
      <w:pPr>
        <w:pStyle w:val="NormalHanging12a"/>
      </w:pPr>
      <w:r w:rsidRPr="00F13BB6">
        <w:t>–</w:t>
      </w:r>
      <w:r w:rsidRPr="00F13BB6">
        <w:tab/>
        <w:t>tekintettel a Költségvetési Ellenőrző Bizottság második jelentésére (A10-0169/2025),</w:t>
      </w:r>
    </w:p>
    <w:p w14:paraId="16CD43AD" w14:textId="77777777" w:rsidR="0050675A" w:rsidRPr="00F13BB6" w:rsidRDefault="0050675A" w:rsidP="0050675A">
      <w:pPr>
        <w:pStyle w:val="NormalHanging12a"/>
      </w:pPr>
      <w:r w:rsidRPr="00F13BB6">
        <w:t>A.</w:t>
      </w:r>
      <w:r w:rsidRPr="00F13BB6">
        <w:tab/>
        <w:t>mivel az Unió minden decentralizált ügynökségének átláthatónak és az Unió polgárai előtt teljes mértékben elszámoltathatónak kell lennie az uniós szervekként rájuk bízott pénzeszközök tekintetében;</w:t>
      </w:r>
    </w:p>
    <w:p w14:paraId="5BA9EEDB" w14:textId="77777777" w:rsidR="0050675A" w:rsidRPr="00F13BB6" w:rsidRDefault="0050675A" w:rsidP="0050675A">
      <w:pPr>
        <w:pStyle w:val="NormalHanging12a"/>
      </w:pPr>
      <w:r w:rsidRPr="00F13BB6">
        <w:t>B.</w:t>
      </w:r>
      <w:r w:rsidRPr="00F13BB6">
        <w:tab/>
        <w:t>mivel az Európai Unió Menekültügyi Ügynöksége – mint jelentős felelősséggel és erőforrásokkal felruházott uniós szerv – ennek megfelelően köteles az átláthatóság, az elszámoltathatóság és a példamutató magatartás legmagasabb szintű normái szerint eljárni, ezáltal biztosítva az uniós polgárok és intézmények bizalmát;</w:t>
      </w:r>
    </w:p>
    <w:p w14:paraId="213D2B71" w14:textId="77777777" w:rsidR="0050675A" w:rsidRPr="00F13BB6" w:rsidRDefault="0050675A" w:rsidP="0050675A">
      <w:pPr>
        <w:pStyle w:val="NormalHanging12a"/>
      </w:pPr>
      <w:r w:rsidRPr="00F13BB6">
        <w:t>C.</w:t>
      </w:r>
      <w:r w:rsidRPr="00F13BB6">
        <w:tab/>
        <w:t>mivel a Parlamentnek a költségvetési mentesítési eljárás tekintetében betöltött szerepét az Európai Unió működéséről szóló szerződés (EUMSZ), a költségvetési rendelet és a pénzügyi keretszabályzat határozza meg;</w:t>
      </w:r>
    </w:p>
    <w:p w14:paraId="42B84666" w14:textId="77777777" w:rsidR="0050675A" w:rsidRPr="00F13BB6" w:rsidRDefault="0050675A" w:rsidP="0050675A">
      <w:pPr>
        <w:pStyle w:val="NormalHanging12a"/>
      </w:pPr>
      <w:r w:rsidRPr="00F13BB6">
        <w:t>D.</w:t>
      </w:r>
      <w:r w:rsidRPr="00F13BB6">
        <w:tab/>
        <w:t>mivel az OLAF-nak mint az Unió csalás elleni szervének kötelessége időben és megfelelő módon hozzáférést biztosítani az Európai Parlament számára megállapításaihoz annak érdekében, hogy lehetővé tegye a hatékony ellenőrzést a mentesítési eljárás során;</w:t>
      </w:r>
    </w:p>
    <w:p w14:paraId="3271814F" w14:textId="77777777" w:rsidR="0050675A" w:rsidRPr="00F13BB6" w:rsidRDefault="0050675A" w:rsidP="0050675A">
      <w:pPr>
        <w:pStyle w:val="NormalHanging12a"/>
      </w:pPr>
      <w:r w:rsidRPr="00F13BB6">
        <w:t>1.</w:t>
      </w:r>
      <w:r w:rsidRPr="00F13BB6">
        <w:tab/>
        <w:t>emlékeztet a Parlament mentesítési eljárásban betöltött szerepére, amelyet az EUMSZ, a költségvetési rendelet és saját eljárási szabályzata határoz meg;</w:t>
      </w:r>
    </w:p>
    <w:p w14:paraId="477A8DC3" w14:textId="77777777" w:rsidR="0050675A" w:rsidRPr="00F13BB6" w:rsidRDefault="0050675A" w:rsidP="0050675A">
      <w:pPr>
        <w:pStyle w:val="NormalHanging12a"/>
      </w:pPr>
      <w:r w:rsidRPr="00F13BB6">
        <w:t>2.</w:t>
      </w:r>
      <w:r w:rsidRPr="00F13BB6">
        <w:tab/>
        <w:t xml:space="preserve">emlékeztet arra, hogy 2025. május 7-én a Parlament úgy határozott, hogy elhalasztja az </w:t>
      </w:r>
      <w:r w:rsidRPr="00F13BB6">
        <w:lastRenderedPageBreak/>
        <w:t>Európai Unió Menekültügyi Ügynöksége (a továbbiakban: az ügynökség) 2023. évi mentesítéséről szóló határozatot;</w:t>
      </w:r>
    </w:p>
    <w:p w14:paraId="439D586B" w14:textId="77777777" w:rsidR="0050675A" w:rsidRPr="00F13BB6" w:rsidRDefault="0050675A" w:rsidP="0050675A">
      <w:pPr>
        <w:pStyle w:val="NormalHanging12a"/>
      </w:pPr>
      <w:r w:rsidRPr="00F13BB6">
        <w:t>3.</w:t>
      </w:r>
      <w:r w:rsidRPr="00F13BB6">
        <w:tab/>
        <w:t>kiemeli annak rendkívüli fontosságát, hogy az Unió költségvetésének végrehajtása során felelős és átlátható módon kell eljárni; kitart amellett, hogy ezen elvek tiszteletben tartásának elmulasztása súlyosan aláássa a közbizalmat;</w:t>
      </w:r>
    </w:p>
    <w:p w14:paraId="0655CDE7" w14:textId="77777777" w:rsidR="0050675A" w:rsidRPr="00F13BB6" w:rsidRDefault="0050675A" w:rsidP="0050675A">
      <w:pPr>
        <w:pStyle w:val="NormalHanging12a"/>
        <w:rPr>
          <w:b/>
          <w:i/>
        </w:rPr>
      </w:pPr>
      <w:r w:rsidRPr="00F13BB6">
        <w:rPr>
          <w:b/>
          <w:i/>
        </w:rPr>
        <w:t>Az Európai Csalás Elleni Hivatal (OLAF) által végzett vizsgálat eredménye</w:t>
      </w:r>
    </w:p>
    <w:p w14:paraId="24C8BFE8" w14:textId="77777777" w:rsidR="0050675A" w:rsidRPr="00F13BB6" w:rsidRDefault="0050675A" w:rsidP="0050675A">
      <w:pPr>
        <w:pStyle w:val="NormalHanging12a"/>
      </w:pPr>
      <w:r w:rsidRPr="00F13BB6">
        <w:t>4.</w:t>
      </w:r>
      <w:r w:rsidRPr="00F13BB6">
        <w:tab/>
        <w:t>megjegyzi, hogy az OLAF a vizsgálatról szóló zárójelentésének anonimizált változatát 2025 márciusában a Költségvetési Ellenőrző Bizottság tagjai, 2025 júliusában pedig az Állampolgári Jogi, Bel- és Igazságügyi Bizottság rendelkezésére bocsátotta; sajnálatát fejezi ki a vizsgálathoz való késedelmes hozzáférés miatt, amelyet csak márciusban engedélyeztek annak ellenére, hogy az előadó azt már 2024 decemberében kérte, az OLAF pedig válaszában az Európai Unió Menekültügyi Ügynöksége igazgatótanácsának kifogásaira hivatkozott; kitart amellett, hogy a CONT bizottság tagjai számára korábban hozzáférést kellett volna biztosítani a jelentéshez, hogy garantálni lehessen megbízatásuk megfelelő teljesítését;</w:t>
      </w:r>
    </w:p>
    <w:p w14:paraId="4476E878" w14:textId="77777777" w:rsidR="0050675A" w:rsidRPr="00F13BB6" w:rsidRDefault="0050675A" w:rsidP="0050675A">
      <w:pPr>
        <w:pStyle w:val="NormalHanging12a"/>
      </w:pPr>
      <w:r w:rsidRPr="00F13BB6">
        <w:t>5.</w:t>
      </w:r>
      <w:r w:rsidRPr="00F13BB6">
        <w:tab/>
        <w:t>tudatában van annak, hogy az OLAF vizsgálatait folyamatosan, az ügy körülményeivel és összetettségével arányos időtartam alatt kell lefolytatni; aggodalmát fejezi ki az OLAF vizsgálatainak hossza miatt, mivel az aláássa a mentesítésért felelős hatóság abbéli képességét, hogy e vizsgálatok megállapításait hatékonyan mérlegelje; kitart amellett, hogy a vizsgálatok időben történő lefolytatása döntő szerepet játszik a hatékony parlamenti felügyelet fenntartásában; felhívja az OLAF-ot, hogy vizsgálja felül és gyorsítsa fel a vizsgálatok lezárására és a mentesítésért felelős hatósággal való megosztására irányuló eljárást; hangsúlyozza, hogy ezek a késedelmek aláássák a CONT bizottság tagjainak azon képességét, hogy hatékonyan gyakorolják felügyeleti megbízatásukat, és intézkedéseket szorgalmaz a vizsgálati jelentésekhez való gyors hozzáférés jövőbeli biztosítása érdekében;</w:t>
      </w:r>
    </w:p>
    <w:p w14:paraId="20C11E7C" w14:textId="77777777" w:rsidR="0050675A" w:rsidRPr="00F13BB6" w:rsidRDefault="0050675A" w:rsidP="0050675A">
      <w:pPr>
        <w:pStyle w:val="NormalHanging12a"/>
      </w:pPr>
      <w:r w:rsidRPr="00F13BB6">
        <w:t>6.</w:t>
      </w:r>
      <w:r w:rsidRPr="00F13BB6">
        <w:tab/>
        <w:t>hangsúlyozza, hogy az uniós költségvetés védelmének továbbra is a hatékony és eredményes pénzgazdálkodás alapértékének kell maradnia, amelyet valamennyi uniós intézmény köteles fenntartani, beleértve az ügynökségeket és a decentralizált szerveket is, amelyeknek egyértelmű példát kell mutatniuk az európai közpénzek felelős és átlátható felhasználása tekintetében; megismétli, hogy a csalás elleni intézményi kereten belül meg kell erősíteni a koordinációt és az együttműködést, tekintettel különösen a gyorsabb és hatékonyabb OLAF-vizsgálatok szükségességére, ily módon összehangolva ezeket az erőfeszítéseket az uniós források védelmének tágabb célkitűzésével;</w:t>
      </w:r>
    </w:p>
    <w:p w14:paraId="2BBB3B30" w14:textId="77777777" w:rsidR="0050675A" w:rsidRPr="00F13BB6" w:rsidRDefault="0050675A" w:rsidP="0050675A">
      <w:pPr>
        <w:pStyle w:val="NormalHanging12a"/>
      </w:pPr>
      <w:r w:rsidRPr="00F13BB6">
        <w:t>7.</w:t>
      </w:r>
      <w:r w:rsidRPr="00F13BB6">
        <w:tab/>
        <w:t>felhívja az ügynökséget és az OLAF-ot, hogy az átláthatóság és a közbizalom biztosítása érdekében a jogilag lehetséges mértékben tegyék nyilvánosan hozzáférhetővé az OLAF jelentésének anonimizált összefoglalóját;</w:t>
      </w:r>
    </w:p>
    <w:p w14:paraId="48DA667F" w14:textId="77777777" w:rsidR="0050675A" w:rsidRPr="00F13BB6" w:rsidRDefault="0050675A" w:rsidP="0050675A">
      <w:pPr>
        <w:pStyle w:val="NormalHanging12a"/>
      </w:pPr>
      <w:r w:rsidRPr="00F13BB6">
        <w:t>8.</w:t>
      </w:r>
      <w:r w:rsidRPr="00F13BB6">
        <w:tab/>
        <w:t>tudomásul veszi, hogy az OLAF a vizsgálatot követően fegyelmi és igazgatási ajánlásokat adott ki;</w:t>
      </w:r>
    </w:p>
    <w:p w14:paraId="7D9AE99A" w14:textId="425F6C54" w:rsidR="0050675A" w:rsidRPr="00F13BB6" w:rsidRDefault="0050675A" w:rsidP="0050675A">
      <w:pPr>
        <w:pStyle w:val="NormalHanging12a"/>
      </w:pPr>
      <w:r w:rsidRPr="00F13BB6">
        <w:t>9.</w:t>
      </w:r>
      <w:r w:rsidRPr="00F13BB6">
        <w:tab/>
        <w:t xml:space="preserve">megjegyzi, hogy a fegyelmi ajánlásokat illetően az igazgatótanács – azok </w:t>
      </w:r>
      <w:r w:rsidR="00147FB6" w:rsidRPr="00F13BB6">
        <w:t>folyományaként</w:t>
      </w:r>
      <w:r w:rsidRPr="00F13BB6">
        <w:t xml:space="preserve">– úgy határozott, hogy nem indít fegyelmi eljárást, ehelyett figyelmeztetést tartalmazó írásbeli ajánlásokat adott ki, és az ügyvezető igazgatótól korrekciós intézkedések formájában konkrét javaslatokat kért, azok mielőbbi </w:t>
      </w:r>
      <w:r w:rsidRPr="00F13BB6">
        <w:lastRenderedPageBreak/>
        <w:t>végrehajtásának ütemtervével együtt; tudomásul veszi, hogy e kérésnek megfelelően az ügyvezető igazgató a következő dokumentumokat nyújtotta be az igazgatótanácshoz, az alábbi tartalommal:</w:t>
      </w:r>
    </w:p>
    <w:p w14:paraId="3B00C67C" w14:textId="77777777" w:rsidR="0050675A" w:rsidRPr="00F13BB6" w:rsidRDefault="0050675A" w:rsidP="00F13BB6">
      <w:pPr>
        <w:pStyle w:val="NormalHanging12a"/>
        <w:ind w:left="1134"/>
      </w:pPr>
      <w:r w:rsidRPr="00F13BB6">
        <w:t>–</w:t>
      </w:r>
      <w:r w:rsidRPr="00F13BB6">
        <w:tab/>
        <w:t>az igazgatótanács által megfogalmazott ajánlások;</w:t>
      </w:r>
    </w:p>
    <w:p w14:paraId="27CB6189" w14:textId="77777777" w:rsidR="0050675A" w:rsidRPr="00F13BB6" w:rsidRDefault="0050675A" w:rsidP="00F13BB6">
      <w:pPr>
        <w:pStyle w:val="NormalHanging12a"/>
        <w:ind w:left="1134"/>
      </w:pPr>
      <w:r w:rsidRPr="00F13BB6">
        <w:t>–</w:t>
      </w:r>
      <w:r w:rsidRPr="00F13BB6">
        <w:tab/>
        <w:t>az ügynökségnél jelenleg fennálló helyzet az egyes ajánlások tekintetében; valamint</w:t>
      </w:r>
    </w:p>
    <w:p w14:paraId="40697A1E" w14:textId="77777777" w:rsidR="0050675A" w:rsidRPr="00F13BB6" w:rsidRDefault="0050675A" w:rsidP="00F13BB6">
      <w:pPr>
        <w:pStyle w:val="NormalHanging12a"/>
        <w:ind w:left="1134"/>
      </w:pPr>
      <w:r w:rsidRPr="00F13BB6">
        <w:t>–</w:t>
      </w:r>
      <w:r w:rsidRPr="00F13BB6">
        <w:tab/>
        <w:t>a végrehajtandó további korrekciós intézkedések, a végrehajtásukra vonatkozó ideiglenes ütemtervvel együtt; felhívja az igazgatótanácsot, hogy kövesse nyomon az ajánlásokat, és számoljon be a mentesítésért felelős hatóságnak azok teljes körű és időben történő végrehajtásáról;</w:t>
      </w:r>
    </w:p>
    <w:p w14:paraId="297EB754" w14:textId="5DA2D09A" w:rsidR="0050675A" w:rsidRPr="00F13BB6" w:rsidRDefault="0050675A" w:rsidP="0050675A">
      <w:pPr>
        <w:pStyle w:val="NormalHanging12a"/>
      </w:pPr>
      <w:r w:rsidRPr="00F13BB6">
        <w:t>10.</w:t>
      </w:r>
      <w:r w:rsidRPr="00F13BB6">
        <w:tab/>
        <w:t xml:space="preserve">sajnálatát fejezi ki amiatt, hogy az igazgatótanács intenzív tanácskozásokat követően úgy határozott, hogy nem hajtja végre az OLAF fegyelmi ajánlásait, beleértve az </w:t>
      </w:r>
      <w:r w:rsidR="00FC2176" w:rsidRPr="00F13BB6">
        <w:t>ü</w:t>
      </w:r>
      <w:r w:rsidRPr="00F13BB6">
        <w:t>gynökség ügyvezető igazgatója vagy bármely más alkalmazottja elleni fegyelmi eljárás megindítását az OLAF által feltárt jelentős tények ellenére, amelyek szisztematikusnak tűnnek, és aláássák az ügynökség vezetésébe vetett bizalmat; hangsúlyozza, hogy ez a döntés kérdéseket vet fel az igazgatótanács elszámoltathatóság és felelősségtudat iránti elkötelezettségével kapcsolatban, összhangban az intézményi elvárásokkal, és tudomásul veszi az igazgatótanács azon szándékos döntését, hogy a felvetett kérdések felülvizsgálatát követően nem hajtja végre az ajánlásokat; hangsúlyozza, hogy a Parlament továbbra is különös figyelmet fog fordítani a meghozott korrekciós intézkedésekre; elvárja, hogy az ügynökség biztosítson példaértékű nyomon követést, magas szintű normákat, egyértelmű felelősséget a korrekciós intézkedések végrehajtásáért és teljes körű elszámoltathatóságot; felhívja az ügynökséget, hogy a parlamenti felügyelet erősítése érdekében biztosítson átlátható beszámolást a Parlament irányába, többek között azáltal, hogy az igazgatótanács tanácskozásainak jegyzőkönyveit megosztja a Parlamenttel;</w:t>
      </w:r>
    </w:p>
    <w:p w14:paraId="7D4BD09A" w14:textId="77777777" w:rsidR="0050675A" w:rsidRPr="00F13BB6" w:rsidRDefault="0050675A" w:rsidP="0050675A">
      <w:pPr>
        <w:pStyle w:val="NormalHanging12a"/>
      </w:pPr>
      <w:r w:rsidRPr="00F13BB6">
        <w:t>11.</w:t>
      </w:r>
      <w:r w:rsidRPr="00F13BB6">
        <w:tab/>
        <w:t>megjegyzi, hogy az ügyvezető igazgató elkészített egy jövőképről szóló nyilatkozatot, amely az Európai Unió Menekültügyi Ügynökségénél változtatásokat végrehajtó vezetésről szól, és a végrehajtott, valamint a végrehajtandó korrekciós intézkedéseket tartalmazza; kéri az ügynökséget, hogy tájékoztassa a mentesítésért felelős hatóságot a végrehajtott és a végrehajtandó korrekciós intézkedésekről, azok végrehajtási határidejével együtt;</w:t>
      </w:r>
    </w:p>
    <w:p w14:paraId="608EA1E6" w14:textId="4A297937" w:rsidR="0050675A" w:rsidRPr="00F13BB6" w:rsidRDefault="0050675A" w:rsidP="0050675A">
      <w:pPr>
        <w:pStyle w:val="NormalHanging12a"/>
      </w:pPr>
      <w:r w:rsidRPr="00F13BB6">
        <w:t>12.</w:t>
      </w:r>
      <w:r w:rsidRPr="00F13BB6">
        <w:tab/>
        <w:t>aggodalmának ad hangot amiatt, hogy az igazgatási ajánlások</w:t>
      </w:r>
      <w:r w:rsidR="005E7AA2" w:rsidRPr="00F13BB6">
        <w:t xml:space="preserve"> tárgyát képezte </w:t>
      </w:r>
      <w:r w:rsidRPr="00F13BB6">
        <w:t>az a gyakorlat, hogy az osztályvezetők helyett a részlegvezetők végzik a személyzeti értékeléseket, valamint az összeférhetetlenségek ügynökségen belüli kezelésével kapcsolatos hiányosságok is;</w:t>
      </w:r>
    </w:p>
    <w:p w14:paraId="5AE5DB6E" w14:textId="77777777" w:rsidR="0050675A" w:rsidRPr="00F13BB6" w:rsidRDefault="0050675A" w:rsidP="0050675A">
      <w:pPr>
        <w:pStyle w:val="NormalHanging12a"/>
      </w:pPr>
      <w:r w:rsidRPr="00F13BB6">
        <w:t>13.</w:t>
      </w:r>
      <w:r w:rsidRPr="00F13BB6">
        <w:tab/>
        <w:t>üdvözli, hogy 2025-től kezdődően a személyzet értékelését az osztályvezetők fogják végezni az alkalmazandó szabályoknak megfelelően;</w:t>
      </w:r>
    </w:p>
    <w:p w14:paraId="3F1FF3DC" w14:textId="3175795C" w:rsidR="0050675A" w:rsidRPr="00F13BB6" w:rsidRDefault="0050675A" w:rsidP="0050675A">
      <w:pPr>
        <w:pStyle w:val="NormalHanging12a"/>
      </w:pPr>
      <w:r w:rsidRPr="00F13BB6">
        <w:t>14.</w:t>
      </w:r>
      <w:r w:rsidRPr="00F13BB6">
        <w:tab/>
        <w:t>mély sajnálatát fejezi ki az összeférhetetlenségek ügynökségen belüli kezelésének hiányosságai miatt, különös</w:t>
      </w:r>
      <w:r w:rsidR="005E7AA2" w:rsidRPr="00F13BB6">
        <w:t>en</w:t>
      </w:r>
      <w:r w:rsidRPr="00F13BB6">
        <w:t xml:space="preserve"> az ügyvezető igazgató döntései ellen benyújtott panaszok igazgatótanács általi hibás kezelése</w:t>
      </w:r>
      <w:r w:rsidR="005E7AA2" w:rsidRPr="00F13BB6">
        <w:t xml:space="preserve"> miatt</w:t>
      </w:r>
      <w:r w:rsidRPr="00F13BB6">
        <w:t xml:space="preserve">; kitart amellett, hogy az ilyen gyakorlatok aláássák az ügynökség integritását és hitelességét; felhívja az ügynökséget, hogy haladéktalanul tájékoztassa a mentesítésért felelős hatóságot a bevezetett korrekciós </w:t>
      </w:r>
      <w:r w:rsidRPr="00F13BB6">
        <w:lastRenderedPageBreak/>
        <w:t>intézkedésekről és szervezeti változásokról; hangsúlyozza, hogy csak az összeférhetetlenség kezelésére vonatkozó szilárd és példaértékű keret tekinthető elfogadhatónak;</w:t>
      </w:r>
    </w:p>
    <w:p w14:paraId="47DB2426" w14:textId="77777777" w:rsidR="0050675A" w:rsidRPr="00F13BB6" w:rsidRDefault="0050675A" w:rsidP="0050675A">
      <w:pPr>
        <w:pStyle w:val="NormalHanging12a"/>
      </w:pPr>
      <w:r w:rsidRPr="00F13BB6">
        <w:t>15.</w:t>
      </w:r>
      <w:r w:rsidRPr="00F13BB6">
        <w:tab/>
        <w:t>nyugtázza, hogy az igazgatótanács és az ügyvezető igazgató egyaránt elismerték az állítások és a szóban forgó ügyek súlyosságát; tudomásul veszi azonban, hogy az ügyvezető igazgató szkepticizmusát fejezte ki a válságok alatti rendkívüli munkateherre hivatkozva, amely nem használható indokként a megállapítások elutasítására; úgy véli, hogy a hiányosság elismerését határozott korrekciós intézkedéseknek, időben történő végrehajtásnak és a mentesítésért felelős hatóság felé való teljes körű elszámoltathatóságnak kell kísérnie;</w:t>
      </w:r>
    </w:p>
    <w:p w14:paraId="3D06AEDB" w14:textId="77777777" w:rsidR="0050675A" w:rsidRPr="00F13BB6" w:rsidRDefault="0050675A" w:rsidP="0050675A">
      <w:pPr>
        <w:pStyle w:val="NormalHanging12a"/>
      </w:pPr>
      <w:r w:rsidRPr="00F13BB6">
        <w:t>16.</w:t>
      </w:r>
      <w:r w:rsidRPr="00F13BB6">
        <w:tab/>
        <w:t>aggodalommal veszi tudomásul az irányításban mutatkozó, ismétlődő hiányosságokat, többek között azt, hogy az igazgatótanács nem képes időben és hatékonyan felügyeletet gyakorolni; sajnálatosnak tartja, hogy számos szabálytalanságot jobb belső ellenőrzésekkel és az igazgatótanács proaktív szerepvállalásával meg lehetett volna előzni; kitart amellett, hogy ezt az intézményi hiányosságot nem csupán eljárási szinten, hanem strukturálisan kell kezelni;</w:t>
      </w:r>
    </w:p>
    <w:p w14:paraId="446ED45C" w14:textId="02BD9C29" w:rsidR="0050675A" w:rsidRPr="00F13BB6" w:rsidRDefault="0050675A" w:rsidP="0050675A">
      <w:pPr>
        <w:pStyle w:val="NormalHanging12a"/>
      </w:pPr>
      <w:r w:rsidRPr="00F13BB6">
        <w:t>17.</w:t>
      </w:r>
      <w:r w:rsidRPr="00F13BB6">
        <w:tab/>
        <w:t xml:space="preserve">sajnálatát fejezi ki a nem megfelelő igazgatással összefüggő, különösen az emberi erőforrások területén fennálló problémák, ezen belül olyan súlyos szabálytalanságok miatt, amelyek különösen a személyzeti szabályzatot és az egyéb alkalmazottakra vonatkozó alkalmazási feltételeket sértő kinevezési és kiválasztási eljárásokat érintik; tudatában van annak, hogy a 2019 és 2022 közötti időszakban az ügynökség olyan kihívásokkal szembesült, mint a Covid19-világjárvány, az átmeneti védelemről szóló irányelv aktiválása és az </w:t>
      </w:r>
      <w:r w:rsidR="00892840" w:rsidRPr="00F13BB6">
        <w:t xml:space="preserve">az ügynökségről </w:t>
      </w:r>
      <w:r w:rsidRPr="00F13BB6">
        <w:t>szóló, új megbízatást, hatásköröket és felelősségi köröket megállapító rendelet</w:t>
      </w:r>
      <w:r w:rsidR="00FC2176" w:rsidRPr="00F13BB6">
        <w:rPr>
          <w:rStyle w:val="FootnoteReference"/>
        </w:rPr>
        <w:footnoteReference w:id="17"/>
      </w:r>
      <w:r w:rsidRPr="00F13BB6">
        <w:t xml:space="preserve"> hatálybalépése; elutasít azonban minden arra irányuló kísérletet, hogy ezeket a körülményeket a kötelező erejű jogszabályok be nem tartásának igazolására használják fel; felhívja az ügynökséget, hogy teljes mértékben hangolja össze munkaerő-felvételi folyamatait az alkalmazandó szabályokkal, és ragaszkodik ahhoz, hogy szigorú, átlátható és érdemeken alapuló eljárásokat fogadjanak el, amelyeket végrehajtható iránymutatások kísérnek, és amelyek a mentesítésért felelős hatóság szoros felügyelete alatt állnak;</w:t>
      </w:r>
    </w:p>
    <w:p w14:paraId="6AD5AE3A" w14:textId="77777777" w:rsidR="0050675A" w:rsidRPr="00F13BB6" w:rsidRDefault="0050675A" w:rsidP="0050675A">
      <w:pPr>
        <w:pStyle w:val="NormalHanging12a"/>
      </w:pPr>
      <w:r w:rsidRPr="00F13BB6">
        <w:t>18.</w:t>
      </w:r>
      <w:r w:rsidRPr="00F13BB6">
        <w:tab/>
        <w:t>üdvözli, hogy 2023 januárjától megszűnt a vezetők ideiglenes kinevezésének gyakorlata;</w:t>
      </w:r>
    </w:p>
    <w:p w14:paraId="2289DAFD" w14:textId="77777777" w:rsidR="0050675A" w:rsidRPr="00F13BB6" w:rsidRDefault="0050675A" w:rsidP="0050675A">
      <w:pPr>
        <w:pStyle w:val="NormalHanging12a"/>
      </w:pPr>
      <w:r w:rsidRPr="00F13BB6">
        <w:t>19.</w:t>
      </w:r>
      <w:r w:rsidRPr="00F13BB6">
        <w:tab/>
        <w:t xml:space="preserve">emlékeztet arra, hogy az igazgatótanács egyik fő feladata, hogy általános iránymutatást nyújtson az ügynökség tevékenységeihez és biztosítsa, hogy az ügynökség hatékonyan teljesítse megbízatását; úgy véli, hogy az általános iránymutatás biztosításához az igazgatótanácsnak tisztában kell lennie az ügynökségre alkalmazandó jogszabályokkal, valamint az ügynökség irányításában bekövetkező, kritikus fontosságú fejleményekkel, és kellően tájékozottnak kell lennie azokkal kapcsolatban; sajnálatát fejezi ki az e tekintetben tapasztalható ismétlődő hiányosságok miatt, és felhívja az ügynökséget, hogy hozzon létre az igazgatótanáccsal való hatékony, szisztematikus és átlátható </w:t>
      </w:r>
      <w:r w:rsidRPr="00F13BB6">
        <w:lastRenderedPageBreak/>
        <w:t>kommunikációt biztosító eljárásokat;</w:t>
      </w:r>
    </w:p>
    <w:p w14:paraId="1DA2CF63" w14:textId="77777777" w:rsidR="0050675A" w:rsidRPr="00F13BB6" w:rsidRDefault="0050675A" w:rsidP="0050675A">
      <w:pPr>
        <w:pStyle w:val="NormalHanging12a"/>
      </w:pPr>
      <w:r w:rsidRPr="00F13BB6">
        <w:t>20.</w:t>
      </w:r>
      <w:r w:rsidRPr="00F13BB6">
        <w:tab/>
        <w:t>felhívja az igazgatótanácsban két hellyel rendelkező Európai Bizottságot, hogy aktívan támogassa és segítse az igazgatótanács többi tagját az ügynökségre vonatkozó szabályok megértésében, és a megelőzésre irányuló erőfeszítések részeként azonosítsa és terjessze az e konkrét esetből levont tanulságokat; felhívja az ügynökséget, hogy tájékoztassa a mentesítésért felelős hatóságot az igazgatótanáccsal folytatott kommunikáció javítása érdekében tett intézkedésekről;</w:t>
      </w:r>
    </w:p>
    <w:p w14:paraId="09FADAA4" w14:textId="77777777" w:rsidR="0050675A" w:rsidRPr="00F13BB6" w:rsidRDefault="0050675A" w:rsidP="0050675A">
      <w:pPr>
        <w:pStyle w:val="NormalHanging12a"/>
      </w:pPr>
      <w:r w:rsidRPr="00F13BB6">
        <w:t>21.</w:t>
      </w:r>
      <w:r w:rsidRPr="00F13BB6">
        <w:tab/>
        <w:t>üdvözli a Bizottságnak a vonatkozó eszmecsere során tett azon javaslatát, amely szerint bizonyos horizontális területeken a decentralizált ügynökségek közös szolgálatokon osztozhatnának, mivel ez elősegítené a folyamatok jobb irányítását és az erőforrások hatékonyabb kihasználását; ösztönzi a Bizottságot, hogy vizsgálja meg ezt a lehetőséget, és javasoljon konkrét intézkedéseket e tekintetben;</w:t>
      </w:r>
    </w:p>
    <w:p w14:paraId="77A2789A" w14:textId="77777777" w:rsidR="0050675A" w:rsidRPr="00F13BB6" w:rsidRDefault="0050675A" w:rsidP="0050675A">
      <w:pPr>
        <w:pStyle w:val="NormalHanging12a"/>
      </w:pPr>
      <w:r w:rsidRPr="00F13BB6">
        <w:t>22.</w:t>
      </w:r>
      <w:r w:rsidRPr="00F13BB6">
        <w:tab/>
        <w:t>felhívja az ügynökséget, hogy hozzon létre független belső etikai funkciót, és hangsúlyozza a visszaélést bejelentő személyek védelmére vonatkozó szigorú szabályok fontosságát, összhangban az (EU) 2019/1937 irányelvvel; hangsúlyozza, hogy a belső bejelentési csatornáknak bizalmasnak, hitelesnek és a személyzet számára – annak minden szintjén – megbízhatónak kell lenniük;</w:t>
      </w:r>
    </w:p>
    <w:p w14:paraId="2EF9A089" w14:textId="77777777" w:rsidR="0050675A" w:rsidRPr="00F13BB6" w:rsidRDefault="0050675A" w:rsidP="0050675A">
      <w:pPr>
        <w:pStyle w:val="NormalHanging12a"/>
      </w:pPr>
      <w:r w:rsidRPr="00F13BB6">
        <w:t>23.</w:t>
      </w:r>
      <w:r w:rsidRPr="00F13BB6">
        <w:tab/>
        <w:t>kiemeli, hogy bár egyes események 2022-re, 2021-re és még korábbra nyúlnak vissza, az OLAF vizsgálata csak 2024-ben zárult le; hangsúlyozza, hogy még nem tehető olyan megállapítás, hogy ezeket a kérdéseket teljes mértékben megoldották; hangsúlyozza, hogy a mentesítésért felelős hatóság mindaddig teljes mértékben jogosult felügyeleti feladatainak gyakorlására, amíg a helyzetet nem orvosolják és tisztázzák maradéktalanul; felhívja az ügyvezető igazgatót és az igazgatótanácsot, hogy ismerjék el és orvosolják mind az ügynökség humánerőforrás-gazdálkodásának, mind az igazgatótanács felügyeleti funkcióinak strukturális gyengeségeit, és hozzanak hatékony intézkedéseket a hasonló problémák megismétlődésének elkerülése érdekében, továbbá fenntartja a jogot, hogy a jövőbeli mentesítési határozatokat visszatartsa vagy feltételekhez kösse, amennyiben az ügynökség nem hajtja végre a teljes strukturális reformot;</w:t>
      </w:r>
    </w:p>
    <w:p w14:paraId="39907386" w14:textId="456512CC" w:rsidR="0050675A" w:rsidRPr="00F13BB6" w:rsidRDefault="0050675A" w:rsidP="0050675A">
      <w:pPr>
        <w:pStyle w:val="NormalHanging12a"/>
      </w:pPr>
      <w:r w:rsidRPr="00F13BB6">
        <w:t>24.</w:t>
      </w:r>
      <w:r w:rsidRPr="00F13BB6">
        <w:tab/>
        <w:t xml:space="preserve">különös aggodalommal veszi tudomásul az OLAF jelentésében említett rendkívül magas személyzeti fluktuációt, amelyre a vezetőség nem tud kielégítő magyarázatot adni; felhívja az ügyvezető igazgatót, az igazgatótanácsot és különösen a Bizottság </w:t>
      </w:r>
      <w:r w:rsidR="005E7AA2" w:rsidRPr="00F13BB6">
        <w:t>igazgatótanácson</w:t>
      </w:r>
      <w:r w:rsidR="005E7AA2" w:rsidRPr="00F13BB6" w:rsidDel="005E7AA2">
        <w:t xml:space="preserve"> </w:t>
      </w:r>
      <w:r w:rsidRPr="00F13BB6">
        <w:t>belüli képviselőit, hogy vezessenek be szisztematikus kilépési interjúkat valamennyi távozó alkalmazottal, átfogóan dokumentálják a megállapításokat, és a 2024. évi mentesítési eljárás keretében számoljanak be a mentesítésért felelős hatóságnak az e tekintetben elért eredményekről és előrehaladásról;</w:t>
      </w:r>
    </w:p>
    <w:p w14:paraId="75ACA7A7" w14:textId="77777777" w:rsidR="0050675A" w:rsidRPr="00F13BB6" w:rsidRDefault="0050675A" w:rsidP="0050675A">
      <w:pPr>
        <w:pStyle w:val="NormalHanging12a"/>
      </w:pPr>
      <w:r w:rsidRPr="00F13BB6">
        <w:t>25.</w:t>
      </w:r>
      <w:r w:rsidRPr="00F13BB6">
        <w:tab/>
        <w:t xml:space="preserve">elismerését fejezi ki az ügynökség alkalmazottainak azért, hogy a kihívást jelentő körülmények ellenére feladataik ellátása során elhivatottságot és elkötelezettséget tanúsítottak; alapvető fontosságúnak tartja a pozitív munkakörnyezet ösztönzését, amely az emberi erőforrások szintjén a bevált gyakorlatok előmozdítása, valamint az érdemeken alapuló teljesítmények jutalmazása révén valósul meg; sürgeti az igazgatótanácsot és az ügyvezető igazgatót, hogy gondoskodjanak arról, hogy az ügynökség biztonságos és támogató munkahely legyen, amely ösztönzi a nyílt kommunikációt, és lehetővé teszi az egyének számára, hogy a megtorlástól való félelem </w:t>
      </w:r>
      <w:r w:rsidRPr="00F13BB6">
        <w:lastRenderedPageBreak/>
        <w:t>nélkül szólalhassanak fel; felhívja az ügynökséget, hogy biztosítsa, hogy a szakmai kötelességszegésről szóló valamennyi bejelentést komolyan vegyenek és alaposan kivizsgáljanak, és azokat kísérjék megfelelő nyomonkövetési intézkedések az integritás és a bizalom szervezeten belüli fenntartása érdekében;</w:t>
      </w:r>
    </w:p>
    <w:p w14:paraId="7BA8B8E9" w14:textId="77777777" w:rsidR="0050675A" w:rsidRPr="00F13BB6" w:rsidRDefault="0050675A" w:rsidP="0050675A">
      <w:pPr>
        <w:pStyle w:val="NormalHanging12a"/>
        <w:jc w:val="center"/>
      </w:pPr>
      <w:r w:rsidRPr="00F13BB6">
        <w:t>°</w:t>
      </w:r>
    </w:p>
    <w:p w14:paraId="12CABD9B" w14:textId="77777777" w:rsidR="0050675A" w:rsidRPr="00F13BB6" w:rsidRDefault="0050675A" w:rsidP="0050675A">
      <w:pPr>
        <w:pStyle w:val="NormalHanging12a"/>
        <w:jc w:val="center"/>
      </w:pPr>
      <w:r w:rsidRPr="00F13BB6">
        <w:t>°</w:t>
      </w:r>
      <w:r w:rsidRPr="00F13BB6">
        <w:tab/>
        <w:t>°</w:t>
      </w:r>
    </w:p>
    <w:p w14:paraId="06D899A3" w14:textId="6C030C0B" w:rsidR="00816346" w:rsidRPr="00816346" w:rsidRDefault="0050675A" w:rsidP="00816346">
      <w:pPr>
        <w:pStyle w:val="CM1"/>
        <w:spacing w:before="120" w:after="120"/>
        <w:ind w:left="567" w:hanging="567"/>
      </w:pPr>
      <w:r w:rsidRPr="00F13BB6">
        <w:rPr>
          <w:rFonts w:ascii="Times New Roman" w:hAnsi="Times New Roman"/>
          <w:snapToGrid w:val="0"/>
        </w:rPr>
        <w:t>26.</w:t>
      </w:r>
      <w:r w:rsidRPr="00F13BB6">
        <w:rPr>
          <w:rFonts w:ascii="Times New Roman" w:hAnsi="Times New Roman"/>
          <w:snapToGrid w:val="0"/>
        </w:rPr>
        <w:tab/>
        <w:t>egyéb észrevételei tekintetében utal az Európai Unió ügynökségei költségvetésének végrehajtására vonatkozó mentesítésről szóló határozatok szerves részét képező megjegyzéseket tartalmazó, 2025. május 7-i állásfoglalására</w:t>
      </w:r>
      <w:r w:rsidRPr="00F13BB6">
        <w:rPr>
          <w:rStyle w:val="FootnoteReference"/>
          <w:rFonts w:ascii="Times New Roman" w:hAnsi="Times New Roman"/>
          <w:snapToGrid w:val="0"/>
        </w:rPr>
        <w:footnoteReference w:id="18"/>
      </w:r>
      <w:r w:rsidRPr="00F13BB6">
        <w:rPr>
          <w:rFonts w:ascii="Times New Roman" w:hAnsi="Times New Roman"/>
          <w:snapToGrid w:val="0"/>
        </w:rPr>
        <w:t>.</w:t>
      </w:r>
    </w:p>
    <w:p w14:paraId="500698AC" w14:textId="73F62535" w:rsidR="00E365E1" w:rsidRPr="00816346" w:rsidRDefault="00E365E1" w:rsidP="0070009E"/>
    <w:sectPr w:rsidR="00E365E1" w:rsidRPr="00816346" w:rsidSect="00816346">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343DA" w14:textId="77777777" w:rsidR="0070009E" w:rsidRPr="00816346" w:rsidRDefault="0070009E">
      <w:r w:rsidRPr="00816346">
        <w:separator/>
      </w:r>
    </w:p>
  </w:endnote>
  <w:endnote w:type="continuationSeparator" w:id="0">
    <w:p w14:paraId="3902AA15" w14:textId="77777777" w:rsidR="0070009E" w:rsidRPr="00816346" w:rsidRDefault="0070009E">
      <w:r w:rsidRPr="008163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7B97E" w14:textId="77777777" w:rsidR="00816346" w:rsidRPr="00816346" w:rsidRDefault="00816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1FBC7" w14:textId="77777777" w:rsidR="00816346" w:rsidRPr="00816346" w:rsidRDefault="008163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D417D" w14:textId="77777777" w:rsidR="0050675A" w:rsidRPr="00816346" w:rsidRDefault="0050675A" w:rsidP="00806EEE">
    <w:pPr>
      <w:pStyle w:val="EPFooter"/>
    </w:pPr>
    <w:r w:rsidRPr="00816346">
      <w:rPr>
        <w:rStyle w:val="HideTWBExt"/>
      </w:rPr>
      <w:t>&lt;PathFdR&gt;</w:t>
    </w:r>
    <w:r w:rsidRPr="00816346">
      <w:t>PR\1321847EN.docx</w:t>
    </w:r>
    <w:r w:rsidRPr="00816346">
      <w:rPr>
        <w:rStyle w:val="HideTWBExt"/>
      </w:rPr>
      <w:t>&lt;/PathFdR&gt;</w:t>
    </w:r>
    <w:r w:rsidRPr="00816346">
      <w:tab/>
    </w:r>
    <w:r w:rsidRPr="00816346">
      <w:fldChar w:fldCharType="begin"/>
    </w:r>
    <w:r w:rsidRPr="00816346">
      <w:instrText xml:space="preserve"> PAGE </w:instrText>
    </w:r>
    <w:r w:rsidRPr="00816346">
      <w:fldChar w:fldCharType="separate"/>
    </w:r>
    <w:r w:rsidRPr="00816346">
      <w:rPr>
        <w:noProof/>
      </w:rPr>
      <w:t>4</w:t>
    </w:r>
    <w:r w:rsidRPr="00816346">
      <w:fldChar w:fldCharType="end"/>
    </w:r>
    <w:r w:rsidRPr="00816346">
      <w:t>/</w:t>
    </w:r>
    <w:r w:rsidRPr="00816346">
      <w:fldChar w:fldCharType="begin"/>
    </w:r>
    <w:r w:rsidRPr="00816346">
      <w:instrText xml:space="preserve"> NUMPAGES </w:instrText>
    </w:r>
    <w:r w:rsidRPr="00816346">
      <w:fldChar w:fldCharType="separate"/>
    </w:r>
    <w:r w:rsidRPr="00816346">
      <w:rPr>
        <w:noProof/>
      </w:rPr>
      <w:t>15</w:t>
    </w:r>
    <w:r w:rsidRPr="00816346">
      <w:rPr>
        <w:noProof/>
      </w:rPr>
      <w:fldChar w:fldCharType="end"/>
    </w:r>
    <w:r w:rsidRPr="00816346">
      <w:tab/>
      <w:t>PE</w:t>
    </w:r>
    <w:r w:rsidRPr="00816346">
      <w:rPr>
        <w:rStyle w:val="HideTWBExt"/>
      </w:rPr>
      <w:t>&lt;NoPE&gt;</w:t>
    </w:r>
    <w:r w:rsidRPr="00816346">
      <w:t>774.259</w:t>
    </w:r>
    <w:r w:rsidRPr="00816346">
      <w:rPr>
        <w:rStyle w:val="HideTWBExt"/>
      </w:rPr>
      <w:t>&lt;/NoPE&gt;&lt;Version&gt;</w:t>
    </w:r>
    <w:r w:rsidRPr="00816346">
      <w:t>v01-00</w:t>
    </w:r>
    <w:r w:rsidRPr="00816346">
      <w:rPr>
        <w:rStyle w:val="HideTWBExt"/>
      </w:rPr>
      <w:t>&lt;/Version&gt;</w:t>
    </w:r>
  </w:p>
  <w:p w14:paraId="3B7628BC" w14:textId="77777777" w:rsidR="0050675A" w:rsidRPr="00816346" w:rsidRDefault="0050675A" w:rsidP="00806EEE">
    <w:pPr>
      <w:pStyle w:val="EPFooter2"/>
    </w:pPr>
    <w:r w:rsidRPr="00816346">
      <w:tab/>
    </w:r>
    <w:r w:rsidRPr="00816346">
      <w:tab/>
    </w:r>
    <w:r w:rsidRPr="00816346">
      <w:fldChar w:fldCharType="begin"/>
    </w:r>
    <w:r w:rsidRPr="00816346">
      <w:instrText xml:space="preserve"> DOCPROPERTY "&lt;Extension&gt;" </w:instrText>
    </w:r>
    <w:r w:rsidRPr="00816346">
      <w:fldChar w:fldCharType="separate"/>
    </w:r>
    <w:r w:rsidRPr="00816346">
      <w:t>HU</w:t>
    </w:r>
    <w:r w:rsidRPr="00816346">
      <w:fldChar w:fldCharType="end"/>
    </w:r>
  </w:p>
  <w:p w14:paraId="3F058359" w14:textId="77777777" w:rsidR="0050675A" w:rsidRPr="00816346" w:rsidRDefault="0050675A"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26D1A" w14:textId="77777777" w:rsidR="0050675A" w:rsidRPr="00816346" w:rsidRDefault="0050675A" w:rsidP="00806EEE">
    <w:pPr>
      <w:pStyle w:val="EPFooter"/>
    </w:pPr>
    <w:r w:rsidRPr="00816346">
      <w:rPr>
        <w:rStyle w:val="HideTWBExt"/>
        <w:rFonts w:eastAsiaTheme="majorEastAsia"/>
      </w:rPr>
      <w:t>&lt;PathFdR&gt;</w:t>
    </w:r>
    <w:r w:rsidRPr="00816346">
      <w:t>PR\1321847EN.docx</w:t>
    </w:r>
    <w:r w:rsidRPr="00816346">
      <w:rPr>
        <w:rStyle w:val="HideTWBExt"/>
        <w:rFonts w:eastAsiaTheme="majorEastAsia"/>
      </w:rPr>
      <w:t>&lt;/PathFdR&gt;</w:t>
    </w:r>
    <w:r w:rsidRPr="00816346">
      <w:tab/>
    </w:r>
    <w:r w:rsidRPr="00816346">
      <w:fldChar w:fldCharType="begin"/>
    </w:r>
    <w:r w:rsidRPr="00816346">
      <w:instrText xml:space="preserve"> PAGE </w:instrText>
    </w:r>
    <w:r w:rsidRPr="00816346">
      <w:fldChar w:fldCharType="separate"/>
    </w:r>
    <w:r w:rsidRPr="00816346">
      <w:rPr>
        <w:noProof/>
      </w:rPr>
      <w:t>6</w:t>
    </w:r>
    <w:r w:rsidRPr="00816346">
      <w:fldChar w:fldCharType="end"/>
    </w:r>
    <w:r w:rsidRPr="00816346">
      <w:t>/</w:t>
    </w:r>
    <w:r w:rsidRPr="00816346">
      <w:fldChar w:fldCharType="begin"/>
    </w:r>
    <w:r w:rsidRPr="00816346">
      <w:instrText xml:space="preserve"> NUMPAGES </w:instrText>
    </w:r>
    <w:r w:rsidRPr="00816346">
      <w:fldChar w:fldCharType="separate"/>
    </w:r>
    <w:r w:rsidRPr="00816346">
      <w:rPr>
        <w:noProof/>
      </w:rPr>
      <w:t>15</w:t>
    </w:r>
    <w:r w:rsidRPr="00816346">
      <w:rPr>
        <w:noProof/>
      </w:rPr>
      <w:fldChar w:fldCharType="end"/>
    </w:r>
    <w:r w:rsidRPr="00816346">
      <w:tab/>
      <w:t>PE</w:t>
    </w:r>
    <w:r w:rsidRPr="00816346">
      <w:rPr>
        <w:rStyle w:val="HideTWBExt"/>
        <w:rFonts w:eastAsiaTheme="majorEastAsia"/>
      </w:rPr>
      <w:t>&lt;NoPE&gt;</w:t>
    </w:r>
    <w:r w:rsidRPr="00816346">
      <w:t>774.259</w:t>
    </w:r>
    <w:r w:rsidRPr="00816346">
      <w:rPr>
        <w:rStyle w:val="HideTWBExt"/>
        <w:rFonts w:eastAsiaTheme="majorEastAsia"/>
      </w:rPr>
      <w:t>&lt;/NoPE&gt;&lt;Version&gt;</w:t>
    </w:r>
    <w:r w:rsidRPr="00816346">
      <w:t>v01-00</w:t>
    </w:r>
    <w:r w:rsidRPr="00816346">
      <w:rPr>
        <w:rStyle w:val="HideTWBExt"/>
        <w:rFonts w:eastAsiaTheme="majorEastAsia"/>
      </w:rPr>
      <w:t>&lt;/Version&gt;</w:t>
    </w:r>
  </w:p>
  <w:p w14:paraId="58403D16" w14:textId="77777777" w:rsidR="0050675A" w:rsidRPr="00816346" w:rsidRDefault="0050675A" w:rsidP="00806EEE">
    <w:pPr>
      <w:pStyle w:val="EPFooter2"/>
    </w:pPr>
    <w:r w:rsidRPr="00816346">
      <w:tab/>
    </w:r>
    <w:r w:rsidRPr="00816346">
      <w:tab/>
    </w:r>
    <w:r w:rsidRPr="00816346">
      <w:fldChar w:fldCharType="begin"/>
    </w:r>
    <w:r w:rsidRPr="00816346">
      <w:instrText xml:space="preserve"> DOCPROPERTY "&lt;Extension&gt;" </w:instrText>
    </w:r>
    <w:r w:rsidRPr="00816346">
      <w:fldChar w:fldCharType="separate"/>
    </w:r>
    <w:r w:rsidRPr="00816346">
      <w:t>HU</w:t>
    </w:r>
    <w:r w:rsidRPr="00816346">
      <w:fldChar w:fldCharType="end"/>
    </w:r>
  </w:p>
  <w:p w14:paraId="33744923" w14:textId="77777777" w:rsidR="0050675A" w:rsidRPr="00816346" w:rsidRDefault="0050675A"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14ECE" w14:textId="77777777" w:rsidR="00064002" w:rsidRPr="0081634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85621" w14:textId="77777777" w:rsidR="00064002" w:rsidRPr="00816346"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B022D" w14:textId="77777777" w:rsidR="00064002" w:rsidRPr="008163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684C8" w14:textId="77777777" w:rsidR="0070009E" w:rsidRPr="00816346" w:rsidRDefault="0070009E">
      <w:r w:rsidRPr="00816346">
        <w:separator/>
      </w:r>
    </w:p>
  </w:footnote>
  <w:footnote w:type="continuationSeparator" w:id="0">
    <w:p w14:paraId="2C2FD266" w14:textId="77777777" w:rsidR="0070009E" w:rsidRPr="00816346" w:rsidRDefault="0070009E">
      <w:r w:rsidRPr="00816346">
        <w:continuationSeparator/>
      </w:r>
    </w:p>
  </w:footnote>
  <w:footnote w:id="1">
    <w:p w14:paraId="68A00D89" w14:textId="776D24FE"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C, C/2024/6332, 2024.10.24., ELI: </w:t>
      </w:r>
      <w:hyperlink r:id="rId1" w:history="1">
        <w:r w:rsidRPr="00FC2176">
          <w:rPr>
            <w:rStyle w:val="Hyperlink"/>
            <w:sz w:val="24"/>
            <w:szCs w:val="24"/>
            <w:lang w:val="hu-HU"/>
          </w:rPr>
          <w:t>http://data.europa.eu/eli/C/2024/6332/oj</w:t>
        </w:r>
      </w:hyperlink>
      <w:r w:rsidRPr="00FC2176">
        <w:rPr>
          <w:sz w:val="24"/>
          <w:szCs w:val="24"/>
          <w:lang w:val="hu-HU"/>
        </w:rPr>
        <w:t>.</w:t>
      </w:r>
    </w:p>
  </w:footnote>
  <w:footnote w:id="2">
    <w:p w14:paraId="5F341D3B" w14:textId="45B2E9AC"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C, C/2024/6041, 2024.10.10., ELI: </w:t>
      </w:r>
      <w:hyperlink r:id="rId2" w:history="1">
        <w:r w:rsidRPr="00FC2176">
          <w:rPr>
            <w:rStyle w:val="Hyperlink"/>
            <w:sz w:val="24"/>
            <w:szCs w:val="24"/>
            <w:lang w:val="hu-HU"/>
          </w:rPr>
          <w:t>http://data.europa.eu/eli/C/2024/6041/oj</w:t>
        </w:r>
      </w:hyperlink>
      <w:r w:rsidRPr="00FC2176">
        <w:rPr>
          <w:sz w:val="24"/>
          <w:szCs w:val="24"/>
          <w:lang w:val="hu-HU"/>
        </w:rPr>
        <w:t>.</w:t>
      </w:r>
    </w:p>
  </w:footnote>
  <w:footnote w:id="3">
    <w:p w14:paraId="6D523FD1" w14:textId="62AB2917"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001D29C8">
        <w:rPr>
          <w:sz w:val="24"/>
          <w:szCs w:val="24"/>
          <w:lang w:val="hu-HU"/>
        </w:rPr>
        <w:t xml:space="preserve">HL </w:t>
      </w:r>
      <w:r w:rsidR="001D29C8" w:rsidRPr="001D29C8">
        <w:rPr>
          <w:sz w:val="24"/>
          <w:szCs w:val="24"/>
          <w:lang w:val="hu-HU"/>
        </w:rPr>
        <w:t>L, 2025/16</w:t>
      </w:r>
      <w:r w:rsidR="00D04DE0">
        <w:rPr>
          <w:sz w:val="24"/>
          <w:szCs w:val="24"/>
          <w:lang w:val="hu-HU"/>
        </w:rPr>
        <w:t>63</w:t>
      </w:r>
      <w:r w:rsidR="001D29C8" w:rsidRPr="001D29C8">
        <w:rPr>
          <w:sz w:val="24"/>
          <w:szCs w:val="24"/>
          <w:lang w:val="hu-HU"/>
        </w:rPr>
        <w:t xml:space="preserve">, </w:t>
      </w:r>
      <w:r w:rsidR="001D29C8">
        <w:rPr>
          <w:sz w:val="24"/>
          <w:szCs w:val="24"/>
          <w:lang w:val="hu-HU"/>
        </w:rPr>
        <w:t>2025.10.</w:t>
      </w:r>
      <w:r w:rsidR="001D29C8" w:rsidRPr="001D29C8">
        <w:rPr>
          <w:sz w:val="24"/>
          <w:szCs w:val="24"/>
          <w:lang w:val="hu-HU"/>
        </w:rPr>
        <w:t>8., ELI</w:t>
      </w:r>
      <w:r w:rsidR="001D29C8" w:rsidRPr="00D04DE0">
        <w:rPr>
          <w:sz w:val="24"/>
          <w:szCs w:val="24"/>
          <w:lang w:val="hu-HU"/>
        </w:rPr>
        <w:t xml:space="preserve">: </w:t>
      </w:r>
      <w:hyperlink r:id="rId3" w:tgtFrame="_blank" w:tooltip="Gives access to this document through its ELI URI." w:history="1">
        <w:r w:rsidR="00D04DE0" w:rsidRPr="00D04DE0">
          <w:rPr>
            <w:rStyle w:val="Hyperlink"/>
            <w:sz w:val="24"/>
            <w:szCs w:val="24"/>
            <w:lang w:val="fi-FI"/>
          </w:rPr>
          <w:t>http://data.europa.eu/eli/dec/2025/1663/oj</w:t>
        </w:r>
      </w:hyperlink>
      <w:r w:rsidRPr="00D04DE0">
        <w:rPr>
          <w:sz w:val="24"/>
          <w:szCs w:val="24"/>
          <w:lang w:val="hu-HU"/>
        </w:rPr>
        <w:t>.</w:t>
      </w:r>
    </w:p>
  </w:footnote>
  <w:footnote w:id="4">
    <w:p w14:paraId="07671789" w14:textId="67C8EC02"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193., 2018.7.30., 1. o., ELI: </w:t>
      </w:r>
      <w:hyperlink r:id="rId4" w:history="1">
        <w:r w:rsidRPr="00FC2176">
          <w:rPr>
            <w:rStyle w:val="Hyperlink"/>
            <w:sz w:val="24"/>
            <w:szCs w:val="24"/>
            <w:lang w:val="hu-HU"/>
          </w:rPr>
          <w:t>http://data.europa.eu/eli/reg/2018/1046/oj</w:t>
        </w:r>
      </w:hyperlink>
      <w:r w:rsidRPr="00FC2176">
        <w:rPr>
          <w:sz w:val="24"/>
          <w:szCs w:val="24"/>
          <w:lang w:val="hu-HU"/>
        </w:rPr>
        <w:t>.</w:t>
      </w:r>
    </w:p>
  </w:footnote>
  <w:footnote w:id="5">
    <w:p w14:paraId="18FE97BF" w14:textId="4AAFD928"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2024/2509, 2024.9.26., ELI: </w:t>
      </w:r>
      <w:hyperlink r:id="rId5" w:history="1">
        <w:r w:rsidRPr="00FC2176">
          <w:rPr>
            <w:rStyle w:val="Hyperlink"/>
            <w:sz w:val="24"/>
            <w:szCs w:val="24"/>
            <w:lang w:val="hu-HU"/>
          </w:rPr>
          <w:t>http://data.europa.eu/eli/reg/2024/2509/oj</w:t>
        </w:r>
      </w:hyperlink>
      <w:r w:rsidRPr="00FC2176">
        <w:rPr>
          <w:sz w:val="24"/>
          <w:szCs w:val="24"/>
          <w:lang w:val="hu-HU"/>
        </w:rPr>
        <w:t>.</w:t>
      </w:r>
    </w:p>
  </w:footnote>
  <w:footnote w:id="6">
    <w:p w14:paraId="7A103DF8" w14:textId="1B77E51E"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132., 2010.5.29., 11. o., ELI: </w:t>
      </w:r>
      <w:hyperlink r:id="rId6" w:history="1">
        <w:r w:rsidRPr="00FC2176">
          <w:rPr>
            <w:rStyle w:val="Hyperlink"/>
            <w:sz w:val="24"/>
            <w:szCs w:val="24"/>
            <w:lang w:val="hu-HU"/>
          </w:rPr>
          <w:t>http://data.europa.eu/eli/reg/2010/439/oj</w:t>
        </w:r>
      </w:hyperlink>
      <w:r w:rsidRPr="00FC2176">
        <w:rPr>
          <w:sz w:val="24"/>
          <w:szCs w:val="24"/>
          <w:lang w:val="hu-HU"/>
        </w:rPr>
        <w:t>.</w:t>
      </w:r>
    </w:p>
  </w:footnote>
  <w:footnote w:id="7">
    <w:p w14:paraId="5C264D27" w14:textId="6F86D9B3"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468., 2021.12.30., 1. o., ELI: </w:t>
      </w:r>
      <w:hyperlink r:id="rId7" w:history="1">
        <w:r w:rsidRPr="00FC2176">
          <w:rPr>
            <w:rStyle w:val="Hyperlink"/>
            <w:sz w:val="24"/>
            <w:szCs w:val="24"/>
            <w:lang w:val="hu-HU"/>
          </w:rPr>
          <w:t>http://data.europa.eu/eli/reg/2021/2303/oj</w:t>
        </w:r>
      </w:hyperlink>
      <w:r w:rsidRPr="00FC2176">
        <w:rPr>
          <w:sz w:val="24"/>
          <w:szCs w:val="24"/>
          <w:lang w:val="hu-HU"/>
        </w:rPr>
        <w:t>.</w:t>
      </w:r>
    </w:p>
  </w:footnote>
  <w:footnote w:id="8">
    <w:p w14:paraId="446AA6F6" w14:textId="63266888"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122., 2019.5.10., 1. o., ELI: </w:t>
      </w:r>
      <w:hyperlink r:id="rId8" w:history="1">
        <w:r w:rsidRPr="00FC2176">
          <w:rPr>
            <w:rStyle w:val="Hyperlink"/>
            <w:sz w:val="24"/>
            <w:szCs w:val="24"/>
            <w:lang w:val="hu-HU"/>
          </w:rPr>
          <w:t>http://data.europa.eu/eli/reg_del/2019/715/oj</w:t>
        </w:r>
      </w:hyperlink>
      <w:r w:rsidRPr="00FC2176">
        <w:rPr>
          <w:sz w:val="24"/>
          <w:szCs w:val="24"/>
          <w:lang w:val="hu-HU"/>
        </w:rPr>
        <w:t>.</w:t>
      </w:r>
    </w:p>
  </w:footnote>
  <w:footnote w:id="9">
    <w:p w14:paraId="4A940462" w14:textId="31B1EFDC"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C, C/2024/6332, 2024.10.24., ELI: </w:t>
      </w:r>
      <w:hyperlink r:id="rId9" w:history="1">
        <w:r w:rsidRPr="00FC2176">
          <w:rPr>
            <w:rStyle w:val="Hyperlink"/>
            <w:sz w:val="24"/>
            <w:szCs w:val="24"/>
            <w:lang w:val="hu-HU"/>
          </w:rPr>
          <w:t>http://data.europa.eu/eli/C/2024/6332/oj</w:t>
        </w:r>
      </w:hyperlink>
      <w:r w:rsidRPr="00FC2176">
        <w:rPr>
          <w:sz w:val="24"/>
          <w:szCs w:val="24"/>
          <w:lang w:val="hu-HU"/>
        </w:rPr>
        <w:t>.</w:t>
      </w:r>
    </w:p>
  </w:footnote>
  <w:footnote w:id="10">
    <w:p w14:paraId="2B78F55A" w14:textId="7A980309"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C, C/2024/6041, 2024.10.10., ELI: </w:t>
      </w:r>
      <w:hyperlink r:id="rId10" w:history="1">
        <w:r w:rsidRPr="00FC2176">
          <w:rPr>
            <w:rStyle w:val="Hyperlink"/>
            <w:sz w:val="24"/>
            <w:szCs w:val="24"/>
            <w:lang w:val="hu-HU"/>
          </w:rPr>
          <w:t>http://data.europa.eu/eli/C/2024/6041/oj</w:t>
        </w:r>
      </w:hyperlink>
      <w:r w:rsidRPr="00FC2176">
        <w:rPr>
          <w:sz w:val="24"/>
          <w:szCs w:val="24"/>
          <w:lang w:val="hu-HU"/>
        </w:rPr>
        <w:t>.</w:t>
      </w:r>
    </w:p>
  </w:footnote>
  <w:footnote w:id="11">
    <w:p w14:paraId="5A6937B0" w14:textId="147B9AAF" w:rsidR="0050675A" w:rsidRPr="00D04DE0" w:rsidRDefault="0050675A" w:rsidP="00FC2176">
      <w:pPr>
        <w:pStyle w:val="FootnoteText"/>
        <w:ind w:left="567" w:hanging="567"/>
        <w:rPr>
          <w:sz w:val="24"/>
          <w:szCs w:val="24"/>
          <w:lang w:val="fi-FI"/>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00907017">
        <w:rPr>
          <w:sz w:val="24"/>
          <w:szCs w:val="24"/>
          <w:lang w:val="hu-HU"/>
        </w:rPr>
        <w:t xml:space="preserve">HL </w:t>
      </w:r>
      <w:r w:rsidR="00907017" w:rsidRPr="001D29C8">
        <w:rPr>
          <w:sz w:val="24"/>
          <w:szCs w:val="24"/>
          <w:lang w:val="hu-HU"/>
        </w:rPr>
        <w:t>L, 2025/16</w:t>
      </w:r>
      <w:r w:rsidR="00D04DE0">
        <w:rPr>
          <w:sz w:val="24"/>
          <w:szCs w:val="24"/>
          <w:lang w:val="hu-HU"/>
        </w:rPr>
        <w:t>63</w:t>
      </w:r>
      <w:r w:rsidR="00907017" w:rsidRPr="001D29C8">
        <w:rPr>
          <w:sz w:val="24"/>
          <w:szCs w:val="24"/>
          <w:lang w:val="hu-HU"/>
        </w:rPr>
        <w:t xml:space="preserve">, </w:t>
      </w:r>
      <w:r w:rsidR="00907017">
        <w:rPr>
          <w:sz w:val="24"/>
          <w:szCs w:val="24"/>
          <w:lang w:val="hu-HU"/>
        </w:rPr>
        <w:t>2025.10.</w:t>
      </w:r>
      <w:r w:rsidR="00907017" w:rsidRPr="001D29C8">
        <w:rPr>
          <w:sz w:val="24"/>
          <w:szCs w:val="24"/>
          <w:lang w:val="hu-HU"/>
        </w:rPr>
        <w:t xml:space="preserve">8., ELI: </w:t>
      </w:r>
      <w:hyperlink r:id="rId11" w:tgtFrame="_blank" w:tooltip="Gives access to this document through its ELI URI." w:history="1">
        <w:r w:rsidR="00D04DE0" w:rsidRPr="00D04DE0">
          <w:rPr>
            <w:rStyle w:val="Hyperlink"/>
            <w:sz w:val="24"/>
            <w:szCs w:val="24"/>
            <w:lang w:val="fi-FI"/>
          </w:rPr>
          <w:t>http://data.europa.eu/eli/dec/2025/1663/oj</w:t>
        </w:r>
      </w:hyperlink>
      <w:r w:rsidR="00D04DE0" w:rsidRPr="00D04DE0">
        <w:rPr>
          <w:sz w:val="24"/>
          <w:lang w:val="fi-FI"/>
        </w:rPr>
        <w:t>.</w:t>
      </w:r>
    </w:p>
  </w:footnote>
  <w:footnote w:id="12">
    <w:p w14:paraId="118A4B68" w14:textId="507E5F96"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193., 2018.7.30., 1. o., ELI: </w:t>
      </w:r>
      <w:hyperlink r:id="rId12" w:history="1">
        <w:r w:rsidRPr="00FC2176">
          <w:rPr>
            <w:rStyle w:val="Hyperlink"/>
            <w:sz w:val="24"/>
            <w:szCs w:val="24"/>
            <w:lang w:val="hu-HU"/>
          </w:rPr>
          <w:t>http://data.europa.eu/eli/reg/2018/1046/oj</w:t>
        </w:r>
      </w:hyperlink>
      <w:r w:rsidRPr="00FC2176">
        <w:rPr>
          <w:sz w:val="24"/>
          <w:szCs w:val="24"/>
          <w:lang w:val="hu-HU"/>
        </w:rPr>
        <w:t>.</w:t>
      </w:r>
    </w:p>
  </w:footnote>
  <w:footnote w:id="13">
    <w:p w14:paraId="017BA0EA" w14:textId="1899E8D6"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2024/2509, 2024.9.26., ELI: </w:t>
      </w:r>
      <w:hyperlink r:id="rId13" w:history="1">
        <w:r w:rsidRPr="00FC2176">
          <w:rPr>
            <w:rStyle w:val="Hyperlink"/>
            <w:sz w:val="24"/>
            <w:szCs w:val="24"/>
            <w:lang w:val="hu-HU"/>
          </w:rPr>
          <w:t>http://data.europa.eu/eli/reg/2024/2509/oj</w:t>
        </w:r>
      </w:hyperlink>
      <w:r w:rsidRPr="00FC2176">
        <w:rPr>
          <w:sz w:val="24"/>
          <w:szCs w:val="24"/>
          <w:lang w:val="hu-HU"/>
        </w:rPr>
        <w:t>.</w:t>
      </w:r>
    </w:p>
  </w:footnote>
  <w:footnote w:id="14">
    <w:p w14:paraId="7ED8D319" w14:textId="279F1B90"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132., 2010.5.29., 11. o., ELI: </w:t>
      </w:r>
      <w:hyperlink r:id="rId14" w:history="1">
        <w:r w:rsidRPr="00FC2176">
          <w:rPr>
            <w:rStyle w:val="Hyperlink"/>
            <w:sz w:val="24"/>
            <w:szCs w:val="24"/>
            <w:lang w:val="hu-HU"/>
          </w:rPr>
          <w:t>http://data.europa.eu/eli/reg/2010/439/oj</w:t>
        </w:r>
      </w:hyperlink>
      <w:r w:rsidRPr="00FC2176">
        <w:rPr>
          <w:sz w:val="24"/>
          <w:szCs w:val="24"/>
          <w:lang w:val="hu-HU"/>
        </w:rPr>
        <w:t>.</w:t>
      </w:r>
    </w:p>
  </w:footnote>
  <w:footnote w:id="15">
    <w:p w14:paraId="5F2758B9" w14:textId="475CDA07"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468., 2021.12.30., 1. o., ELI: </w:t>
      </w:r>
      <w:hyperlink r:id="rId15" w:history="1">
        <w:r w:rsidRPr="00FC2176">
          <w:rPr>
            <w:rStyle w:val="Hyperlink"/>
            <w:sz w:val="24"/>
            <w:szCs w:val="24"/>
            <w:lang w:val="hu-HU"/>
          </w:rPr>
          <w:t>http://data.europa.eu/eli/reg/2021/2303/oj</w:t>
        </w:r>
      </w:hyperlink>
      <w:r w:rsidRPr="00FC2176">
        <w:rPr>
          <w:sz w:val="24"/>
          <w:szCs w:val="24"/>
          <w:lang w:val="hu-HU"/>
        </w:rPr>
        <w:t>.</w:t>
      </w:r>
    </w:p>
  </w:footnote>
  <w:footnote w:id="16">
    <w:p w14:paraId="03839324" w14:textId="377BF7ED"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Pr="00FC2176">
        <w:rPr>
          <w:sz w:val="24"/>
          <w:szCs w:val="24"/>
          <w:lang w:val="hu-HU"/>
        </w:rPr>
        <w:t xml:space="preserve">HL L 122., 2019.5.10., 1. o., ELI: </w:t>
      </w:r>
      <w:hyperlink r:id="rId16" w:history="1">
        <w:r w:rsidRPr="00FC2176">
          <w:rPr>
            <w:rStyle w:val="Hyperlink"/>
            <w:sz w:val="24"/>
            <w:szCs w:val="24"/>
            <w:lang w:val="hu-HU"/>
          </w:rPr>
          <w:t>http://data.europa.eu/eli/reg_del/2019/715/oj</w:t>
        </w:r>
      </w:hyperlink>
      <w:r w:rsidRPr="00FC2176">
        <w:rPr>
          <w:sz w:val="24"/>
          <w:szCs w:val="24"/>
          <w:lang w:val="hu-HU"/>
        </w:rPr>
        <w:t>.</w:t>
      </w:r>
    </w:p>
  </w:footnote>
  <w:footnote w:id="17">
    <w:p w14:paraId="191B89BE" w14:textId="728DAAE0" w:rsidR="00FC2176" w:rsidRPr="00F13BB6" w:rsidRDefault="00FC2176" w:rsidP="00F13BB6">
      <w:pPr>
        <w:pStyle w:val="FootnoteText"/>
        <w:ind w:left="567" w:hanging="567"/>
        <w:rPr>
          <w:sz w:val="24"/>
          <w:szCs w:val="24"/>
          <w:lang w:val="hu-HU"/>
        </w:rPr>
      </w:pPr>
      <w:r w:rsidRPr="00F13BB6">
        <w:rPr>
          <w:rStyle w:val="FootnoteReference"/>
          <w:sz w:val="24"/>
          <w:szCs w:val="24"/>
        </w:rPr>
        <w:footnoteRef/>
      </w:r>
      <w:r w:rsidRPr="00F13BB6">
        <w:rPr>
          <w:sz w:val="24"/>
          <w:szCs w:val="24"/>
          <w:lang w:val="hu-HU"/>
        </w:rPr>
        <w:t xml:space="preserve"> </w:t>
      </w:r>
      <w:r w:rsidRPr="00F13BB6">
        <w:rPr>
          <w:sz w:val="24"/>
          <w:szCs w:val="24"/>
          <w:lang w:val="hu-HU"/>
        </w:rPr>
        <w:tab/>
        <w:t>Az Európai Parlament és a Tanács (EU) 2021/2303 rendelete (2021. december 15.) az Európai Unió Menekültügyi Ügynökségéről és a 439/2010/EU rendelet hatályon kívül helyezéséről (HL L 468</w:t>
      </w:r>
      <w:r>
        <w:rPr>
          <w:sz w:val="24"/>
          <w:szCs w:val="24"/>
          <w:lang w:val="hu-HU"/>
        </w:rPr>
        <w:t>.</w:t>
      </w:r>
      <w:r w:rsidRPr="00F13BB6">
        <w:rPr>
          <w:sz w:val="24"/>
          <w:szCs w:val="24"/>
          <w:lang w:val="hu-HU"/>
        </w:rPr>
        <w:t xml:space="preserve">, </w:t>
      </w:r>
      <w:r>
        <w:rPr>
          <w:sz w:val="24"/>
          <w:szCs w:val="24"/>
          <w:lang w:val="hu-HU"/>
        </w:rPr>
        <w:t>2021.12.</w:t>
      </w:r>
      <w:r w:rsidRPr="00F13BB6">
        <w:rPr>
          <w:sz w:val="24"/>
          <w:szCs w:val="24"/>
          <w:lang w:val="hu-HU"/>
        </w:rPr>
        <w:t>30., 1</w:t>
      </w:r>
      <w:r>
        <w:rPr>
          <w:sz w:val="24"/>
          <w:szCs w:val="24"/>
          <w:lang w:val="hu-HU"/>
        </w:rPr>
        <w:t>. o.</w:t>
      </w:r>
      <w:r w:rsidRPr="00F13BB6">
        <w:rPr>
          <w:sz w:val="24"/>
          <w:szCs w:val="24"/>
          <w:lang w:val="hu-HU"/>
        </w:rPr>
        <w:t xml:space="preserve">, ELI: </w:t>
      </w:r>
      <w:hyperlink r:id="rId17" w:history="1">
        <w:r w:rsidRPr="00F13BB6">
          <w:rPr>
            <w:rStyle w:val="Hyperlink"/>
            <w:sz w:val="24"/>
            <w:szCs w:val="24"/>
            <w:lang w:val="hu-HU"/>
          </w:rPr>
          <w:t>http://data.europa.eu/eli/reg/2021/2303/oj</w:t>
        </w:r>
      </w:hyperlink>
      <w:r w:rsidRPr="00F13BB6">
        <w:rPr>
          <w:rStyle w:val="Hyperlink"/>
          <w:sz w:val="24"/>
          <w:szCs w:val="24"/>
          <w:lang w:val="hu-HU"/>
        </w:rPr>
        <w:t>).</w:t>
      </w:r>
    </w:p>
  </w:footnote>
  <w:footnote w:id="18">
    <w:p w14:paraId="69B08F10" w14:textId="48EE0463" w:rsidR="0050675A" w:rsidRPr="00FC2176" w:rsidRDefault="0050675A" w:rsidP="00FC2176">
      <w:pPr>
        <w:pStyle w:val="FootnoteText"/>
        <w:ind w:left="567" w:hanging="567"/>
        <w:rPr>
          <w:sz w:val="24"/>
          <w:szCs w:val="24"/>
          <w:lang w:val="hu-HU"/>
        </w:rPr>
      </w:pPr>
      <w:r w:rsidRPr="00FC2176">
        <w:rPr>
          <w:rStyle w:val="FootnoteReference"/>
          <w:sz w:val="24"/>
          <w:szCs w:val="24"/>
          <w:lang w:val="hu-HU"/>
        </w:rPr>
        <w:footnoteRef/>
      </w:r>
      <w:r w:rsidR="00816346" w:rsidRPr="00FC2176">
        <w:rPr>
          <w:sz w:val="24"/>
          <w:szCs w:val="24"/>
          <w:lang w:val="hu-HU"/>
        </w:rPr>
        <w:t xml:space="preserve"> </w:t>
      </w:r>
      <w:r w:rsidR="00816346" w:rsidRPr="00FC2176">
        <w:rPr>
          <w:sz w:val="24"/>
          <w:szCs w:val="24"/>
          <w:lang w:val="hu-HU"/>
        </w:rPr>
        <w:tab/>
      </w:r>
      <w:r w:rsidR="0010199D">
        <w:rPr>
          <w:sz w:val="24"/>
          <w:szCs w:val="24"/>
          <w:lang w:val="hu-HU"/>
        </w:rPr>
        <w:t>HL</w:t>
      </w:r>
      <w:r w:rsidR="0010199D" w:rsidRPr="0010199D">
        <w:rPr>
          <w:sz w:val="24"/>
          <w:szCs w:val="24"/>
          <w:lang w:val="hu-HU"/>
        </w:rPr>
        <w:t xml:space="preserve"> L, 2025/1681, 2025</w:t>
      </w:r>
      <w:r w:rsidR="0010199D">
        <w:rPr>
          <w:sz w:val="24"/>
          <w:szCs w:val="24"/>
          <w:lang w:val="hu-HU"/>
        </w:rPr>
        <w:t>.10.8.</w:t>
      </w:r>
      <w:r w:rsidR="0010199D" w:rsidRPr="0010199D">
        <w:rPr>
          <w:sz w:val="24"/>
          <w:szCs w:val="24"/>
          <w:lang w:val="hu-HU"/>
        </w:rPr>
        <w:t>, ELI: </w:t>
      </w:r>
      <w:hyperlink r:id="rId18" w:tgtFrame="_blank" w:tooltip="Gives access to this document through its ELI URI." w:history="1">
        <w:r w:rsidR="0010199D" w:rsidRPr="0010199D">
          <w:rPr>
            <w:rStyle w:val="Hyperlink"/>
            <w:sz w:val="24"/>
            <w:szCs w:val="24"/>
            <w:lang w:val="hu-HU"/>
          </w:rPr>
          <w:t>http://data.europa.eu/eli/res/2025/1681/oj</w:t>
        </w:r>
      </w:hyperlink>
      <w:r w:rsidR="0010199D" w:rsidRPr="0010199D">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3048D" w14:textId="77777777" w:rsidR="00816346" w:rsidRPr="00816346" w:rsidRDefault="00816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7A774" w14:textId="77777777" w:rsidR="00816346" w:rsidRPr="00816346" w:rsidRDefault="008163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EAF2" w14:textId="77777777" w:rsidR="00816346" w:rsidRPr="00816346" w:rsidRDefault="008163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48C5" w14:textId="77777777" w:rsidR="00064002" w:rsidRPr="0081634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939D" w14:textId="77777777" w:rsidR="00064002" w:rsidRPr="0081634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64CA2" w14:textId="77777777" w:rsidR="00064002" w:rsidRPr="008163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6654473">
    <w:abstractNumId w:val="9"/>
  </w:num>
  <w:num w:numId="2" w16cid:durableId="792792615">
    <w:abstractNumId w:val="9"/>
  </w:num>
  <w:num w:numId="3" w16cid:durableId="1280650080">
    <w:abstractNumId w:val="7"/>
  </w:num>
  <w:num w:numId="4" w16cid:durableId="1545869055">
    <w:abstractNumId w:val="7"/>
  </w:num>
  <w:num w:numId="5" w16cid:durableId="1020743550">
    <w:abstractNumId w:val="6"/>
  </w:num>
  <w:num w:numId="6" w16cid:durableId="754471010">
    <w:abstractNumId w:val="6"/>
  </w:num>
  <w:num w:numId="7" w16cid:durableId="151607533">
    <w:abstractNumId w:val="5"/>
  </w:num>
  <w:num w:numId="8" w16cid:durableId="1789423739">
    <w:abstractNumId w:val="5"/>
  </w:num>
  <w:num w:numId="9" w16cid:durableId="693658212">
    <w:abstractNumId w:val="4"/>
  </w:num>
  <w:num w:numId="10" w16cid:durableId="790436082">
    <w:abstractNumId w:val="4"/>
  </w:num>
  <w:num w:numId="11" w16cid:durableId="1025251599">
    <w:abstractNumId w:val="8"/>
  </w:num>
  <w:num w:numId="12" w16cid:durableId="1910143233">
    <w:abstractNumId w:val="8"/>
  </w:num>
  <w:num w:numId="13" w16cid:durableId="1315524760">
    <w:abstractNumId w:val="3"/>
  </w:num>
  <w:num w:numId="14" w16cid:durableId="47147941">
    <w:abstractNumId w:val="3"/>
  </w:num>
  <w:num w:numId="15" w16cid:durableId="713966769">
    <w:abstractNumId w:val="2"/>
  </w:num>
  <w:num w:numId="16" w16cid:durableId="2016490783">
    <w:abstractNumId w:val="2"/>
  </w:num>
  <w:num w:numId="17" w16cid:durableId="269624464">
    <w:abstractNumId w:val="1"/>
  </w:num>
  <w:num w:numId="18" w16cid:durableId="484584929">
    <w:abstractNumId w:val="1"/>
  </w:num>
  <w:num w:numId="19" w16cid:durableId="2146699207">
    <w:abstractNumId w:val="0"/>
  </w:num>
  <w:num w:numId="20" w16cid:durableId="1838500813">
    <w:abstractNumId w:val="0"/>
  </w:num>
  <w:num w:numId="21" w16cid:durableId="24839081">
    <w:abstractNumId w:val="9"/>
  </w:num>
  <w:num w:numId="22" w16cid:durableId="1237787963">
    <w:abstractNumId w:val="7"/>
  </w:num>
  <w:num w:numId="23" w16cid:durableId="165705431">
    <w:abstractNumId w:val="6"/>
  </w:num>
  <w:num w:numId="24" w16cid:durableId="2081558131">
    <w:abstractNumId w:val="5"/>
  </w:num>
  <w:num w:numId="25" w16cid:durableId="1301183971">
    <w:abstractNumId w:val="4"/>
  </w:num>
  <w:num w:numId="26" w16cid:durableId="1981988">
    <w:abstractNumId w:val="8"/>
  </w:num>
  <w:num w:numId="27" w16cid:durableId="503129851">
    <w:abstractNumId w:val="3"/>
  </w:num>
  <w:num w:numId="28" w16cid:durableId="964695300">
    <w:abstractNumId w:val="2"/>
  </w:num>
  <w:num w:numId="29" w16cid:durableId="25252897">
    <w:abstractNumId w:val="1"/>
  </w:num>
  <w:num w:numId="30" w16cid:durableId="574820854">
    <w:abstractNumId w:val="0"/>
  </w:num>
  <w:num w:numId="31" w16cid:durableId="1094938816">
    <w:abstractNumId w:val="9"/>
  </w:num>
  <w:num w:numId="32" w16cid:durableId="861167042">
    <w:abstractNumId w:val="7"/>
  </w:num>
  <w:num w:numId="33" w16cid:durableId="36010257">
    <w:abstractNumId w:val="6"/>
  </w:num>
  <w:num w:numId="34" w16cid:durableId="1375351183">
    <w:abstractNumId w:val="5"/>
  </w:num>
  <w:num w:numId="35" w16cid:durableId="219948332">
    <w:abstractNumId w:val="4"/>
  </w:num>
  <w:num w:numId="36" w16cid:durableId="864902869">
    <w:abstractNumId w:val="8"/>
  </w:num>
  <w:num w:numId="37" w16cid:durableId="1880169266">
    <w:abstractNumId w:val="3"/>
  </w:num>
  <w:num w:numId="38" w16cid:durableId="1864395309">
    <w:abstractNumId w:val="2"/>
  </w:num>
  <w:num w:numId="39" w16cid:durableId="1803696382">
    <w:abstractNumId w:val="1"/>
  </w:num>
  <w:num w:numId="40" w16cid:durableId="1458721989">
    <w:abstractNumId w:val="0"/>
  </w:num>
  <w:num w:numId="41" w16cid:durableId="471486228">
    <w:abstractNumId w:val="10"/>
  </w:num>
  <w:num w:numId="42" w16cid:durableId="735711907">
    <w:abstractNumId w:val="10"/>
  </w:num>
  <w:num w:numId="43" w16cid:durableId="241573236">
    <w:abstractNumId w:val="10"/>
  </w:num>
  <w:num w:numId="44" w16cid:durableId="344937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HU"/>
    <w:docVar w:name="dvnumam" w:val="0"/>
    <w:docVar w:name="dvpe" w:val="774.259"/>
    <w:docVar w:name="dvrapporteur" w:val="Előadó: "/>
    <w:docVar w:name="dvtitre" w:val="Az Európai Parlament 2025.  ...-i határozata az Európai Unió ügynökségei 2023. évi pénzügyi évre szóló költségvetésének végrehajtására vonatkozó mentesítésről(2024/2030(DEC))"/>
  </w:docVars>
  <w:rsids>
    <w:rsidRoot w:val="0070009E"/>
    <w:rsid w:val="00002272"/>
    <w:rsid w:val="00064002"/>
    <w:rsid w:val="000677B9"/>
    <w:rsid w:val="000831BA"/>
    <w:rsid w:val="000A42CC"/>
    <w:rsid w:val="000E7DD9"/>
    <w:rsid w:val="0010095E"/>
    <w:rsid w:val="0010199D"/>
    <w:rsid w:val="00125B37"/>
    <w:rsid w:val="00147FB6"/>
    <w:rsid w:val="00187494"/>
    <w:rsid w:val="001D29C8"/>
    <w:rsid w:val="001F32AE"/>
    <w:rsid w:val="002767FF"/>
    <w:rsid w:val="002B18FE"/>
    <w:rsid w:val="002B5493"/>
    <w:rsid w:val="00343214"/>
    <w:rsid w:val="00361C00"/>
    <w:rsid w:val="00395FA1"/>
    <w:rsid w:val="003E15D4"/>
    <w:rsid w:val="00411CCE"/>
    <w:rsid w:val="0041666E"/>
    <w:rsid w:val="00421060"/>
    <w:rsid w:val="00471C19"/>
    <w:rsid w:val="00485A2E"/>
    <w:rsid w:val="004867E3"/>
    <w:rsid w:val="00494A28"/>
    <w:rsid w:val="004C0004"/>
    <w:rsid w:val="004C5D52"/>
    <w:rsid w:val="0050519A"/>
    <w:rsid w:val="0050675A"/>
    <w:rsid w:val="005072A1"/>
    <w:rsid w:val="00514517"/>
    <w:rsid w:val="00545827"/>
    <w:rsid w:val="00560270"/>
    <w:rsid w:val="005C2568"/>
    <w:rsid w:val="005E5386"/>
    <w:rsid w:val="005E7AA2"/>
    <w:rsid w:val="005F1B17"/>
    <w:rsid w:val="006037C0"/>
    <w:rsid w:val="006631B6"/>
    <w:rsid w:val="00680577"/>
    <w:rsid w:val="006D32B4"/>
    <w:rsid w:val="006F74FA"/>
    <w:rsid w:val="0070009E"/>
    <w:rsid w:val="00731ADD"/>
    <w:rsid w:val="00734777"/>
    <w:rsid w:val="00747932"/>
    <w:rsid w:val="00751A4A"/>
    <w:rsid w:val="00756632"/>
    <w:rsid w:val="00762C74"/>
    <w:rsid w:val="0078305B"/>
    <w:rsid w:val="00786EC0"/>
    <w:rsid w:val="007D1690"/>
    <w:rsid w:val="007E22AD"/>
    <w:rsid w:val="00816346"/>
    <w:rsid w:val="00817416"/>
    <w:rsid w:val="00842779"/>
    <w:rsid w:val="00865F67"/>
    <w:rsid w:val="00881A7B"/>
    <w:rsid w:val="008840E5"/>
    <w:rsid w:val="00887B3E"/>
    <w:rsid w:val="00892840"/>
    <w:rsid w:val="008C2AC6"/>
    <w:rsid w:val="00907017"/>
    <w:rsid w:val="00930C23"/>
    <w:rsid w:val="0093193B"/>
    <w:rsid w:val="009509D8"/>
    <w:rsid w:val="00950B64"/>
    <w:rsid w:val="00981893"/>
    <w:rsid w:val="00A1687D"/>
    <w:rsid w:val="00A43E52"/>
    <w:rsid w:val="00A4678D"/>
    <w:rsid w:val="00A778C7"/>
    <w:rsid w:val="00AB312E"/>
    <w:rsid w:val="00AB441E"/>
    <w:rsid w:val="00AB6293"/>
    <w:rsid w:val="00AE0928"/>
    <w:rsid w:val="00AF3B82"/>
    <w:rsid w:val="00B12E95"/>
    <w:rsid w:val="00B22876"/>
    <w:rsid w:val="00B558F0"/>
    <w:rsid w:val="00BD48FE"/>
    <w:rsid w:val="00BD7BD8"/>
    <w:rsid w:val="00BE6ADC"/>
    <w:rsid w:val="00BF0A33"/>
    <w:rsid w:val="00C00297"/>
    <w:rsid w:val="00C05BFE"/>
    <w:rsid w:val="00C23CD4"/>
    <w:rsid w:val="00C61C0C"/>
    <w:rsid w:val="00C941CB"/>
    <w:rsid w:val="00CC2357"/>
    <w:rsid w:val="00CF071A"/>
    <w:rsid w:val="00D04DE0"/>
    <w:rsid w:val="00D058B8"/>
    <w:rsid w:val="00D42448"/>
    <w:rsid w:val="00D429A7"/>
    <w:rsid w:val="00D56C11"/>
    <w:rsid w:val="00D834A0"/>
    <w:rsid w:val="00D872DF"/>
    <w:rsid w:val="00D91E21"/>
    <w:rsid w:val="00DA7FCD"/>
    <w:rsid w:val="00E365E1"/>
    <w:rsid w:val="00E820A4"/>
    <w:rsid w:val="00EB006A"/>
    <w:rsid w:val="00EB4772"/>
    <w:rsid w:val="00ED169E"/>
    <w:rsid w:val="00ED4235"/>
    <w:rsid w:val="00F04346"/>
    <w:rsid w:val="00F075DC"/>
    <w:rsid w:val="00F13BB6"/>
    <w:rsid w:val="00F149E9"/>
    <w:rsid w:val="00F5134D"/>
    <w:rsid w:val="00F74202"/>
    <w:rsid w:val="00F87713"/>
    <w:rsid w:val="00FB4360"/>
    <w:rsid w:val="00FC2176"/>
    <w:rsid w:val="00FD0C70"/>
    <w:rsid w:val="00FE514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9A521"/>
  <w15:chartTrackingRefBased/>
  <w15:docId w15:val="{E7C6C4A4-847D-4EF4-B093-FFD78462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675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675A"/>
    <w:pPr>
      <w:spacing w:before="480" w:after="240"/>
    </w:pPr>
  </w:style>
  <w:style w:type="paragraph" w:customStyle="1" w:styleId="NormalBold">
    <w:name w:val="NormalBold"/>
    <w:basedOn w:val="Normal"/>
    <w:rsid w:val="0050675A"/>
    <w:rPr>
      <w:b/>
    </w:rPr>
  </w:style>
  <w:style w:type="paragraph" w:customStyle="1" w:styleId="NormalHanging12a">
    <w:name w:val="NormalHanging12a"/>
    <w:basedOn w:val="Normal"/>
    <w:link w:val="NormalHanging12aChar"/>
    <w:rsid w:val="0050675A"/>
    <w:pPr>
      <w:spacing w:after="240"/>
      <w:ind w:left="567" w:hanging="567"/>
    </w:pPr>
  </w:style>
  <w:style w:type="paragraph" w:customStyle="1" w:styleId="EPFooter">
    <w:name w:val="EPFooter"/>
    <w:basedOn w:val="Normal"/>
    <w:rsid w:val="0050675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0675A"/>
    <w:rPr>
      <w:sz w:val="24"/>
      <w:lang w:val="hu-HU"/>
    </w:rPr>
  </w:style>
  <w:style w:type="paragraph" w:customStyle="1" w:styleId="PageHeadingDec">
    <w:name w:val="PageHeadingDec"/>
    <w:basedOn w:val="Normal"/>
    <w:link w:val="PageHeadingDecChar"/>
    <w:qFormat/>
    <w:rsid w:val="0050675A"/>
    <w:pPr>
      <w:keepNext/>
      <w:spacing w:after="480"/>
      <w:jc w:val="center"/>
    </w:pPr>
    <w:rPr>
      <w:rFonts w:cs="Arial"/>
      <w:b/>
    </w:rPr>
  </w:style>
  <w:style w:type="character" w:customStyle="1" w:styleId="PageHeadingDecChar">
    <w:name w:val="PageHeadingDec Char"/>
    <w:basedOn w:val="DefaultParagraphFont"/>
    <w:link w:val="PageHeadingDec"/>
    <w:rsid w:val="0050675A"/>
    <w:rPr>
      <w:rFonts w:cs="Arial"/>
      <w:b/>
      <w:sz w:val="24"/>
      <w:lang w:val="hu-HU"/>
    </w:rPr>
  </w:style>
  <w:style w:type="paragraph" w:customStyle="1" w:styleId="PageHeadingNotTOC">
    <w:name w:val="PageHeadingNotTOC"/>
    <w:basedOn w:val="Normal"/>
    <w:rsid w:val="0050675A"/>
    <w:pPr>
      <w:keepNext/>
      <w:spacing w:after="480"/>
      <w:jc w:val="center"/>
    </w:pPr>
    <w:rPr>
      <w:rFonts w:ascii="Arial" w:hAnsi="Arial" w:cs="Arial"/>
      <w:b/>
    </w:rPr>
  </w:style>
  <w:style w:type="paragraph" w:styleId="Footer">
    <w:name w:val="footer"/>
    <w:basedOn w:val="Normal"/>
    <w:link w:val="FooterChar"/>
    <w:uiPriority w:val="99"/>
    <w:rsid w:val="0050675A"/>
    <w:pPr>
      <w:tabs>
        <w:tab w:val="center" w:pos="4513"/>
        <w:tab w:val="right" w:pos="9026"/>
      </w:tabs>
    </w:pPr>
  </w:style>
  <w:style w:type="character" w:customStyle="1" w:styleId="FooterChar">
    <w:name w:val="Footer Char"/>
    <w:basedOn w:val="DefaultParagraphFont"/>
    <w:link w:val="Footer"/>
    <w:uiPriority w:val="99"/>
    <w:rsid w:val="0050675A"/>
    <w:rPr>
      <w:sz w:val="24"/>
      <w:lang w:val="hu-HU"/>
    </w:rPr>
  </w:style>
  <w:style w:type="character" w:styleId="Hyperlink">
    <w:name w:val="Hyperlink"/>
    <w:basedOn w:val="DefaultParagraphFont"/>
    <w:uiPriority w:val="99"/>
    <w:rsid w:val="0050675A"/>
    <w:rPr>
      <w:color w:val="0563C1" w:themeColor="hyperlink"/>
      <w:u w:val="single"/>
    </w:rPr>
  </w:style>
  <w:style w:type="paragraph" w:customStyle="1" w:styleId="CM1">
    <w:name w:val="CM1"/>
    <w:basedOn w:val="Normal"/>
    <w:next w:val="Normal"/>
    <w:rsid w:val="0050675A"/>
    <w:pPr>
      <w:widowControl/>
      <w:autoSpaceDE w:val="0"/>
      <w:autoSpaceDN w:val="0"/>
      <w:adjustRightInd w:val="0"/>
    </w:pPr>
    <w:rPr>
      <w:rFonts w:ascii="EUAlbertina" w:hAnsi="EUAlbertina"/>
      <w:szCs w:val="24"/>
    </w:rPr>
  </w:style>
  <w:style w:type="paragraph" w:styleId="Header">
    <w:name w:val="header"/>
    <w:basedOn w:val="Normal"/>
    <w:link w:val="HeaderChar"/>
    <w:rsid w:val="00816346"/>
    <w:pPr>
      <w:tabs>
        <w:tab w:val="center" w:pos="4513"/>
        <w:tab w:val="right" w:pos="9026"/>
      </w:tabs>
    </w:pPr>
  </w:style>
  <w:style w:type="character" w:customStyle="1" w:styleId="HeaderChar">
    <w:name w:val="Header Char"/>
    <w:basedOn w:val="DefaultParagraphFont"/>
    <w:link w:val="Header"/>
    <w:rsid w:val="00816346"/>
    <w:rPr>
      <w:sz w:val="24"/>
      <w:lang w:val="hu-HU"/>
    </w:rPr>
  </w:style>
  <w:style w:type="paragraph" w:styleId="Revision">
    <w:name w:val="Revision"/>
    <w:hidden/>
    <w:uiPriority w:val="99"/>
    <w:semiHidden/>
    <w:rsid w:val="00D42448"/>
    <w:rPr>
      <w:sz w:val="24"/>
      <w:lang w:val="hu-HU"/>
    </w:rPr>
  </w:style>
  <w:style w:type="character" w:customStyle="1" w:styleId="citation-88">
    <w:name w:val="citation-88"/>
    <w:basedOn w:val="DefaultParagraphFont"/>
    <w:rsid w:val="00FC2176"/>
  </w:style>
  <w:style w:type="character" w:styleId="UnresolvedMention">
    <w:name w:val="Unresolved Mention"/>
    <w:basedOn w:val="DefaultParagraphFont"/>
    <w:uiPriority w:val="99"/>
    <w:semiHidden/>
    <w:unhideWhenUsed/>
    <w:rsid w:val="001D2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2743</Words>
  <Characters>20278</Characters>
  <Application>Microsoft Office Word</Application>
  <DocSecurity>0</DocSecurity>
  <Lines>881</Lines>
  <Paragraphs>442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2025-11-24T16:17:00Z</dcterms:created>
  <dcterms:modified xsi:type="dcterms:W3CDTF">2025-11-24T16:17:00Z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P10_TA(2025)0246_</vt:lpwstr>
  </property>
  <property fmtid="{D5CDD505-2E9C-101B-9397-08002B2CF9AE}" pid="4" name="&lt;Type&gt;">
    <vt:lpwstr>RR</vt:lpwstr>
  </property>
</Properties>
</file>