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505787" w14:paraId="6579AADE" w14:textId="77777777" w:rsidTr="0010095E">
        <w:trPr>
          <w:trHeight w:hRule="exact" w:val="1418"/>
        </w:trPr>
        <w:tc>
          <w:tcPr>
            <w:tcW w:w="6804" w:type="dxa"/>
            <w:shd w:val="clear" w:color="auto" w:fill="auto"/>
            <w:vAlign w:val="center"/>
          </w:tcPr>
          <w:p w14:paraId="1A5C6F4D" w14:textId="77777777" w:rsidR="00751A4A" w:rsidRPr="00505787" w:rsidRDefault="00F163A6" w:rsidP="0010095E">
            <w:pPr>
              <w:pStyle w:val="EPName"/>
            </w:pPr>
            <w:r w:rsidRPr="00505787">
              <w:t>Europos Parlamentas</w:t>
            </w:r>
          </w:p>
          <w:p w14:paraId="6726AE1E" w14:textId="77777777" w:rsidR="00751A4A" w:rsidRPr="00505787" w:rsidRDefault="005F1B17" w:rsidP="005F1B17">
            <w:pPr>
              <w:pStyle w:val="EPTerm"/>
              <w:rPr>
                <w:rStyle w:val="HideTWBExt"/>
                <w:noProof w:val="0"/>
                <w:vanish w:val="0"/>
                <w:color w:val="auto"/>
              </w:rPr>
            </w:pPr>
            <w:r w:rsidRPr="00505787">
              <w:t>2024</w:t>
            </w:r>
            <w:r w:rsidR="00817416" w:rsidRPr="00505787">
              <w:t>-202</w:t>
            </w:r>
            <w:r w:rsidRPr="00505787">
              <w:t>9</w:t>
            </w:r>
          </w:p>
        </w:tc>
        <w:tc>
          <w:tcPr>
            <w:tcW w:w="2268" w:type="dxa"/>
            <w:shd w:val="clear" w:color="auto" w:fill="auto"/>
          </w:tcPr>
          <w:p w14:paraId="51F2AA3C" w14:textId="77777777" w:rsidR="00751A4A" w:rsidRPr="00505787" w:rsidRDefault="00187494" w:rsidP="0010095E">
            <w:pPr>
              <w:pStyle w:val="EPLogo"/>
            </w:pPr>
            <w:r w:rsidRPr="00505787">
              <w:rPr>
                <w:noProof/>
                <w:lang w:eastAsia="ja-JP"/>
              </w:rPr>
              <w:drawing>
                <wp:inline distT="0" distB="0" distL="0" distR="0" wp14:anchorId="139AE4C2" wp14:editId="3846A292">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079CF625" w14:textId="77777777" w:rsidR="00D058B8" w:rsidRPr="00505787" w:rsidRDefault="00D058B8" w:rsidP="004C5D52">
      <w:pPr>
        <w:pStyle w:val="LineTop"/>
      </w:pPr>
    </w:p>
    <w:p w14:paraId="2B9BA7B5" w14:textId="77777777" w:rsidR="00680577" w:rsidRPr="00505787" w:rsidRDefault="00F163A6" w:rsidP="00680577">
      <w:pPr>
        <w:pStyle w:val="EPBodyTA1"/>
      </w:pPr>
      <w:r w:rsidRPr="00505787">
        <w:t>PRIIMTI TEKSTAI</w:t>
      </w:r>
    </w:p>
    <w:p w14:paraId="0D7DA26C" w14:textId="77777777" w:rsidR="00D058B8" w:rsidRPr="00505787" w:rsidRDefault="00D058B8" w:rsidP="00D058B8">
      <w:pPr>
        <w:pStyle w:val="LineBottom"/>
      </w:pPr>
    </w:p>
    <w:p w14:paraId="27CCD0A5" w14:textId="72796C0D" w:rsidR="00F163A6" w:rsidRPr="00505787" w:rsidRDefault="00F163A6" w:rsidP="00F163A6">
      <w:pPr>
        <w:pStyle w:val="ATHeading1"/>
      </w:pPr>
      <w:bookmarkStart w:id="0" w:name="TANumber"/>
      <w:r w:rsidRPr="00505787">
        <w:t>P10_TA(2025)0</w:t>
      </w:r>
      <w:r w:rsidR="00651510" w:rsidRPr="00505787">
        <w:t>246</w:t>
      </w:r>
      <w:bookmarkEnd w:id="0"/>
    </w:p>
    <w:p w14:paraId="776D0163" w14:textId="77777777" w:rsidR="00F163A6" w:rsidRPr="00505787" w:rsidRDefault="00F163A6" w:rsidP="00F163A6">
      <w:pPr>
        <w:pStyle w:val="ATHeading2"/>
      </w:pPr>
      <w:bookmarkStart w:id="1" w:name="title"/>
      <w:r w:rsidRPr="00505787">
        <w:t>2023 m. biudžeto įvykdymo patvirtinimas: Agentūros</w:t>
      </w:r>
      <w:bookmarkEnd w:id="1"/>
    </w:p>
    <w:p w14:paraId="2BDB1CB1" w14:textId="77777777" w:rsidR="00F163A6" w:rsidRPr="00505787" w:rsidRDefault="00F163A6" w:rsidP="00F163A6">
      <w:pPr>
        <w:rPr>
          <w:i/>
          <w:vanish/>
        </w:rPr>
      </w:pPr>
      <w:r w:rsidRPr="00505787">
        <w:rPr>
          <w:i/>
        </w:rPr>
        <w:fldChar w:fldCharType="begin"/>
      </w:r>
      <w:r w:rsidRPr="00505787">
        <w:rPr>
          <w:i/>
        </w:rPr>
        <w:instrText xml:space="preserve"> TC"(</w:instrText>
      </w:r>
      <w:bookmarkStart w:id="2" w:name="DocNumber"/>
      <w:r w:rsidRPr="00505787">
        <w:rPr>
          <w:i/>
        </w:rPr>
        <w:instrText>A10-0169/2025</w:instrText>
      </w:r>
      <w:bookmarkEnd w:id="2"/>
      <w:r w:rsidRPr="00505787">
        <w:rPr>
          <w:i/>
        </w:rPr>
        <w:instrText xml:space="preserve"> - Pranešėjas: Erik Marquardt)"\l3 \n&gt; \* MERGEFORMAT </w:instrText>
      </w:r>
      <w:r w:rsidRPr="00505787">
        <w:rPr>
          <w:i/>
        </w:rPr>
        <w:fldChar w:fldCharType="end"/>
      </w:r>
    </w:p>
    <w:p w14:paraId="0FE8712B" w14:textId="77777777" w:rsidR="00F163A6" w:rsidRPr="00505787" w:rsidRDefault="00F163A6" w:rsidP="00F163A6">
      <w:pPr>
        <w:rPr>
          <w:vanish/>
        </w:rPr>
      </w:pPr>
      <w:bookmarkStart w:id="3" w:name="Commission"/>
      <w:r w:rsidRPr="00505787">
        <w:rPr>
          <w:vanish/>
        </w:rPr>
        <w:t>Biudžeto kontrolės komitetas</w:t>
      </w:r>
      <w:bookmarkEnd w:id="3"/>
    </w:p>
    <w:p w14:paraId="634A414E" w14:textId="77777777" w:rsidR="00F163A6" w:rsidRPr="00505787" w:rsidRDefault="00F163A6" w:rsidP="00F163A6">
      <w:pPr>
        <w:rPr>
          <w:vanish/>
        </w:rPr>
      </w:pPr>
      <w:bookmarkStart w:id="4" w:name="PE"/>
      <w:r w:rsidRPr="00505787">
        <w:rPr>
          <w:vanish/>
        </w:rPr>
        <w:t>PE774.259</w:t>
      </w:r>
      <w:bookmarkEnd w:id="4"/>
    </w:p>
    <w:p w14:paraId="618F4F4E" w14:textId="59930C4F" w:rsidR="00F163A6" w:rsidRPr="00505787" w:rsidRDefault="00664155" w:rsidP="003B572B">
      <w:pPr>
        <w:pStyle w:val="ATHeading3"/>
      </w:pPr>
      <w:bookmarkStart w:id="5" w:name="Sujet"/>
      <w:r w:rsidRPr="00505787">
        <w:t xml:space="preserve">1. 2025 m. spalio 22 d. Europos Parlamento sprendimas </w:t>
      </w:r>
      <w:r w:rsidR="00DB1238" w:rsidRPr="00505787">
        <w:t xml:space="preserve">dėl </w:t>
      </w:r>
      <w:r w:rsidR="00F163A6" w:rsidRPr="00505787">
        <w:t xml:space="preserve">Europos Sąjungos </w:t>
      </w:r>
      <w:r w:rsidR="00B36827" w:rsidRPr="00B36827">
        <w:t>prieglobsčio agentūros</w:t>
      </w:r>
      <w:r w:rsidR="00F163A6" w:rsidRPr="00505787">
        <w:t xml:space="preserve"> 2023 finansinių metų biudžeto įvykdymo patvirtinimo</w:t>
      </w:r>
      <w:bookmarkEnd w:id="5"/>
      <w:r w:rsidR="00F163A6" w:rsidRPr="00505787">
        <w:t xml:space="preserve"> </w:t>
      </w:r>
      <w:bookmarkStart w:id="6" w:name="References"/>
      <w:r w:rsidR="00F163A6" w:rsidRPr="00505787">
        <w:t>(2024/2030(DEC))</w:t>
      </w:r>
      <w:bookmarkEnd w:id="6"/>
    </w:p>
    <w:p w14:paraId="67B64424" w14:textId="77777777" w:rsidR="00A14F06" w:rsidRPr="00505787" w:rsidRDefault="00A14F06" w:rsidP="00A14F06">
      <w:pPr>
        <w:pStyle w:val="EPComma"/>
      </w:pPr>
      <w:bookmarkStart w:id="7" w:name="TextBodyBegin"/>
      <w:bookmarkEnd w:id="7"/>
      <w:r w:rsidRPr="00505787">
        <w:rPr>
          <w:i/>
        </w:rPr>
        <w:t>Europos Parlamentas</w:t>
      </w:r>
      <w:r w:rsidRPr="00505787">
        <w:t>,</w:t>
      </w:r>
    </w:p>
    <w:p w14:paraId="566112E9" w14:textId="77777777" w:rsidR="00A14F06" w:rsidRPr="00505787" w:rsidRDefault="00A14F06" w:rsidP="00A14F06">
      <w:pPr>
        <w:pStyle w:val="NormalHanging12a"/>
      </w:pPr>
      <w:r w:rsidRPr="00505787">
        <w:t>–</w:t>
      </w:r>
      <w:r w:rsidRPr="00505787">
        <w:tab/>
        <w:t>atsižvelgdamas į Europos Sąjungos prieglobsčio agentūros 2023 finansinių metų galutines metines ataskaitas,</w:t>
      </w:r>
    </w:p>
    <w:p w14:paraId="651F5BD2" w14:textId="77777777" w:rsidR="00A14F06" w:rsidRPr="00505787" w:rsidRDefault="00A14F06" w:rsidP="00A14F06">
      <w:pPr>
        <w:pStyle w:val="NormalHanging12a"/>
      </w:pPr>
      <w:r w:rsidRPr="00505787">
        <w:t>–</w:t>
      </w:r>
      <w:r w:rsidRPr="00505787">
        <w:tab/>
        <w:t>atsižvelgdamas į Audito Rūmų 2023 finansinių metų metinę ataskaitą dėl ES agentūrų kartu su agentūrų atsakymais</w:t>
      </w:r>
      <w:r w:rsidRPr="00505787">
        <w:rPr>
          <w:rStyle w:val="FootnoteReference"/>
        </w:rPr>
        <w:footnoteReference w:id="1"/>
      </w:r>
      <w:r w:rsidRPr="00505787">
        <w:t>,</w:t>
      </w:r>
    </w:p>
    <w:p w14:paraId="7F1265B2" w14:textId="77777777" w:rsidR="00A14F06" w:rsidRPr="00505787" w:rsidRDefault="00A14F06" w:rsidP="00A14F06">
      <w:pPr>
        <w:pStyle w:val="NormalHanging12a"/>
      </w:pPr>
      <w:r w:rsidRPr="00505787">
        <w:t>–</w:t>
      </w:r>
      <w:r w:rsidRPr="00505787">
        <w:tab/>
        <w:t>atsižvelgdamas į Audito Rūmų pagal Sutarties dėl Europos Sąjungos veikimo 287 straipsnį pateiktą 2023 finansinių metų sąskaitų patikimumo ir pagal jas atliktų operacijų teisėtumo ir tvarkingumo patikinimo pareiškimą</w:t>
      </w:r>
      <w:r w:rsidRPr="00505787">
        <w:rPr>
          <w:rStyle w:val="FootnoteReference"/>
        </w:rPr>
        <w:footnoteReference w:id="2"/>
      </w:r>
      <w:r w:rsidRPr="00505787">
        <w:t>,</w:t>
      </w:r>
    </w:p>
    <w:p w14:paraId="7FD458C5" w14:textId="77777777" w:rsidR="00A14F06" w:rsidRPr="00505787" w:rsidRDefault="00A14F06" w:rsidP="00A14F06">
      <w:pPr>
        <w:pStyle w:val="NormalHanging12a"/>
      </w:pPr>
      <w:r w:rsidRPr="00505787">
        <w:t>–</w:t>
      </w:r>
      <w:r w:rsidRPr="00505787">
        <w:tab/>
        <w:t>atsižvelgdamas į Tarybos 2025 m. vasario 17 d. rekomendaciją dėl patvirtinimo, kad Agentūra įvykdė 2023 finansinių metų biudžetą (05755/2025 – C10</w:t>
      </w:r>
      <w:r w:rsidRPr="00505787">
        <w:noBreakHyphen/>
        <w:t>0024/2025),</w:t>
      </w:r>
    </w:p>
    <w:p w14:paraId="105E6831" w14:textId="77777777" w:rsidR="00A14F06" w:rsidRPr="00505787" w:rsidRDefault="00A14F06" w:rsidP="00A14F06">
      <w:pPr>
        <w:pStyle w:val="NormalHanging12a"/>
      </w:pPr>
      <w:r w:rsidRPr="00505787">
        <w:t>–</w:t>
      </w:r>
      <w:r w:rsidRPr="00505787">
        <w:tab/>
        <w:t>atsižvelgdamas į savo 2025 m. gegužės 7 d. sprendimą</w:t>
      </w:r>
      <w:r w:rsidRPr="00505787">
        <w:rPr>
          <w:rStyle w:val="FootnoteReference"/>
        </w:rPr>
        <w:footnoteReference w:id="3"/>
      </w:r>
      <w:r w:rsidRPr="00505787">
        <w:t>, kuriuo atidedamas sprendimo dėl 2023 finansinių metų biudžeto įvykdymo patvirtinimo priėmimas, ir į Europos Sąjungos prieglobsčio agentūros vykdomosios direktorės atsakymus,</w:t>
      </w:r>
    </w:p>
    <w:p w14:paraId="10CFE590" w14:textId="77777777" w:rsidR="00A14F06" w:rsidRPr="00505787" w:rsidRDefault="00A14F06" w:rsidP="00A14F06">
      <w:pPr>
        <w:pStyle w:val="NormalHanging12a"/>
      </w:pPr>
      <w:r w:rsidRPr="00505787">
        <w:t>–</w:t>
      </w:r>
      <w:r w:rsidRPr="00505787">
        <w:tab/>
        <w:t>atsižvelgdamas į Sutarties dėl Europos Sąjungos veikimo 319 straipsnį,</w:t>
      </w:r>
    </w:p>
    <w:p w14:paraId="12A67CEA" w14:textId="77777777" w:rsidR="00A14F06" w:rsidRPr="00505787" w:rsidRDefault="00A14F06" w:rsidP="00A14F06">
      <w:pPr>
        <w:pStyle w:val="NormalHanging12a"/>
      </w:pPr>
      <w:r w:rsidRPr="00505787">
        <w:t>–</w:t>
      </w:r>
      <w:r w:rsidRPr="00505787">
        <w:tab/>
        <w:t xml:space="preserve">atsižvelgdamas į 2018 m. liepos 18 d. Europos Parlamento ir Tarybos reglamentą (ES, Euratomas) 2018/1046 dėl Sąjungos bendrajam biudžetui taikomų finansinių taisyklių, kuriuo iš dalies keičiami reglamentai (ES) Nr. 1296/2013, (ES) Nr. 1301/2013, (ES) Nr. 1303/2013, (ES) Nr. 1304/2013, (ES) Nr. 1309/2013, (ES) Nr. 1316/2013, (ES) Nr. 223/2014, (ES) Nr. 283/2014 ir Sprendimas Nr. 541/2014/ES, bei panaikinamas </w:t>
      </w:r>
      <w:r w:rsidRPr="00505787">
        <w:lastRenderedPageBreak/>
        <w:t>Reglamentas (ES, Euratomas) Nr. 966/2012</w:t>
      </w:r>
      <w:r w:rsidRPr="00505787">
        <w:rPr>
          <w:rStyle w:val="FootnoteReference"/>
        </w:rPr>
        <w:footnoteReference w:id="4"/>
      </w:r>
      <w:r w:rsidRPr="00505787">
        <w:t>, ypač į jo 70 straipsnį,</w:t>
      </w:r>
    </w:p>
    <w:p w14:paraId="1812C7F2" w14:textId="38D2A5D1" w:rsidR="00A14F06" w:rsidRPr="00505787" w:rsidRDefault="00A14F06" w:rsidP="00A14F06">
      <w:pPr>
        <w:pStyle w:val="NormalHanging12a"/>
      </w:pPr>
      <w:r w:rsidRPr="00505787">
        <w:t>–</w:t>
      </w:r>
      <w:r w:rsidRPr="00505787">
        <w:tab/>
        <w:t>atsižvelgdamas į 2024 m. rugsėjo 23 d. Europos Parlamento ir Tarybos reglamentą (ES, Euratomas) 2024/2509 dėl Sąjungos bendrajam biudžetui taikomų finansinių taisyklių</w:t>
      </w:r>
      <w:r w:rsidRPr="00505787">
        <w:rPr>
          <w:rStyle w:val="FootnoteReference"/>
        </w:rPr>
        <w:footnoteReference w:id="5"/>
      </w:r>
      <w:r w:rsidRPr="00505787">
        <w:t>, ypač į jo 70 straipsnį,</w:t>
      </w:r>
    </w:p>
    <w:p w14:paraId="238D4577" w14:textId="77777777" w:rsidR="00A14F06" w:rsidRPr="00505787" w:rsidRDefault="00A14F06" w:rsidP="00A14F06">
      <w:pPr>
        <w:pStyle w:val="NormalHanging12a"/>
      </w:pPr>
      <w:r w:rsidRPr="00505787">
        <w:t>–</w:t>
      </w:r>
      <w:r w:rsidRPr="00505787">
        <w:tab/>
        <w:t>atsižvelgdamas į 2010 m. gegužės 19 d. Europos Parlamento ir Tarybos reglamentą (ES) Nr. 439/2010 dėl Europos prieglobsčio paramos biuro įsteigimo</w:t>
      </w:r>
      <w:r w:rsidRPr="00505787">
        <w:rPr>
          <w:rStyle w:val="FootnoteReference"/>
        </w:rPr>
        <w:footnoteReference w:id="6"/>
      </w:r>
      <w:r w:rsidRPr="00505787">
        <w:t>, ypač į jo 36 straipsnį,</w:t>
      </w:r>
    </w:p>
    <w:p w14:paraId="7DAEA2B2" w14:textId="77777777" w:rsidR="00A14F06" w:rsidRPr="00505787" w:rsidRDefault="00A14F06" w:rsidP="00A14F06">
      <w:pPr>
        <w:pStyle w:val="NormalHanging12a"/>
      </w:pPr>
      <w:r w:rsidRPr="00505787">
        <w:t>–</w:t>
      </w:r>
      <w:r w:rsidRPr="00505787">
        <w:tab/>
        <w:t>atsižvelgdamas į 2021 m. gruodžio 15 d. Europos Parlamento ir Tarybos reglamentą (ES) 2021/2303 dėl Europos Sąjungos prieglobsčio agentūros, kuriuo panaikinamas Reglamentas (ES) Nr. 439/2010</w:t>
      </w:r>
      <w:r w:rsidRPr="00505787">
        <w:rPr>
          <w:rStyle w:val="FootnoteReference"/>
        </w:rPr>
        <w:footnoteReference w:id="7"/>
      </w:r>
      <w:r w:rsidRPr="00505787">
        <w:t>, ypač į jo 55 straipsnį,</w:t>
      </w:r>
    </w:p>
    <w:p w14:paraId="2FA476E8" w14:textId="77777777" w:rsidR="00A14F06" w:rsidRPr="00505787" w:rsidRDefault="00A14F06" w:rsidP="00A14F06">
      <w:pPr>
        <w:pStyle w:val="NormalHanging12a"/>
      </w:pPr>
      <w:r w:rsidRPr="00505787">
        <w:t>–</w:t>
      </w:r>
      <w:r w:rsidRPr="00505787">
        <w:tab/>
        <w:t>atsižvelgdamas į 2018 m. gruodžio 18 d. Komisijos deleguotąjį reglamentą (ES) 2019/715 dėl finansinio pagrindų reglamento, taikomo organams, įsteigtiems pagal SESV ir Euratomo sutartį ir nurodytiems Europos Parlamento ir Tarybos reglamento (ES, Euratomas) 2018/1046</w:t>
      </w:r>
      <w:r w:rsidRPr="00505787">
        <w:rPr>
          <w:rStyle w:val="FootnoteReference"/>
        </w:rPr>
        <w:footnoteReference w:id="8"/>
      </w:r>
      <w:r w:rsidRPr="00505787">
        <w:t xml:space="preserve"> 70 straipsnyje, ypač į jo 105 straipsnį,</w:t>
      </w:r>
    </w:p>
    <w:p w14:paraId="53728004" w14:textId="77777777" w:rsidR="00A14F06" w:rsidRPr="00505787" w:rsidRDefault="00A14F06" w:rsidP="00A14F06">
      <w:pPr>
        <w:pStyle w:val="NormalHanging12a"/>
      </w:pPr>
      <w:r w:rsidRPr="00505787">
        <w:t>–</w:t>
      </w:r>
      <w:r w:rsidRPr="00505787">
        <w:tab/>
        <w:t>atsižvelgdamas į Darbo tvarkos taisyklių 102 straipsnį ir V priedą,</w:t>
      </w:r>
    </w:p>
    <w:p w14:paraId="7CC96686" w14:textId="77777777" w:rsidR="00A14F06" w:rsidRPr="00505787" w:rsidRDefault="00A14F06" w:rsidP="00A14F06">
      <w:pPr>
        <w:pStyle w:val="NormalHanging12a"/>
      </w:pPr>
      <w:r w:rsidRPr="00505787">
        <w:t>–</w:t>
      </w:r>
      <w:r w:rsidRPr="00505787">
        <w:tab/>
        <w:t>atsižvelgdamas į Biudžeto kontrolės komiteto antrąjį pranešimą (A10</w:t>
      </w:r>
      <w:r w:rsidRPr="00505787">
        <w:noBreakHyphen/>
        <w:t>0169/2025),</w:t>
      </w:r>
    </w:p>
    <w:p w14:paraId="556F2AC0" w14:textId="77777777" w:rsidR="00A14F06" w:rsidRPr="00505787" w:rsidRDefault="00A14F06" w:rsidP="00A14F06">
      <w:pPr>
        <w:pStyle w:val="NormalHanging12a"/>
      </w:pPr>
      <w:r w:rsidRPr="00505787">
        <w:t>1.</w:t>
      </w:r>
      <w:r w:rsidRPr="00505787">
        <w:tab/>
        <w:t>patvirtina Europos Sąjungos prieglobsčio agentūros vykdomajai direktorei, kad Agentūros 2023 finansinių metų biudžetas įvykdytas;</w:t>
      </w:r>
    </w:p>
    <w:p w14:paraId="24C7DC32" w14:textId="77777777" w:rsidR="00A14F06" w:rsidRPr="00505787" w:rsidRDefault="00A14F06" w:rsidP="00A14F06">
      <w:pPr>
        <w:pStyle w:val="NormalHanging12a"/>
      </w:pPr>
      <w:r w:rsidRPr="00505787">
        <w:t>2.</w:t>
      </w:r>
      <w:r w:rsidRPr="00505787">
        <w:tab/>
        <w:t>išdėsto savo pastabas toliau pateikiamoje rezoliucijoje;</w:t>
      </w:r>
    </w:p>
    <w:p w14:paraId="225738D7" w14:textId="77777777" w:rsidR="00A14F06" w:rsidRPr="00505787" w:rsidRDefault="00A14F06" w:rsidP="00A14F06">
      <w:pPr>
        <w:pStyle w:val="NormalHanging12a"/>
      </w:pPr>
      <w:r w:rsidRPr="00505787">
        <w:t>3.</w:t>
      </w:r>
      <w:r w:rsidRPr="00505787">
        <w:tab/>
        <w:t xml:space="preserve">paveda Pirmininkei perduoti šį sprendimą ir rezoliuciją, kuri yra neatskiriama jo dalis, Europos Sąjungos prieglobsčio agentūros vykdomajai direktorei, Tarybai, Komisijai ir Audito Rūmams ir pasirūpinti, kad jie būtų paskelbti </w:t>
      </w:r>
      <w:r w:rsidRPr="00505787">
        <w:rPr>
          <w:i/>
        </w:rPr>
        <w:t>Europos Sąjungos oficialiajame leidinyje</w:t>
      </w:r>
      <w:r w:rsidRPr="00505787">
        <w:t xml:space="preserve"> (L serijoje).</w:t>
      </w:r>
    </w:p>
    <w:p w14:paraId="072C5F4F" w14:textId="77777777" w:rsidR="00A14F06" w:rsidRPr="00505787" w:rsidRDefault="00A14F06" w:rsidP="00A14F06"/>
    <w:p w14:paraId="4C510CF3" w14:textId="77777777" w:rsidR="00A14F06" w:rsidRPr="00505787" w:rsidRDefault="00A14F06" w:rsidP="00A14F06">
      <w:pPr>
        <w:pStyle w:val="PageHeadingDec"/>
        <w:sectPr w:rsidR="00A14F06" w:rsidRPr="00505787" w:rsidSect="009C6776">
          <w:footerReference w:type="first" r:id="rId9"/>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280D244C" w14:textId="55DE732E" w:rsidR="00B70034" w:rsidRPr="00505787" w:rsidRDefault="00A14F06" w:rsidP="003B572B">
      <w:pPr>
        <w:pStyle w:val="ATHeading3"/>
      </w:pPr>
      <w:r w:rsidRPr="00505787">
        <w:lastRenderedPageBreak/>
        <w:t>2.</w:t>
      </w:r>
      <w:r w:rsidR="009F057D" w:rsidRPr="00505787">
        <w:t xml:space="preserve"> 2025 m. spalio 22 d.</w:t>
      </w:r>
      <w:r w:rsidR="000D4B29" w:rsidRPr="00505787">
        <w:t xml:space="preserve"> Europos Parlamento sprendimas </w:t>
      </w:r>
      <w:r w:rsidRPr="00505787">
        <w:t>dėl Europos Sąjungos prieglobsčio agentūros 2023 finansinių metų sąskaitų uždarymo</w:t>
      </w:r>
      <w:r w:rsidR="009F057D" w:rsidRPr="00505787">
        <w:t xml:space="preserve"> </w:t>
      </w:r>
      <w:r w:rsidRPr="00505787">
        <w:t>(2024/2030(DEC))</w:t>
      </w:r>
    </w:p>
    <w:p w14:paraId="6B0AA554" w14:textId="77777777" w:rsidR="00A14F06" w:rsidRPr="00505787" w:rsidRDefault="00A14F06" w:rsidP="00A14F06">
      <w:pPr>
        <w:pStyle w:val="EPComma"/>
      </w:pPr>
      <w:r w:rsidRPr="00505787">
        <w:rPr>
          <w:i/>
        </w:rPr>
        <w:t>Europos Parlamentas</w:t>
      </w:r>
      <w:r w:rsidRPr="00505787">
        <w:t>,</w:t>
      </w:r>
    </w:p>
    <w:p w14:paraId="127581F4" w14:textId="77777777" w:rsidR="00A14F06" w:rsidRPr="00505787" w:rsidRDefault="00A14F06" w:rsidP="00A14F06">
      <w:pPr>
        <w:pStyle w:val="NormalHanging12a"/>
      </w:pPr>
      <w:r w:rsidRPr="00505787">
        <w:t>–</w:t>
      </w:r>
      <w:r w:rsidRPr="00505787">
        <w:tab/>
        <w:t>atsižvelgdamas į Europos Sąjungos prieglobsčio agentūros 2023 finansinių metų galutines metines ataskaitas,</w:t>
      </w:r>
    </w:p>
    <w:p w14:paraId="410719A0" w14:textId="77777777" w:rsidR="00A14F06" w:rsidRPr="00505787" w:rsidRDefault="00A14F06" w:rsidP="00A14F06">
      <w:pPr>
        <w:pStyle w:val="NormalHanging12a"/>
      </w:pPr>
      <w:r w:rsidRPr="00505787">
        <w:t>–</w:t>
      </w:r>
      <w:r w:rsidRPr="00505787">
        <w:tab/>
        <w:t>atsižvelgdamas į Audito Rūmų 2023 finansinių metų metinę ataskaitą dėl ES agentūrų kartu su agentūrų atsakymais</w:t>
      </w:r>
      <w:r w:rsidRPr="00505787">
        <w:rPr>
          <w:rStyle w:val="FootnoteReference"/>
        </w:rPr>
        <w:footnoteReference w:id="9"/>
      </w:r>
      <w:r w:rsidRPr="00505787">
        <w:t>,</w:t>
      </w:r>
    </w:p>
    <w:p w14:paraId="486EDA81" w14:textId="77777777" w:rsidR="00A14F06" w:rsidRPr="00505787" w:rsidRDefault="00A14F06" w:rsidP="00A14F06">
      <w:pPr>
        <w:pStyle w:val="NormalHanging12a"/>
      </w:pPr>
      <w:r w:rsidRPr="00505787">
        <w:t>–</w:t>
      </w:r>
      <w:r w:rsidRPr="00505787">
        <w:tab/>
        <w:t>atsižvelgdamas į Audito Rūmų pagal Sutarties dėl Europos Sąjungos veikimo 287 straipsnį pateiktą 2023 finansinių metų sąskaitų patikimumo ir pagal jas atliktų operacijų teisėtumo ir tvarkingumo patikinimo pareiškimą</w:t>
      </w:r>
      <w:r w:rsidRPr="00505787">
        <w:rPr>
          <w:rStyle w:val="FootnoteReference"/>
        </w:rPr>
        <w:footnoteReference w:id="10"/>
      </w:r>
      <w:r w:rsidRPr="00505787">
        <w:t>,</w:t>
      </w:r>
    </w:p>
    <w:p w14:paraId="5FC1565C" w14:textId="77777777" w:rsidR="00A14F06" w:rsidRPr="00505787" w:rsidRDefault="00A14F06" w:rsidP="00A14F06">
      <w:pPr>
        <w:pStyle w:val="NormalHanging12a"/>
      </w:pPr>
      <w:r w:rsidRPr="00505787">
        <w:t>–</w:t>
      </w:r>
      <w:r w:rsidRPr="00505787">
        <w:tab/>
        <w:t>atsižvelgdamas į Tarybos 2025 m. vasario 17 d. rekomendaciją dėl patvirtinimo, kad Agentūra įvykdė 2023 finansinių metų biudžetą (05755/2025 – C10</w:t>
      </w:r>
      <w:r w:rsidRPr="00505787">
        <w:noBreakHyphen/>
        <w:t>0024/2025),</w:t>
      </w:r>
    </w:p>
    <w:p w14:paraId="171AFCEA" w14:textId="77777777" w:rsidR="00A14F06" w:rsidRPr="00505787" w:rsidRDefault="00A14F06" w:rsidP="00A14F06">
      <w:pPr>
        <w:pStyle w:val="NormalHanging12a"/>
      </w:pPr>
      <w:r w:rsidRPr="00505787">
        <w:t>–</w:t>
      </w:r>
      <w:r w:rsidRPr="00505787">
        <w:tab/>
        <w:t>atsižvelgdamas į savo 2025 m. gegužės 7 d. sprendimą</w:t>
      </w:r>
      <w:r w:rsidRPr="00505787">
        <w:rPr>
          <w:rStyle w:val="FootnoteReference"/>
        </w:rPr>
        <w:footnoteReference w:id="11"/>
      </w:r>
      <w:r w:rsidRPr="00505787">
        <w:t>, kuriuo atidedamas sprendimo dėl 2023 finansinių metų biudžeto įvykdymo patvirtinimo priėmimas, ir į Europos Sąjungos prieglobsčio agentūros vykdomosios direktorės atsakymus,</w:t>
      </w:r>
    </w:p>
    <w:p w14:paraId="0165494B" w14:textId="77777777" w:rsidR="00A14F06" w:rsidRPr="00505787" w:rsidRDefault="00A14F06" w:rsidP="00A14F06">
      <w:pPr>
        <w:pStyle w:val="NormalHanging12a"/>
      </w:pPr>
      <w:r w:rsidRPr="00505787">
        <w:t>–</w:t>
      </w:r>
      <w:r w:rsidRPr="00505787">
        <w:tab/>
        <w:t>atsižvelgdamas į Sutarties dėl Europos Sąjungos veikimo 319 straipsnį,</w:t>
      </w:r>
    </w:p>
    <w:p w14:paraId="25B98323" w14:textId="77777777" w:rsidR="00A14F06" w:rsidRPr="00505787" w:rsidRDefault="00A14F06" w:rsidP="00A14F06">
      <w:pPr>
        <w:pStyle w:val="NormalHanging12a"/>
      </w:pPr>
      <w:r w:rsidRPr="00505787">
        <w:t>–</w:t>
      </w:r>
      <w:r w:rsidRPr="00505787">
        <w:tab/>
        <w:t>atsižvelgdamas į 2018 m. liepos 18 d. Europos Parlamento ir Tarybos reglamentą (ES, Euratomas) 2018/1046 dėl Sąjungos bendrajam biudžetui taikomų finansinių taisyklių, kuriuo iš dalies keičiami reglamentai (ES) Nr. 1296/2013, (ES) Nr. 1301/2013, (ES) Nr. 1303/2013, (ES) Nr. 1304/2013, (ES) Nr. 1309/2013, (ES) Nr. 1316/2013, (ES) Nr. 223/2014, (ES) Nr. 283/2014 ir Sprendimas Nr. 541/2014/ES, bei panaikinamas Reglamentas (ES, Euratomas) Nr. 966/2012</w:t>
      </w:r>
      <w:r w:rsidRPr="00505787">
        <w:rPr>
          <w:rStyle w:val="FootnoteReference"/>
        </w:rPr>
        <w:footnoteReference w:id="12"/>
      </w:r>
      <w:r w:rsidRPr="00505787">
        <w:t>, ypač į jo 70 straipsnį,</w:t>
      </w:r>
    </w:p>
    <w:p w14:paraId="58E894BB" w14:textId="47BEAA8B" w:rsidR="00A14F06" w:rsidRPr="00505787" w:rsidRDefault="00A14F06" w:rsidP="00A14F06">
      <w:pPr>
        <w:pStyle w:val="NormalHanging12a"/>
      </w:pPr>
      <w:r w:rsidRPr="00505787">
        <w:t>–</w:t>
      </w:r>
      <w:r w:rsidRPr="00505787">
        <w:tab/>
        <w:t>atsižvelgdamas į 2024 m. rugsėjo 23 d. Europos Parlamento ir Tarybos reglamentą (ES, Euratomas) 2024/2509 dėl Sąjungos bendrajam biudžetui taikomų finansinių taisyklių</w:t>
      </w:r>
      <w:r w:rsidRPr="00505787">
        <w:rPr>
          <w:rStyle w:val="FootnoteReference"/>
        </w:rPr>
        <w:footnoteReference w:id="13"/>
      </w:r>
      <w:r w:rsidRPr="00505787">
        <w:t>, ypač į jo 70 straipsnį,</w:t>
      </w:r>
    </w:p>
    <w:p w14:paraId="6D9EA60E" w14:textId="77777777" w:rsidR="00A14F06" w:rsidRPr="00505787" w:rsidRDefault="00A14F06" w:rsidP="00A14F06">
      <w:pPr>
        <w:pStyle w:val="NormalHanging12a"/>
      </w:pPr>
      <w:r w:rsidRPr="00505787">
        <w:t>–</w:t>
      </w:r>
      <w:r w:rsidRPr="00505787">
        <w:tab/>
        <w:t>atsižvelgdamas į 2010 m. gegužės 19 d. Europos Parlamento ir Tarybos reglamentą (ES) Nr. 439/2010 dėl Europos prieglobsčio paramos biuro įsteigimo</w:t>
      </w:r>
      <w:r w:rsidRPr="00505787">
        <w:rPr>
          <w:rStyle w:val="FootnoteReference"/>
        </w:rPr>
        <w:footnoteReference w:id="14"/>
      </w:r>
      <w:r w:rsidRPr="00505787">
        <w:t>, ypač į jo 36 straipsnį,</w:t>
      </w:r>
    </w:p>
    <w:p w14:paraId="7A55609E" w14:textId="77777777" w:rsidR="00A14F06" w:rsidRPr="00505787" w:rsidRDefault="00A14F06" w:rsidP="00A14F06">
      <w:pPr>
        <w:pStyle w:val="NormalHanging12a"/>
      </w:pPr>
      <w:r w:rsidRPr="00505787">
        <w:t>–</w:t>
      </w:r>
      <w:r w:rsidRPr="00505787">
        <w:tab/>
        <w:t>atsižvelgdamas į 2021 m. gruodžio 15 d. Europos Parlamento ir Tarybos reglamentą (ES) 2021/2303 dėl Europos Sąjungos prieglobsčio agentūros, kuriuo panaikinamas Reglamentas (ES) Nr. 439/2010</w:t>
      </w:r>
      <w:r w:rsidRPr="00505787">
        <w:rPr>
          <w:rStyle w:val="FootnoteReference"/>
        </w:rPr>
        <w:footnoteReference w:id="15"/>
      </w:r>
      <w:r w:rsidRPr="00505787">
        <w:t>, ypač į jo 55 straipsnį,</w:t>
      </w:r>
    </w:p>
    <w:p w14:paraId="38687F37" w14:textId="77777777" w:rsidR="00A14F06" w:rsidRPr="00505787" w:rsidRDefault="00A14F06" w:rsidP="00A14F06">
      <w:pPr>
        <w:pStyle w:val="NormalHanging12a"/>
      </w:pPr>
      <w:r w:rsidRPr="00505787">
        <w:t>–</w:t>
      </w:r>
      <w:r w:rsidRPr="00505787">
        <w:tab/>
        <w:t xml:space="preserve">atsižvelgdamas į 2018 m. gruodžio 18 d. Komisijos deleguotąjį reglamentą (ES) </w:t>
      </w:r>
      <w:r w:rsidRPr="00505787">
        <w:lastRenderedPageBreak/>
        <w:t>2019/715 dėl finansinio pagrindų reglamento, taikomo organams, įsteigtiems pagal SESV ir Euratomo sutartį ir nurodytiems Europos Parlamento ir Tarybos reglamento (ES, Euratomas) 2018/1046</w:t>
      </w:r>
      <w:r w:rsidRPr="00505787">
        <w:rPr>
          <w:rStyle w:val="FootnoteReference"/>
        </w:rPr>
        <w:footnoteReference w:id="16"/>
      </w:r>
      <w:r w:rsidRPr="00505787">
        <w:t xml:space="preserve"> 70 straipsnyje, ypač į jo 105 straipsnį,</w:t>
      </w:r>
    </w:p>
    <w:p w14:paraId="1BE53786" w14:textId="77777777" w:rsidR="00A14F06" w:rsidRPr="00505787" w:rsidRDefault="00A14F06" w:rsidP="00A14F06">
      <w:pPr>
        <w:pStyle w:val="NormalHanging12a"/>
      </w:pPr>
      <w:r w:rsidRPr="00505787">
        <w:t>–</w:t>
      </w:r>
      <w:r w:rsidRPr="00505787">
        <w:tab/>
        <w:t>atsižvelgdamas į Darbo tvarkos taisyklių 102 straipsnį ir V priedą,</w:t>
      </w:r>
    </w:p>
    <w:p w14:paraId="01D09292" w14:textId="46B2DB47" w:rsidR="00A14F06" w:rsidRPr="00505787" w:rsidRDefault="00A14F06" w:rsidP="00A14F06">
      <w:pPr>
        <w:pStyle w:val="NormalHanging12a"/>
      </w:pPr>
      <w:r w:rsidRPr="00505787">
        <w:t>–</w:t>
      </w:r>
      <w:r w:rsidRPr="00505787">
        <w:tab/>
        <w:t>atsižvelgdamas į Biudžeto kontrolės komiteto antrąjį pranešimą (A10</w:t>
      </w:r>
      <w:r w:rsidRPr="00505787">
        <w:noBreakHyphen/>
        <w:t>0169/2025),</w:t>
      </w:r>
    </w:p>
    <w:p w14:paraId="3993A8C8" w14:textId="77777777" w:rsidR="00A14F06" w:rsidRPr="00505787" w:rsidRDefault="00A14F06" w:rsidP="00A14F06">
      <w:pPr>
        <w:pStyle w:val="NormalHanging12a"/>
      </w:pPr>
      <w:r w:rsidRPr="00505787">
        <w:t>1.</w:t>
      </w:r>
      <w:r w:rsidRPr="00505787">
        <w:tab/>
        <w:t>pritaria Europos Sąjungos prieglobsčio agentūros 2023 finansinių metų sąskaitų uždarymui;</w:t>
      </w:r>
    </w:p>
    <w:p w14:paraId="70BECDE8" w14:textId="77777777" w:rsidR="00A14F06" w:rsidRPr="00505787" w:rsidRDefault="00A14F06" w:rsidP="00A14F06">
      <w:pPr>
        <w:pStyle w:val="NormalHanging12a"/>
      </w:pPr>
      <w:r w:rsidRPr="00505787">
        <w:t>2.</w:t>
      </w:r>
      <w:r w:rsidRPr="00505787">
        <w:tab/>
        <w:t xml:space="preserve">paveda Pirmininkei perduoti šį sprendimą Europos Sąjungos prieglobsčio agentūros vykdomajai direktorei, Tarybai, Komisijai ir Audito Rūmams ir pasirūpinti, kad jis būtų paskelbtas </w:t>
      </w:r>
      <w:r w:rsidRPr="00505787">
        <w:rPr>
          <w:i/>
        </w:rPr>
        <w:t>Europos Sąjungos oficialiajame leidinyje</w:t>
      </w:r>
      <w:r w:rsidRPr="00505787">
        <w:t xml:space="preserve"> (L serijoje).</w:t>
      </w:r>
    </w:p>
    <w:p w14:paraId="67FBD854" w14:textId="77777777" w:rsidR="00A14F06" w:rsidRPr="00505787" w:rsidRDefault="00A14F06" w:rsidP="00A14F06"/>
    <w:p w14:paraId="43A6F252" w14:textId="77777777" w:rsidR="00A14F06" w:rsidRPr="00505787" w:rsidRDefault="00A14F06" w:rsidP="00A14F06">
      <w:pPr>
        <w:pStyle w:val="PageHeadingDec"/>
        <w:sectPr w:rsidR="00A14F06" w:rsidRPr="00505787" w:rsidSect="009C6776">
          <w:footerReference w:type="first" r:id="rId10"/>
          <w:footnotePr>
            <w:numRestart w:val="eachSect"/>
          </w:footnotePr>
          <w:endnotePr>
            <w:numFmt w:val="decimal"/>
          </w:endnotePr>
          <w:pgSz w:w="11906" w:h="16838" w:code="9"/>
          <w:pgMar w:top="1134" w:right="1418" w:bottom="1418" w:left="1418" w:header="567" w:footer="567" w:gutter="0"/>
          <w:cols w:space="720"/>
          <w:noEndnote/>
          <w:docGrid w:linePitch="326"/>
        </w:sectPr>
      </w:pPr>
    </w:p>
    <w:p w14:paraId="0B9D8880" w14:textId="10812163" w:rsidR="00A14F06" w:rsidRPr="00505787" w:rsidRDefault="00A14F06" w:rsidP="003B572B">
      <w:pPr>
        <w:pStyle w:val="ATHeading3"/>
      </w:pPr>
      <w:r w:rsidRPr="00505787">
        <w:lastRenderedPageBreak/>
        <w:t xml:space="preserve">3. </w:t>
      </w:r>
      <w:r w:rsidR="00CF08ED" w:rsidRPr="00505787">
        <w:t xml:space="preserve">2025 m. spalio 22 d. Europos Parlamento rezoliucija </w:t>
      </w:r>
      <w:r w:rsidRPr="00505787">
        <w:t>su pastabomis, sudarančiomis neatskiriamą sprendimų dėl Europos Sąjungos agentūrų 2023 finansinių metų biudžeto įvykdymo patvirtinimo dalį</w:t>
      </w:r>
      <w:r w:rsidR="00CF08ED" w:rsidRPr="00505787">
        <w:t xml:space="preserve"> </w:t>
      </w:r>
      <w:r w:rsidRPr="00505787">
        <w:t>(2024/2030(DEC))</w:t>
      </w:r>
    </w:p>
    <w:p w14:paraId="358A41CF" w14:textId="77777777" w:rsidR="00A14F06" w:rsidRPr="00505787" w:rsidRDefault="00A14F06" w:rsidP="00A14F06">
      <w:pPr>
        <w:pStyle w:val="EPComma"/>
      </w:pPr>
      <w:r w:rsidRPr="00505787">
        <w:rPr>
          <w:i/>
        </w:rPr>
        <w:t>Europos Parlamentas</w:t>
      </w:r>
      <w:r w:rsidRPr="00505787">
        <w:t>,</w:t>
      </w:r>
    </w:p>
    <w:p w14:paraId="140B7B97" w14:textId="77777777" w:rsidR="00A14F06" w:rsidRPr="00505787" w:rsidRDefault="00A14F06" w:rsidP="00A14F06">
      <w:pPr>
        <w:pStyle w:val="NormalHanging12a"/>
      </w:pPr>
      <w:r w:rsidRPr="00505787">
        <w:t>–</w:t>
      </w:r>
      <w:r w:rsidRPr="00505787">
        <w:tab/>
        <w:t>atsižvelgdamas į savo sprendimą dėl Europos Sąjungos prieglobsčio agentūros 2023 finansinių metų biudžeto įvykdymo patvirtinimo,</w:t>
      </w:r>
    </w:p>
    <w:p w14:paraId="17911E15" w14:textId="77777777" w:rsidR="00A14F06" w:rsidRPr="00505787" w:rsidRDefault="00A14F06" w:rsidP="00A14F06">
      <w:pPr>
        <w:pStyle w:val="NormalHanging12a"/>
      </w:pPr>
      <w:r w:rsidRPr="00505787">
        <w:t>–</w:t>
      </w:r>
      <w:r w:rsidRPr="00505787">
        <w:tab/>
        <w:t>atsižvelgdamas į Darbo tvarkos taisyklių 102 straipsnį ir V priedą,</w:t>
      </w:r>
    </w:p>
    <w:p w14:paraId="353BD762" w14:textId="7290C19A" w:rsidR="00A14F06" w:rsidRPr="00505787" w:rsidRDefault="00A14F06" w:rsidP="00A14F06">
      <w:pPr>
        <w:pStyle w:val="NormalHanging12a"/>
      </w:pPr>
      <w:r w:rsidRPr="00505787">
        <w:t>–</w:t>
      </w:r>
      <w:r w:rsidRPr="00505787">
        <w:tab/>
        <w:t>atsižvelgiant į bendros Europos prieglobsčio sistemos veikimą, taisyklių laikymasis, tinkamas įgyvendinimas ir vykdymo užtikrinimas, taip pat tvari ir tinkama E</w:t>
      </w:r>
      <w:r w:rsidR="004119FB" w:rsidRPr="00505787">
        <w:t>uropos Sąjungos</w:t>
      </w:r>
      <w:r w:rsidRPr="00505787">
        <w:t xml:space="preserve"> prieglobsčio agentūros finansinė parama yra itin svarbūs siekiant užtikrinti Europos Sąjungos valstybių narių bendros atsakomybės ir solidarumo sistemą;</w:t>
      </w:r>
    </w:p>
    <w:p w14:paraId="53C29694" w14:textId="77777777" w:rsidR="00A14F06" w:rsidRPr="00505787" w:rsidRDefault="00A14F06" w:rsidP="00A14F06">
      <w:pPr>
        <w:pStyle w:val="NormalHanging12a"/>
      </w:pPr>
      <w:r w:rsidRPr="00505787">
        <w:t>–</w:t>
      </w:r>
      <w:r w:rsidRPr="00505787">
        <w:tab/>
        <w:t>atsižvelgdamas į 2024 m. spalio mėn. baigtą rengti ir 2025 m. kovo mėn. Biudžeto kontrolės komiteto nariams pateiktą OLAF galutinę ataskaitą (OC-2022-0717) dėl Europos Sąjungos prieglobsčio agentūros,</w:t>
      </w:r>
    </w:p>
    <w:p w14:paraId="6B178CA5" w14:textId="18EEFA5E" w:rsidR="00A14F06" w:rsidRPr="00505787" w:rsidRDefault="00A14F06" w:rsidP="00A14F06">
      <w:pPr>
        <w:pStyle w:val="NormalHanging12a"/>
        <w:rPr>
          <w:bCs/>
        </w:rPr>
      </w:pPr>
      <w:r w:rsidRPr="00505787">
        <w:t>–</w:t>
      </w:r>
      <w:r w:rsidRPr="00505787">
        <w:tab/>
        <w:t xml:space="preserve">atsižvelgdamas į 2025 m. kovo mėn. </w:t>
      </w:r>
      <w:r w:rsidR="004119FB" w:rsidRPr="00505787">
        <w:t>Europos Sąjungos prieglobsčio agentūros</w:t>
      </w:r>
      <w:r w:rsidRPr="00505787">
        <w:t xml:space="preserve"> </w:t>
      </w:r>
      <w:r w:rsidR="001925A2" w:rsidRPr="001925A2">
        <w:t xml:space="preserve">valdančiosios tarybos </w:t>
      </w:r>
      <w:r w:rsidRPr="00505787">
        <w:t>pirmininkės ir 2025 m. liepos mėn. Europos Sąjungos prieglobsčio agentūros vykdomosios direktorės išsiųstus laiškus,</w:t>
      </w:r>
    </w:p>
    <w:p w14:paraId="017B90D4" w14:textId="77777777" w:rsidR="00A14F06" w:rsidRPr="00505787" w:rsidRDefault="00A14F06" w:rsidP="00A14F06">
      <w:pPr>
        <w:pStyle w:val="NormalHanging12a"/>
      </w:pPr>
      <w:r w:rsidRPr="00505787">
        <w:t xml:space="preserve">– </w:t>
      </w:r>
      <w:r w:rsidRPr="00505787">
        <w:tab/>
        <w:t>atsižvelgdamas į 2025 m. liepos 15 d. keitimąsi nuomonėmis su OLAF, Europos Sąjungos prieglobsčio agentūros ir Vidaus reikalų GD atstovais,</w:t>
      </w:r>
    </w:p>
    <w:p w14:paraId="7C6FC44B" w14:textId="77777777" w:rsidR="00A14F06" w:rsidRPr="00505787" w:rsidRDefault="00A14F06" w:rsidP="00A14F06">
      <w:pPr>
        <w:pStyle w:val="NormalHanging12a"/>
      </w:pPr>
      <w:r w:rsidRPr="00505787">
        <w:t>–</w:t>
      </w:r>
      <w:r w:rsidRPr="00505787">
        <w:tab/>
        <w:t>atsižvelgdamas į Biudžeto kontrolės komiteto antrąjį pranešimą (A10</w:t>
      </w:r>
      <w:r w:rsidRPr="00505787">
        <w:noBreakHyphen/>
        <w:t>0169/2025),</w:t>
      </w:r>
    </w:p>
    <w:p w14:paraId="66CA62B0" w14:textId="77777777" w:rsidR="00A14F06" w:rsidRPr="00505787" w:rsidRDefault="00A14F06" w:rsidP="00A14F06">
      <w:pPr>
        <w:pStyle w:val="NormalHanging12a"/>
      </w:pPr>
      <w:r w:rsidRPr="00505787">
        <w:t>A.</w:t>
      </w:r>
      <w:r w:rsidRPr="00505787">
        <w:tab/>
        <w:t>kadangi visos Sąjungos decentralizuotos agentūros privalo veikti skaidriai ir būti visapusiškai atskaitingos Sąjungos piliečiams už joms, kaip Sąjungos įstaigoms, patikėtas lėšas;</w:t>
      </w:r>
    </w:p>
    <w:p w14:paraId="7D38DF76" w14:textId="77777777" w:rsidR="00A14F06" w:rsidRPr="00505787" w:rsidRDefault="00A14F06" w:rsidP="00A14F06">
      <w:pPr>
        <w:pStyle w:val="NormalHanging12a"/>
      </w:pPr>
      <w:r w:rsidRPr="00505787">
        <w:t>B.</w:t>
      </w:r>
      <w:r w:rsidRPr="00505787">
        <w:tab/>
        <w:t>kadangi Europos Sąjungos prieglobsčio agentūra, kaip Sąjungos įstaiga, kuriai pavestos svarbios pareigos ir ištekliai, atitinkamai privalo veikti laikydamasi aukščiausių skaidrumo, atskaitomybės ir pavyzdinio elgesio standartų, taip užtikrindama Sąjungos piliečių ir institucijų pasitikėjimą;</w:t>
      </w:r>
    </w:p>
    <w:p w14:paraId="09E1B6CB" w14:textId="77777777" w:rsidR="00A14F06" w:rsidRPr="00505787" w:rsidRDefault="00A14F06" w:rsidP="00A14F06">
      <w:pPr>
        <w:pStyle w:val="NormalHanging12a"/>
      </w:pPr>
      <w:r w:rsidRPr="00505787">
        <w:t>C.</w:t>
      </w:r>
      <w:r w:rsidRPr="00505787">
        <w:tab/>
        <w:t>kadangi Parlamento vaidmuo teikiant biudžeto įvykdymo patvirtinimą yra nurodytas Sutartyje dėl Europos Sąjungos veikimo (SESV), Finansiniame reglamente ir finansiniame pagrindų reglamente;</w:t>
      </w:r>
    </w:p>
    <w:p w14:paraId="332E4637" w14:textId="77777777" w:rsidR="00A14F06" w:rsidRPr="00505787" w:rsidRDefault="00A14F06" w:rsidP="00A14F06">
      <w:pPr>
        <w:pStyle w:val="NormalHanging12a"/>
      </w:pPr>
      <w:r w:rsidRPr="00505787">
        <w:t>D.</w:t>
      </w:r>
      <w:r w:rsidRPr="00505787">
        <w:tab/>
        <w:t>kadangi OLAF, kaip Sąjungos kovos su sukčiavimu įstaiga, privalo laiku suteikti tinkamas galimybes Europos Parlamentui susipažinti su jos išvadomis, kad būtų sudarytos sąlygos veiksmingam tikrinimui biudžeto įvykdymo patvirtinimo procese;</w:t>
      </w:r>
    </w:p>
    <w:p w14:paraId="114875DD" w14:textId="77777777" w:rsidR="00A14F06" w:rsidRPr="00505787" w:rsidRDefault="00A14F06" w:rsidP="00A14F06">
      <w:pPr>
        <w:pStyle w:val="NormalHanging12a"/>
      </w:pPr>
      <w:r w:rsidRPr="00505787">
        <w:t>1.</w:t>
      </w:r>
      <w:r w:rsidRPr="00505787">
        <w:tab/>
        <w:t>primena apie Parlamento vaidmenį vykdant biudžeto įvykdymo patvirtinimo procedūrą, kaip reglamentuojama SESV, Finansiniame reglamente ir Parlamento darbo tvarkos taisyklėse;</w:t>
      </w:r>
    </w:p>
    <w:p w14:paraId="23DE5682" w14:textId="77777777" w:rsidR="00A14F06" w:rsidRPr="00505787" w:rsidRDefault="00A14F06" w:rsidP="00A14F06">
      <w:pPr>
        <w:pStyle w:val="NormalHanging12a"/>
      </w:pPr>
      <w:r w:rsidRPr="00505787">
        <w:t>2.</w:t>
      </w:r>
      <w:r w:rsidRPr="00505787">
        <w:tab/>
        <w:t xml:space="preserve">primena, kad 2025 m. gegužės 7 d. Parlamentas nusprendė atidėti sprendimą dėl </w:t>
      </w:r>
      <w:r w:rsidRPr="00505787">
        <w:lastRenderedPageBreak/>
        <w:t>Europos Sąjungos prieglobsčio agentūros (toliau – Agentūra) 2023 m. biudžeto įvykdymo patvirtinimo;</w:t>
      </w:r>
    </w:p>
    <w:p w14:paraId="23A98E0C" w14:textId="77777777" w:rsidR="00A14F06" w:rsidRPr="00505787" w:rsidRDefault="00A14F06" w:rsidP="00A14F06">
      <w:pPr>
        <w:pStyle w:val="NormalHanging12a"/>
      </w:pPr>
      <w:r w:rsidRPr="00505787">
        <w:t>3.</w:t>
      </w:r>
      <w:r w:rsidRPr="00505787">
        <w:tab/>
        <w:t>pabrėžia, kad nepaprastai svarbu atsakingai ir skaidriai vykdyti Sąjungos biudžetą; primygtinai tvirtina, kad kiekvienu atveju, kai nesilaikoma šių principų, mažinamas visuomenės pasitikėjimas;</w:t>
      </w:r>
    </w:p>
    <w:p w14:paraId="3ABB2D83" w14:textId="77777777" w:rsidR="00A14F06" w:rsidRPr="00505787" w:rsidRDefault="00A14F06" w:rsidP="00A14F06">
      <w:pPr>
        <w:pStyle w:val="NormalHanging12a"/>
        <w:rPr>
          <w:b/>
          <w:i/>
        </w:rPr>
      </w:pPr>
      <w:r w:rsidRPr="00505787">
        <w:rPr>
          <w:b/>
          <w:i/>
        </w:rPr>
        <w:t>Europos kovos su sukčiavimu tarnybos (OLAF) tyrimo rezultatai</w:t>
      </w:r>
    </w:p>
    <w:p w14:paraId="39CDDB8C" w14:textId="77777777" w:rsidR="00A14F06" w:rsidRPr="00505787" w:rsidRDefault="00A14F06" w:rsidP="00A14F06">
      <w:pPr>
        <w:pStyle w:val="NormalHanging12a"/>
      </w:pPr>
      <w:r w:rsidRPr="00505787">
        <w:t>4.</w:t>
      </w:r>
      <w:r w:rsidRPr="00505787">
        <w:tab/>
        <w:t>pažymi, kad OLAF 2025 m. kovo mėn. Biudžeto kontrolės komiteto nariams, o 2025 m. liepos mėn. Piliečių laisvių, teisingumo ir vidaus reikalų komitetui pateikė anonimizuotą savo galutinės tyrimo ataskaitos versiją; apgailestauja dėl to, kad, nepaisant 2024 m. gruodžio mėn. pranešėjo pateikto prašymo, galimybė susipažinti su tyrimu buvo vilkinama ir suteikta tik kovo mėn., OLAF atsakyme nurodant Europos Sąjungos prieglobsčio agentūros valdančiosios tarybos prieštaravimus; atkakliai tvirtina, kad, siekiant užtikrinti tinkamą CONT komiteto narių įgaliojimų vykdymą, galimybė susipažinti su ataskaita jiems turėjo būti suteikta anksčiau;</w:t>
      </w:r>
    </w:p>
    <w:p w14:paraId="296C6559" w14:textId="77777777" w:rsidR="00A14F06" w:rsidRPr="00505787" w:rsidRDefault="00A14F06" w:rsidP="00A14F06">
      <w:pPr>
        <w:pStyle w:val="NormalHanging12a"/>
      </w:pPr>
      <w:r w:rsidRPr="00505787">
        <w:t>5.</w:t>
      </w:r>
      <w:r w:rsidRPr="00505787">
        <w:tab/>
        <w:t>žino, kad OLAF tyrimai nuolat atliekami laikotarpiu, kuris turi būti proporcingas bylos aplinkybėms ir sudėtingumui; yra susirūpinęs dėl OLAF tyrimų trukmės, nes dėl jos kenkiama biudžeto įvykdymą tvirtinančios institucijos gebėjimui veiksmingai apsvarstyti jų išvadas; primygtinai tvirtina, kad laiku atliekami tyrimai yra nepaprastai svarbūs užtikrinant veiksmingą Parlamento priežiūrą; ragina OLAF persvarstyti ir paspartinti tyrimų užbaigimo ir dalijimosi jais su biudžeto įvykdymą tvirtinančia institucija procedūrą; pabrėžia, kad toks vėlavimas kenkia CONT komiteto narių gebėjimui veiksmingai vykdyti savo priežiūros įgaliojimus, ir ragina imtis priemonių siekiant ateityje užtikrinti greitą prieigą prie tyrimų ataskaitų;</w:t>
      </w:r>
    </w:p>
    <w:p w14:paraId="3E78D8DB" w14:textId="77777777" w:rsidR="00A14F06" w:rsidRPr="00505787" w:rsidRDefault="00A14F06" w:rsidP="00A14F06">
      <w:pPr>
        <w:pStyle w:val="NormalHanging12a"/>
      </w:pPr>
      <w:r w:rsidRPr="00505787">
        <w:t>6.</w:t>
      </w:r>
      <w:r w:rsidRPr="00505787">
        <w:tab/>
        <w:t>pabrėžia, kad Sąjungos biudžeto apsauga ir toliau turi būti pagrindinė vertybė patikimo finansų valdymo, kurio privalo laikytis visos Sąjungos institucijos, įskaitant agentūras ir decentralizuotas įstaigas – jos turi rodyti aiškų atsakomybės ir skaidrumo naudojant Europos viešąsias lėšas pavyzdį – srityje; pakartoja, kad reikia stiprinti koordinavimą ir bendradarbiavimą institucinėje kovos su sukčiavimu sistemoje, visų pirma siekiant patenkinti greitesnių ir veiksmingesnių OLAF tyrimų poreikį, suderinant šias pastangas su platesniu Sąjungos finansų apsaugos tikslu;</w:t>
      </w:r>
    </w:p>
    <w:p w14:paraId="3D241503" w14:textId="77777777" w:rsidR="00A14F06" w:rsidRPr="00505787" w:rsidRDefault="00A14F06" w:rsidP="00A14F06">
      <w:pPr>
        <w:pStyle w:val="NormalHanging12a"/>
      </w:pPr>
      <w:r w:rsidRPr="00505787">
        <w:t>7.</w:t>
      </w:r>
      <w:r w:rsidRPr="00505787">
        <w:tab/>
        <w:t>ragina Agentūrą ir OLAF, siekiant užtikrinti skaidrumą ir visuomenės pasitikėjimą, viešai paskelbti, kiek tai teisiškai įmanoma, anonimizuotą OLAF ataskaitos santrauką;</w:t>
      </w:r>
    </w:p>
    <w:p w14:paraId="2C46EA8F" w14:textId="77777777" w:rsidR="00A14F06" w:rsidRPr="00505787" w:rsidRDefault="00A14F06" w:rsidP="00A14F06">
      <w:pPr>
        <w:pStyle w:val="NormalHanging12a"/>
      </w:pPr>
      <w:r w:rsidRPr="00505787">
        <w:t>8.</w:t>
      </w:r>
      <w:r w:rsidRPr="00505787">
        <w:tab/>
        <w:t>atkreipia dėmesį į tai, kad po tyrimo OLAF pateikė drausmines ir administracines rekomendacijas;</w:t>
      </w:r>
    </w:p>
    <w:p w14:paraId="37A13AF4" w14:textId="77777777" w:rsidR="00A14F06" w:rsidRPr="00505787" w:rsidRDefault="00A14F06" w:rsidP="00A14F06">
      <w:pPr>
        <w:pStyle w:val="NormalHanging12a"/>
      </w:pPr>
      <w:r w:rsidRPr="00505787">
        <w:t>9.</w:t>
      </w:r>
      <w:r w:rsidRPr="00505787">
        <w:tab/>
        <w:t>atkreipia dėmesį į tai, kad, kiek tai susiję su drausminėmis rekomendacijomis, valdančioji taryba nusprendė, kad jos tolesni veiksmai bus nepradėti drausminės procedūros, ir vietoj to pateikė rašytines rekomendacijas su įspėjimu ir paprašė vykdomosios direktorės kuo greičiau pateikti konkrečių pasiūlymų dėl taisomųjų veiksmų bei jų įgyvendinimo tvarkaraštį; pripažįsta, kad, atsižvelgdama į šį prašymą, vykdomoji direktorė valdančiajai tarybai pateikė šiuos dokumentus, kurie apima:</w:t>
      </w:r>
    </w:p>
    <w:p w14:paraId="3F5F75A9" w14:textId="77777777" w:rsidR="00A14F06" w:rsidRPr="00505787" w:rsidRDefault="00A14F06" w:rsidP="000D5016">
      <w:pPr>
        <w:pStyle w:val="NormalHanging12a"/>
        <w:ind w:left="1134"/>
      </w:pPr>
      <w:r w:rsidRPr="00505787">
        <w:t>–</w:t>
      </w:r>
      <w:r w:rsidRPr="00505787">
        <w:tab/>
        <w:t>valdančiosios tarybos rekomendacijas;</w:t>
      </w:r>
    </w:p>
    <w:p w14:paraId="4C31B820" w14:textId="77777777" w:rsidR="00A14F06" w:rsidRPr="00505787" w:rsidRDefault="00A14F06" w:rsidP="000D5016">
      <w:pPr>
        <w:pStyle w:val="NormalHanging12a"/>
        <w:ind w:left="1134"/>
      </w:pPr>
      <w:r w:rsidRPr="00505787">
        <w:t>–</w:t>
      </w:r>
      <w:r w:rsidRPr="00505787">
        <w:tab/>
        <w:t>dabartinę Agentūros padėtį, kiek tai susiję su kiekviena rekomendacija, ir</w:t>
      </w:r>
    </w:p>
    <w:p w14:paraId="2A717466" w14:textId="77777777" w:rsidR="00A14F06" w:rsidRPr="00505787" w:rsidRDefault="00A14F06" w:rsidP="000D5016">
      <w:pPr>
        <w:pStyle w:val="NormalHanging12a"/>
        <w:ind w:left="1134"/>
      </w:pPr>
      <w:r w:rsidRPr="00505787">
        <w:lastRenderedPageBreak/>
        <w:t>–</w:t>
      </w:r>
      <w:r w:rsidRPr="00505787">
        <w:tab/>
        <w:t>papildomus taisomuosius veiksmus, kurie turi būti įgyvendinti, įskaitant preliminarų jų įgyvendinimo tvarkaraštį; ragina valdančiąją tarybą imtis tolesnių veiksmų dėl rekomendacijų ir pranešti biudžeto įvykdymą tvirtinančiai institucijai apie jų visapusišką bei savalaikį įgyvendinimą;</w:t>
      </w:r>
    </w:p>
    <w:p w14:paraId="5D8B3F8D" w14:textId="21676648" w:rsidR="00A14F06" w:rsidRPr="00505787" w:rsidRDefault="00A14F06" w:rsidP="00A14F06">
      <w:pPr>
        <w:pStyle w:val="NormalHanging12a"/>
      </w:pPr>
      <w:r w:rsidRPr="00505787">
        <w:t>10.</w:t>
      </w:r>
      <w:r w:rsidRPr="00505787">
        <w:tab/>
        <w:t xml:space="preserve">apgailestauja dėl to, kad po intensyvių svarstymų valdančioji taryba nusprendė neįgyvendinti OLAF drausminių rekomendacijų, įskaitant drausminių procedūrų, taikytinų </w:t>
      </w:r>
      <w:r w:rsidR="00DB1238" w:rsidRPr="00505787">
        <w:t>A</w:t>
      </w:r>
      <w:r w:rsidR="004119FB" w:rsidRPr="00505787">
        <w:t>gentūros</w:t>
      </w:r>
      <w:r w:rsidRPr="00505787">
        <w:t xml:space="preserve"> vykdomajam direktoriui ar bet kuriems kitiems Agentūros darbuotojams, inicijavimą, nepaisant reikšmingų OLAF nustatytų faktų, kurie atrodo esantys sistemingi ir mažina pasitikėjimą Agentūros vadovybe; pabrėžia, kad dėl šio sprendimo kyla klausimų dėl tarybos įsipareigojimo užtikrinti atskaitomybę ir atsakomybę, atsižvelgiant į institucinius lūkesčius, ir pripažįsta, kad taryba, peržiūrėjusi iškeltus klausimus, sąmoningai pasirinko neįgyvendinti rekomendacijų; pabrėžia, kad Parlamentas ir toliau ypač atidžiai stebės, kokių taisomųjų veiksmų imamasi; tikisi, kad Agentūra pademonstruos pavyzdinius tolesnius veiksmus, aukštus standartus, aiškią atsakomybę už taisomųjų priemonių įgyvendinimą ir visapusišką atskaitomybę; ragina Agentūrą užtikrinti skaidrų ataskaitų teikimą Parlamentui, be kita ko, dalytis su Parlamentu valdančiosios tarybos svarstymų protokolais, kad būtų sustiprinta parlamentinė priežiūra;</w:t>
      </w:r>
    </w:p>
    <w:p w14:paraId="4211DD8A" w14:textId="77777777" w:rsidR="00A14F06" w:rsidRPr="00505787" w:rsidRDefault="00A14F06" w:rsidP="00A14F06">
      <w:pPr>
        <w:pStyle w:val="NormalHanging12a"/>
      </w:pPr>
      <w:r w:rsidRPr="00505787">
        <w:t>11.</w:t>
      </w:r>
      <w:r w:rsidRPr="00505787">
        <w:tab/>
        <w:t>pažymi, kad vykdomoji direktorė parengė pareiškimą dėl vadovavimo įgyvendinant pokyčius EUAA vizijos, kuriame nurodyti įgyvendinti ir įgyvendintini taisomieji veiksmai; prašo Agentūros informuoti biudžeto įvykdymą tvirtinančią instituciją apie įgyvendintus ir įgyvendintinus taisomuosius veiksmus ir jų įgyvendinimo užbaigimo terminus;</w:t>
      </w:r>
    </w:p>
    <w:p w14:paraId="426CBE64" w14:textId="77777777" w:rsidR="00A14F06" w:rsidRPr="00505787" w:rsidRDefault="00A14F06" w:rsidP="00A14F06">
      <w:pPr>
        <w:pStyle w:val="NormalHanging12a"/>
      </w:pPr>
      <w:r w:rsidRPr="00505787">
        <w:t>12.</w:t>
      </w:r>
      <w:r w:rsidRPr="00505787">
        <w:tab/>
        <w:t>reiškia susirūpinimą dėl to, kad administracinėse rekomendacijose aptariama darbuotojų vertinimo, kurį atlieka sektoriaus vadovai, o ne skyrių vadovai, praktika, taip pat interesų konfliktų valdymo Agentūroje trūkumai;</w:t>
      </w:r>
    </w:p>
    <w:p w14:paraId="60D0D233" w14:textId="77777777" w:rsidR="00A14F06" w:rsidRPr="00505787" w:rsidRDefault="00A14F06" w:rsidP="00A14F06">
      <w:pPr>
        <w:pStyle w:val="NormalHanging12a"/>
      </w:pPr>
      <w:r w:rsidRPr="00505787">
        <w:t>13.</w:t>
      </w:r>
      <w:r w:rsidRPr="00505787">
        <w:tab/>
        <w:t>palankiai vertina tai, kad nuo 2025 m. darbuotojų vertinimus atliks skyrių vadovai, kaip numatyta taikytinose taisyklėse;</w:t>
      </w:r>
    </w:p>
    <w:p w14:paraId="461CE07E" w14:textId="77777777" w:rsidR="00A14F06" w:rsidRPr="00505787" w:rsidRDefault="00A14F06" w:rsidP="00A14F06">
      <w:pPr>
        <w:pStyle w:val="NormalHanging12a"/>
      </w:pPr>
      <w:r w:rsidRPr="00505787">
        <w:t>14.</w:t>
      </w:r>
      <w:r w:rsidRPr="00505787">
        <w:tab/>
        <w:t>ypač apgailestauja dėl interesų konfliktų valdymo Agentūroje trūkumų, visų pirma dėl to, kad valdančioji taryba netinkamai nagrinėja skundus dėl vykdomojo direktoriaus priimtų sprendimų; primygtinai tvirtina, kad tokia praktika kenkia Agentūros sąžiningumui ir patikimumui; ragina Agentūrą nedelsiant informuoti biudžeto įvykdymą tvirtinančią instituciją apie taisomuosius veiksmus ir organizacinius pokyčius, kurie buvo įgyvendinti; pabrėžia, kad tik patikima ir pavyzdinė interesų konfliktų valdymo sistema bus traktuojama kaip priimtina;</w:t>
      </w:r>
    </w:p>
    <w:p w14:paraId="5CDD262D" w14:textId="77777777" w:rsidR="00A14F06" w:rsidRPr="00505787" w:rsidRDefault="00A14F06" w:rsidP="00A14F06">
      <w:pPr>
        <w:pStyle w:val="NormalHanging12a"/>
      </w:pPr>
      <w:r w:rsidRPr="00505787">
        <w:t>15.</w:t>
      </w:r>
      <w:r w:rsidRPr="00505787">
        <w:tab/>
        <w:t>pažymi, kad tiek valdančioji taryba, tiek vykdomoji direktorė pripažino įtarimų ir iškeltų klausimų rimtumą; vis dėlto pripažįsta, kad vykdomoji direktorė išreiškė skeptišką nuomonę, nurodydama ypač didelį darbo krūvį krizių metu, tačiau jis negali būti naudojamas kaip pagrindas atmesti išvadas; mano, kad pripažinimą turi lydėti ryžtingos taisomosios priemonės, savalaikis įgyvendinimas ir visiška atskaitomybė biudžeto įvykdymą tvirtinančiai institucijai;</w:t>
      </w:r>
    </w:p>
    <w:p w14:paraId="2B0E7579" w14:textId="77777777" w:rsidR="00A14F06" w:rsidRPr="00505787" w:rsidRDefault="00A14F06" w:rsidP="00A14F06">
      <w:pPr>
        <w:pStyle w:val="NormalHanging12a"/>
      </w:pPr>
      <w:r w:rsidRPr="00505787">
        <w:t>16.</w:t>
      </w:r>
      <w:r w:rsidRPr="00505787">
        <w:tab/>
        <w:t xml:space="preserve">susirūpinęs atkreipia dėmesį į pasikartojančius valdymo trūkumus, įskaitant valdančiosios tarybos negebėjimą laiku vykdyti veiksmingą priežiūrą; apgailestauja, kad, jei valdančioji taryba būtų vykdžiusi geresnę vidaus kontrolę ir būtų proaktyviai </w:t>
      </w:r>
      <w:r w:rsidRPr="00505787">
        <w:lastRenderedPageBreak/>
        <w:t>bendradarbiavusi, būtų buvę galima užkirsti kelią keliems pažeidimams; primygtinai tvirtina, kad šiam instituciniam trūkumui šalinti reikalingi struktūriniai, o ne tik procedūriniai spendimai;</w:t>
      </w:r>
    </w:p>
    <w:p w14:paraId="64BD76BA" w14:textId="16CB93F4" w:rsidR="00A14F06" w:rsidRPr="00505787" w:rsidRDefault="00A14F06" w:rsidP="00A14F06">
      <w:pPr>
        <w:pStyle w:val="NormalHanging12a"/>
      </w:pPr>
      <w:r w:rsidRPr="00505787">
        <w:t>17.</w:t>
      </w:r>
      <w:r w:rsidRPr="00505787">
        <w:tab/>
        <w:t xml:space="preserve">apgailestauja dėl prasto administravimo, ypač žmogiškųjų išteklių srityje, problemų, padarant rimtus pažeidimus, ypač vykdant skyrimo ir atrankos procedūras, kuriomis pažeisti Pareigūnų tarnybos nuostatai ir kitų tarnautojų įdarbinimo sąlygos; žino, kad 2019–2022 m. laikotarpiu Agentūra veikė sudėtingomis aplinkybėmis, pavyzdžiui, dėl COVID-19 pandemijos, Laikinosios apsaugos direktyvos aktyvavimo arba </w:t>
      </w:r>
      <w:r w:rsidR="004119FB" w:rsidRPr="00505787">
        <w:t xml:space="preserve">Agentūros </w:t>
      </w:r>
      <w:r w:rsidRPr="00505787">
        <w:t>reglamento</w:t>
      </w:r>
      <w:r w:rsidR="00DB1238" w:rsidRPr="00505787">
        <w:rPr>
          <w:rStyle w:val="FootnoteReference"/>
        </w:rPr>
        <w:footnoteReference w:id="17"/>
      </w:r>
      <w:r w:rsidRPr="00505787">
        <w:t>, kuriuo numatyti nauji įgaliojimai, kompetencijos sritys ir užduotys, įsigaliojimo; vis dėlto atmeta bet kokį bandymą remtis tokiomis aplinkybėmis pateisinant privalomų teisės aktų nesilaikymą; ragina Agentūrą visapusiškai suderinti savo įdarbinimo procesus su taikytinomis taisyklėmis ir atkakliai ragina patvirtinti griežtas, skaidrias ir nuopelnais grindžiamas procedūras, kurias papildytų vykdytinos gairės ir atidžiai prižiūrėtų biudžeto įvykdymą tvirtinanti institucija;</w:t>
      </w:r>
    </w:p>
    <w:p w14:paraId="53809A41" w14:textId="77777777" w:rsidR="00A14F06" w:rsidRPr="00505787" w:rsidRDefault="00A14F06" w:rsidP="00A14F06">
      <w:pPr>
        <w:pStyle w:val="NormalHanging12a"/>
      </w:pPr>
      <w:r w:rsidRPr="00505787">
        <w:t>18.</w:t>
      </w:r>
      <w:r w:rsidRPr="00505787">
        <w:tab/>
        <w:t xml:space="preserve">palankiai vertina tai, kad nuo 2023 m. sausio mėn. nebetaikoma vadovų </w:t>
      </w:r>
      <w:r w:rsidRPr="00505787">
        <w:rPr>
          <w:i/>
        </w:rPr>
        <w:t>ad interim</w:t>
      </w:r>
      <w:r w:rsidRPr="00505787">
        <w:t xml:space="preserve"> skyrimo praktika;</w:t>
      </w:r>
    </w:p>
    <w:p w14:paraId="07AAA3E8" w14:textId="77777777" w:rsidR="00A14F06" w:rsidRPr="00505787" w:rsidRDefault="00A14F06" w:rsidP="00A14F06">
      <w:pPr>
        <w:pStyle w:val="NormalHanging12a"/>
      </w:pPr>
      <w:r w:rsidRPr="00505787">
        <w:t>19.</w:t>
      </w:r>
      <w:r w:rsidRPr="00505787">
        <w:tab/>
        <w:t>primena, kad viena iš pagrindinių valdančiosios tarybos pareigų yra nustatyti bendras Agentūros veiklos gaires ir užtikrinti, kad Agentūra veiksmingai vykdytų savo įgaliojimus; mano, jog tam, kad valdančioji taryba teiktų bendras gaires, ji turi žinoti apie Agentūrai taikytinus teisės aktus ir esminius Agentūros valdymo pokyčius, taip pat būti tinkamai apie juos informuota; apgailestauja dėl nuolat pasikartojančių trūkumų šioje srityje ir ragina Agentūrą nustatyti veiksmingas, sistemingas ir skaidrias komunikacijos su valdančiąja taryba procedūras;</w:t>
      </w:r>
    </w:p>
    <w:p w14:paraId="385EAB29" w14:textId="77777777" w:rsidR="00A14F06" w:rsidRPr="00505787" w:rsidRDefault="00A14F06" w:rsidP="00A14F06">
      <w:pPr>
        <w:pStyle w:val="NormalHanging12a"/>
      </w:pPr>
      <w:r w:rsidRPr="00505787">
        <w:t>20.</w:t>
      </w:r>
      <w:r w:rsidRPr="00505787">
        <w:tab/>
        <w:t>ragina Europos Komisiją, kuri turi dvi vietas valdančiojoje taryboje, aktyviai teikti paramą ir padėti kitiems valdančiosios tarybos nariams suprasti Agentūrai taikomas taisykles, ir nustatyti bei skleisti patirtį, įgytą šiuo konkrečiu atveju, – tai būtų platesnių prevencijos pastangų dalis; ragina Agentūrą informuoti biudžeto įvykdymą tvirtinančią instituciją apie priemones, kurių imtasi siekiant pagerinti komunikaciją su valdančiąja taryba;</w:t>
      </w:r>
    </w:p>
    <w:p w14:paraId="22D9205C" w14:textId="77777777" w:rsidR="00A14F06" w:rsidRPr="00505787" w:rsidRDefault="00A14F06" w:rsidP="00A14F06">
      <w:pPr>
        <w:pStyle w:val="NormalHanging12a"/>
      </w:pPr>
      <w:r w:rsidRPr="00505787">
        <w:t>21.</w:t>
      </w:r>
      <w:r w:rsidRPr="00505787">
        <w:tab/>
        <w:t>teigiamai vertina keičiantis nuomonėmis Komisijos pateiktą pasiūlymą dėl galimybės decentralizuotose agentūrose dalytis jungtinėmis tarnybomis tam tikrose horizontaliose srityse, nes tai padėtų geriau valdyti procesus ir veiksmingiau naudoti išteklius; ragina Komisiją išnagrinėti šią galimybę ir pasiūlyti konkrečių veiksmų šiuo tikslu;</w:t>
      </w:r>
    </w:p>
    <w:p w14:paraId="7EBB2270" w14:textId="77777777" w:rsidR="00A14F06" w:rsidRPr="00505787" w:rsidRDefault="00A14F06" w:rsidP="00A14F06">
      <w:pPr>
        <w:pStyle w:val="NormalHanging12a"/>
      </w:pPr>
      <w:r w:rsidRPr="00505787">
        <w:t>22.</w:t>
      </w:r>
      <w:r w:rsidRPr="00505787">
        <w:tab/>
        <w:t>ragina Agentūrą sukurti nepriklausomą vidaus etikos pareigybę ir pabrėžia, kad svarbu nustatyti griežtas pranešėjų apie pažeidimus apsaugos taisykles, vadovaujantis Direktyva (ES) 2019/1937; pabrėžia, kad vidaus pranešimų teikimo kanalai turi būti konfidencialūs, patikimi ir jais turi pasitikėti visų lygmenų darbuotojai;</w:t>
      </w:r>
    </w:p>
    <w:p w14:paraId="6C252BA7" w14:textId="77777777" w:rsidR="00A14F06" w:rsidRPr="00505787" w:rsidRDefault="00A14F06" w:rsidP="00A14F06">
      <w:pPr>
        <w:pStyle w:val="NormalHanging12a"/>
      </w:pPr>
      <w:r w:rsidRPr="00505787">
        <w:t>23.</w:t>
      </w:r>
      <w:r w:rsidRPr="00505787">
        <w:tab/>
        <w:t xml:space="preserve">pabrėžia, kad, nors kai kurie įvykiai įvyko 2021 m., 2022 m. ir anksčiau, OLAF tyrimas buvo baigtas tik 2024 m.; pabrėžia, kad dar negalima daryti išvados, jog minėtos problemos buvo visiškai išspręstos; pabrėžia, kad biudžeto įvykdymą tvirtinanti </w:t>
      </w:r>
      <w:r w:rsidRPr="00505787">
        <w:lastRenderedPageBreak/>
        <w:t>institucija toliau turi visapusišką teisę vykdyti savo priežiūros pareigas, kol padėtis bus visiškai ištaisyta ir išaiškinta; ragina vykdomąją direktorę ir valdančiąją tarybą pripažinti ir šalinti bet kokius struktūrinius trūkumus, susijusius tiek su Agentūros žmogiškųjų išteklių valdymu, tiek su valdančiosios tarybos priežiūros funkcijomis, taip pat imtis veiksmingų priemonių, kad būtų užkirstas kelias panašių problemų pasikartojimui, ir pasilieka teisę sustabdyti būsimus sprendimus dėl biudžeto įvykdymo patvirtinimo arba priimti juos su sąlygomis, jei Agentūra neįvykdys visapusiškos struktūrinės reformos;</w:t>
      </w:r>
    </w:p>
    <w:p w14:paraId="6908A75E" w14:textId="77777777" w:rsidR="00A14F06" w:rsidRPr="00505787" w:rsidRDefault="00A14F06" w:rsidP="00A14F06">
      <w:pPr>
        <w:pStyle w:val="NormalHanging12a"/>
      </w:pPr>
      <w:r w:rsidRPr="00505787">
        <w:t>24.</w:t>
      </w:r>
      <w:r w:rsidRPr="00505787">
        <w:tab/>
        <w:t>ypač susirūpinęs atkreipia dėmesį į itin didelę darbuotojų kaitą, kaip nurodyta OLAF ataskaitoje, o vadovybė negali pateikti patenkinamo šios kaitos paaiškinimo; ragina vykdomąją direktorę ir valdančiąją tarybą, visų pirma Komisijos atstovus joje, rengti sistemingus pasitraukimo iš tarnybos pokalbius su visais atsistatydinančiais darbuotojais, išsamiai dokumentuoti išvadas ir, vykdant 2024 m. biudžeto įvykdymo patvirtinimo procedūrą, pranešti biudžeto įvykdymą tvirtinančiai institucijai apie šiuo klausimu pasiektus rezultatus ir padarytą pažangą;</w:t>
      </w:r>
    </w:p>
    <w:p w14:paraId="0C09AB2D" w14:textId="77777777" w:rsidR="00A14F06" w:rsidRPr="00505787" w:rsidRDefault="00A14F06" w:rsidP="00A14F06">
      <w:pPr>
        <w:pStyle w:val="NormalHanging12a"/>
      </w:pPr>
      <w:r w:rsidRPr="00505787">
        <w:t>25.</w:t>
      </w:r>
      <w:r w:rsidRPr="00505787">
        <w:tab/>
        <w:t>giria Agentūros darbuotojus už jų atsidavimą ir įsipareigojimą vykdyti savo užduotis, nepaisant sudėtingų aplinkybių; mano, kad nepaprastai svarbu puoselėti pozityvią darbo aplinką skatinant gerąją praktiką žmogiškųjų išteklių lygmeniu ir apdovanojant už nuopelnais grindžiamus veiklos rezultatus; primygtinai ragina valdančiąją tarybą ir vykdomąją direktorę užtikrinti, kad Agentūra būtų saugi darbo vieta, kurioje būtų atsižvelgiama į darbuotojų reikmes ir skatinama atvira komunikacija, o asmenys įgalinami pasisakyti nebijant atsakomųjų veiksmų; ragina Agentūrą užtikrinti, kad į visus pranešimus apie profesinius nusižengimus būtų atsižvelgiama rimtai ir jie būtų nuodugniai išnagrinėti, imantis tinkamų tolesnių veiksmų, kad organizacijoje būtų išlaikytas sąžiningumas ir pasitikėjimas;</w:t>
      </w:r>
    </w:p>
    <w:p w14:paraId="69F891A5" w14:textId="77777777" w:rsidR="00A14F06" w:rsidRPr="00505787" w:rsidRDefault="00A14F06" w:rsidP="00A14F06">
      <w:pPr>
        <w:pStyle w:val="NormalHanging12a"/>
        <w:jc w:val="center"/>
      </w:pPr>
      <w:r w:rsidRPr="00505787">
        <w:t>°</w:t>
      </w:r>
    </w:p>
    <w:p w14:paraId="7FF85EE6" w14:textId="77777777" w:rsidR="00A14F06" w:rsidRPr="00505787" w:rsidRDefault="00A14F06" w:rsidP="00A14F06">
      <w:pPr>
        <w:pStyle w:val="NormalHanging12a"/>
        <w:jc w:val="center"/>
      </w:pPr>
      <w:r w:rsidRPr="00505787">
        <w:t>°</w:t>
      </w:r>
      <w:r w:rsidRPr="00505787">
        <w:tab/>
        <w:t>°</w:t>
      </w:r>
    </w:p>
    <w:p w14:paraId="765D9656" w14:textId="5788FE42" w:rsidR="009C6776" w:rsidRPr="00505787" w:rsidRDefault="00A14F06" w:rsidP="009C6776">
      <w:pPr>
        <w:pStyle w:val="CM1"/>
        <w:spacing w:before="120" w:after="120"/>
        <w:ind w:left="567" w:hanging="567"/>
      </w:pPr>
      <w:r w:rsidRPr="00505787">
        <w:rPr>
          <w:rFonts w:ascii="Times New Roman" w:hAnsi="Times New Roman"/>
          <w:snapToGrid w:val="0"/>
        </w:rPr>
        <w:t>26.</w:t>
      </w:r>
      <w:r w:rsidRPr="00505787">
        <w:rPr>
          <w:rFonts w:ascii="Times New Roman" w:hAnsi="Times New Roman"/>
          <w:snapToGrid w:val="0"/>
        </w:rPr>
        <w:tab/>
        <w:t>pažymi, kad kitos pastabos pateikiamos jo 2025 m. gegužės 7 d.</w:t>
      </w:r>
      <w:r w:rsidRPr="00505787">
        <w:rPr>
          <w:rStyle w:val="FootnoteReference"/>
          <w:rFonts w:ascii="Times New Roman" w:hAnsi="Times New Roman"/>
          <w:snapToGrid w:val="0"/>
        </w:rPr>
        <w:footnoteReference w:id="18"/>
      </w:r>
      <w:r w:rsidRPr="00505787">
        <w:rPr>
          <w:rFonts w:ascii="Times New Roman" w:hAnsi="Times New Roman"/>
          <w:snapToGrid w:val="0"/>
        </w:rPr>
        <w:t xml:space="preserve"> rezoliucijoje su pastabomis, sudarančiomis neatskiriamą sprendimų dėl Europos Sąjungos agentūrų biudžeto įvykdymo patvirtinimo dalį.</w:t>
      </w:r>
    </w:p>
    <w:p w14:paraId="733A0C03" w14:textId="249842E4" w:rsidR="00E365E1" w:rsidRPr="00505787" w:rsidRDefault="00E365E1" w:rsidP="00F163A6"/>
    <w:sectPr w:rsidR="00E365E1" w:rsidRPr="00505787" w:rsidSect="009C6776">
      <w:headerReference w:type="even" r:id="rId11"/>
      <w:headerReference w:type="default" r:id="rId12"/>
      <w:footerReference w:type="even" r:id="rId13"/>
      <w:footerReference w:type="default" r:id="rId14"/>
      <w:headerReference w:type="first" r:id="rId15"/>
      <w:footerReference w:type="first" r:id="rId16"/>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DE4A2D6" w14:textId="77777777" w:rsidR="00F163A6" w:rsidRPr="009C6776" w:rsidRDefault="00F163A6">
      <w:r w:rsidRPr="009C6776">
        <w:separator/>
      </w:r>
    </w:p>
  </w:endnote>
  <w:endnote w:type="continuationSeparator" w:id="0">
    <w:p w14:paraId="67E6B1A0" w14:textId="77777777" w:rsidR="00F163A6" w:rsidRPr="009C6776" w:rsidRDefault="00F163A6">
      <w:r w:rsidRPr="009C6776">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EUAlbertina">
    <w:altName w:val="Cambria"/>
    <w:charset w:val="00"/>
    <w:family w:val="auto"/>
    <w:pitch w:val="variable"/>
    <w:sig w:usb0="800002EF" w:usb1="1000E0FB"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AE4A18" w14:textId="77777777" w:rsidR="00A14F06" w:rsidRPr="009C6776" w:rsidRDefault="00A14F06" w:rsidP="00806EEE">
    <w:pPr>
      <w:pStyle w:val="EPFooter"/>
    </w:pPr>
    <w:r w:rsidRPr="009C6776">
      <w:rPr>
        <w:rStyle w:val="HideTWBExt"/>
      </w:rPr>
      <w:t>&lt;PathFdR&gt;</w:t>
    </w:r>
    <w:r w:rsidRPr="009C6776">
      <w:t>PR\1321847EN.docx</w:t>
    </w:r>
    <w:r w:rsidRPr="009C6776">
      <w:rPr>
        <w:rStyle w:val="HideTWBExt"/>
      </w:rPr>
      <w:t>&lt;/PathFdR&gt;</w:t>
    </w:r>
    <w:r w:rsidRPr="009C6776">
      <w:tab/>
    </w:r>
    <w:r w:rsidRPr="009C6776">
      <w:fldChar w:fldCharType="begin"/>
    </w:r>
    <w:r w:rsidRPr="009C6776">
      <w:instrText xml:space="preserve"> PAGE </w:instrText>
    </w:r>
    <w:r w:rsidRPr="009C6776">
      <w:fldChar w:fldCharType="separate"/>
    </w:r>
    <w:r w:rsidRPr="009C6776">
      <w:rPr>
        <w:noProof/>
      </w:rPr>
      <w:t>4</w:t>
    </w:r>
    <w:r w:rsidRPr="009C6776">
      <w:fldChar w:fldCharType="end"/>
    </w:r>
    <w:r w:rsidRPr="009C6776">
      <w:t>/</w:t>
    </w:r>
    <w:r w:rsidRPr="009C6776">
      <w:fldChar w:fldCharType="begin"/>
    </w:r>
    <w:r w:rsidRPr="009C6776">
      <w:instrText xml:space="preserve"> NUMPAGES </w:instrText>
    </w:r>
    <w:r w:rsidRPr="009C6776">
      <w:fldChar w:fldCharType="separate"/>
    </w:r>
    <w:r w:rsidRPr="009C6776">
      <w:rPr>
        <w:noProof/>
      </w:rPr>
      <w:t>11</w:t>
    </w:r>
    <w:r w:rsidRPr="009C6776">
      <w:rPr>
        <w:noProof/>
      </w:rPr>
      <w:fldChar w:fldCharType="end"/>
    </w:r>
    <w:r w:rsidRPr="009C6776">
      <w:tab/>
      <w:t>PE</w:t>
    </w:r>
    <w:r w:rsidRPr="009C6776">
      <w:rPr>
        <w:rStyle w:val="HideTWBExt"/>
      </w:rPr>
      <w:t>&lt;NoPE&gt;</w:t>
    </w:r>
    <w:r w:rsidRPr="009C6776">
      <w:t>774.259</w:t>
    </w:r>
    <w:r w:rsidRPr="009C6776">
      <w:rPr>
        <w:rStyle w:val="HideTWBExt"/>
      </w:rPr>
      <w:t>&lt;/NoPE&gt;&lt;Version&gt;</w:t>
    </w:r>
    <w:r w:rsidRPr="009C6776">
      <w:t>v01-00</w:t>
    </w:r>
    <w:r w:rsidRPr="009C6776">
      <w:rPr>
        <w:rStyle w:val="HideTWBExt"/>
      </w:rPr>
      <w:t>&lt;/Version&gt;</w:t>
    </w:r>
  </w:p>
  <w:p w14:paraId="395D1924" w14:textId="77777777" w:rsidR="00A14F06" w:rsidRPr="009C6776" w:rsidRDefault="00A14F06" w:rsidP="00806EEE">
    <w:pPr>
      <w:pStyle w:val="EPFooter2"/>
    </w:pPr>
    <w:r w:rsidRPr="009C6776">
      <w:tab/>
    </w:r>
    <w:r w:rsidRPr="009C6776">
      <w:tab/>
    </w:r>
    <w:r w:rsidRPr="009C6776">
      <w:fldChar w:fldCharType="begin"/>
    </w:r>
    <w:r w:rsidRPr="009C6776">
      <w:instrText xml:space="preserve"> DOCPROPERTY "&lt;Extension&gt;" </w:instrText>
    </w:r>
    <w:r w:rsidRPr="009C6776">
      <w:fldChar w:fldCharType="separate"/>
    </w:r>
    <w:r w:rsidRPr="009C6776">
      <w:t>LT</w:t>
    </w:r>
    <w:r w:rsidRPr="009C6776">
      <w:fldChar w:fldCharType="end"/>
    </w:r>
  </w:p>
  <w:p w14:paraId="439A4A2E" w14:textId="77777777" w:rsidR="00A14F06" w:rsidRPr="009C6776" w:rsidRDefault="00A14F06" w:rsidP="00806EE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3FF5D1" w14:textId="77777777" w:rsidR="00A14F06" w:rsidRPr="009C6776" w:rsidRDefault="00A14F06" w:rsidP="00806EEE">
    <w:pPr>
      <w:pStyle w:val="EPFooter"/>
    </w:pPr>
    <w:r w:rsidRPr="009C6776">
      <w:rPr>
        <w:rStyle w:val="HideTWBExt"/>
        <w:rFonts w:eastAsiaTheme="majorEastAsia"/>
      </w:rPr>
      <w:t>&lt;PathFdR&gt;</w:t>
    </w:r>
    <w:r w:rsidRPr="009C6776">
      <w:t>PR\1321847EN.docx</w:t>
    </w:r>
    <w:r w:rsidRPr="009C6776">
      <w:rPr>
        <w:rStyle w:val="HideTWBExt"/>
        <w:rFonts w:eastAsiaTheme="majorEastAsia"/>
      </w:rPr>
      <w:t>&lt;/PathFdR&gt;</w:t>
    </w:r>
    <w:r w:rsidRPr="009C6776">
      <w:tab/>
    </w:r>
    <w:r w:rsidRPr="009C6776">
      <w:fldChar w:fldCharType="begin"/>
    </w:r>
    <w:r w:rsidRPr="009C6776">
      <w:instrText xml:space="preserve"> PAGE </w:instrText>
    </w:r>
    <w:r w:rsidRPr="009C6776">
      <w:fldChar w:fldCharType="separate"/>
    </w:r>
    <w:r w:rsidRPr="009C6776">
      <w:rPr>
        <w:noProof/>
      </w:rPr>
      <w:t>6</w:t>
    </w:r>
    <w:r w:rsidRPr="009C6776">
      <w:fldChar w:fldCharType="end"/>
    </w:r>
    <w:r w:rsidRPr="009C6776">
      <w:t>/</w:t>
    </w:r>
    <w:r w:rsidRPr="009C6776">
      <w:fldChar w:fldCharType="begin"/>
    </w:r>
    <w:r w:rsidRPr="009C6776">
      <w:instrText xml:space="preserve"> NUMPAGES </w:instrText>
    </w:r>
    <w:r w:rsidRPr="009C6776">
      <w:fldChar w:fldCharType="separate"/>
    </w:r>
    <w:r w:rsidRPr="009C6776">
      <w:rPr>
        <w:noProof/>
      </w:rPr>
      <w:t>11</w:t>
    </w:r>
    <w:r w:rsidRPr="009C6776">
      <w:rPr>
        <w:noProof/>
      </w:rPr>
      <w:fldChar w:fldCharType="end"/>
    </w:r>
    <w:r w:rsidRPr="009C6776">
      <w:tab/>
      <w:t>PE</w:t>
    </w:r>
    <w:r w:rsidRPr="009C6776">
      <w:rPr>
        <w:rStyle w:val="HideTWBExt"/>
        <w:rFonts w:eastAsiaTheme="majorEastAsia"/>
      </w:rPr>
      <w:t>&lt;NoPE&gt;</w:t>
    </w:r>
    <w:r w:rsidRPr="009C6776">
      <w:t>774.259</w:t>
    </w:r>
    <w:r w:rsidRPr="009C6776">
      <w:rPr>
        <w:rStyle w:val="HideTWBExt"/>
        <w:rFonts w:eastAsiaTheme="majorEastAsia"/>
      </w:rPr>
      <w:t>&lt;/NoPE&gt;&lt;Version&gt;</w:t>
    </w:r>
    <w:r w:rsidRPr="009C6776">
      <w:t>v01-00</w:t>
    </w:r>
    <w:r w:rsidRPr="009C6776">
      <w:rPr>
        <w:rStyle w:val="HideTWBExt"/>
        <w:rFonts w:eastAsiaTheme="majorEastAsia"/>
      </w:rPr>
      <w:t>&lt;/Version&gt;</w:t>
    </w:r>
  </w:p>
  <w:p w14:paraId="23C6061B" w14:textId="77777777" w:rsidR="00A14F06" w:rsidRPr="009C6776" w:rsidRDefault="00A14F06" w:rsidP="00806EEE">
    <w:pPr>
      <w:pStyle w:val="EPFooter2"/>
    </w:pPr>
    <w:r w:rsidRPr="009C6776">
      <w:tab/>
    </w:r>
    <w:r w:rsidRPr="009C6776">
      <w:tab/>
    </w:r>
    <w:r w:rsidRPr="009C6776">
      <w:fldChar w:fldCharType="begin"/>
    </w:r>
    <w:r w:rsidRPr="009C6776">
      <w:instrText xml:space="preserve"> DOCPROPERTY "&lt;Extension&gt;" </w:instrText>
    </w:r>
    <w:r w:rsidRPr="009C6776">
      <w:fldChar w:fldCharType="separate"/>
    </w:r>
    <w:r w:rsidRPr="009C6776">
      <w:t>LT</w:t>
    </w:r>
    <w:r w:rsidRPr="009C6776">
      <w:fldChar w:fldCharType="end"/>
    </w:r>
  </w:p>
  <w:p w14:paraId="7EE4EF9B" w14:textId="77777777" w:rsidR="00A14F06" w:rsidRPr="009C6776" w:rsidRDefault="00A14F06" w:rsidP="00806EEE">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C5224A" w14:textId="77777777" w:rsidR="00064002" w:rsidRPr="009C6776" w:rsidRDefault="00064002"/>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491D9ED" w14:textId="77777777" w:rsidR="00064002" w:rsidRPr="009C6776" w:rsidRDefault="00064002"/>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4CEFC9" w14:textId="77777777" w:rsidR="00064002" w:rsidRPr="009C6776"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F9A22E1" w14:textId="77777777" w:rsidR="00F163A6" w:rsidRPr="009C6776" w:rsidRDefault="00F163A6">
      <w:r w:rsidRPr="009C6776">
        <w:separator/>
      </w:r>
    </w:p>
  </w:footnote>
  <w:footnote w:type="continuationSeparator" w:id="0">
    <w:p w14:paraId="0CA9EA57" w14:textId="77777777" w:rsidR="00F163A6" w:rsidRPr="009C6776" w:rsidRDefault="00F163A6">
      <w:r w:rsidRPr="009C6776">
        <w:continuationSeparator/>
      </w:r>
    </w:p>
  </w:footnote>
  <w:footnote w:id="1">
    <w:p w14:paraId="3B50B118" w14:textId="7FCCE392" w:rsidR="00A14F06" w:rsidRPr="00FC0D11" w:rsidRDefault="00A14F06" w:rsidP="009C6776">
      <w:pPr>
        <w:pStyle w:val="FootnoteText"/>
        <w:ind w:left="567" w:hanging="567"/>
        <w:rPr>
          <w:sz w:val="24"/>
          <w:szCs w:val="24"/>
          <w:lang w:val="lt-LT"/>
        </w:rPr>
      </w:pPr>
      <w:r w:rsidRPr="00FC0D11">
        <w:rPr>
          <w:rStyle w:val="FootnoteReference"/>
          <w:sz w:val="24"/>
          <w:szCs w:val="24"/>
          <w:lang w:val="lt-LT"/>
        </w:rPr>
        <w:footnoteRef/>
      </w:r>
      <w:r w:rsidR="009C6776" w:rsidRPr="00FC0D11">
        <w:rPr>
          <w:sz w:val="24"/>
          <w:szCs w:val="24"/>
          <w:lang w:val="lt-LT"/>
        </w:rPr>
        <w:t xml:space="preserve"> </w:t>
      </w:r>
      <w:r w:rsidR="009C6776" w:rsidRPr="00FC0D11">
        <w:rPr>
          <w:sz w:val="24"/>
          <w:szCs w:val="24"/>
          <w:lang w:val="lt-LT"/>
        </w:rPr>
        <w:tab/>
      </w:r>
      <w:r w:rsidRPr="00FC0D11">
        <w:rPr>
          <w:sz w:val="24"/>
          <w:szCs w:val="24"/>
          <w:lang w:val="lt-LT"/>
        </w:rPr>
        <w:t xml:space="preserve">OL C, C/2024/6332, 2024 10 24, ELI: </w:t>
      </w:r>
      <w:hyperlink r:id="rId1" w:history="1">
        <w:r w:rsidRPr="00FC0D11">
          <w:rPr>
            <w:rStyle w:val="Hyperlink"/>
            <w:sz w:val="24"/>
            <w:szCs w:val="24"/>
            <w:lang w:val="lt-LT"/>
          </w:rPr>
          <w:t>http://data.europa.eu/eli/C/2024/6332/oj</w:t>
        </w:r>
      </w:hyperlink>
      <w:r w:rsidRPr="00FC0D11">
        <w:rPr>
          <w:sz w:val="24"/>
          <w:szCs w:val="24"/>
          <w:lang w:val="lt-LT"/>
        </w:rPr>
        <w:t>.</w:t>
      </w:r>
    </w:p>
  </w:footnote>
  <w:footnote w:id="2">
    <w:p w14:paraId="21A6BC43" w14:textId="59597D29" w:rsidR="00A14F06" w:rsidRPr="00FC0D11" w:rsidRDefault="00A14F06" w:rsidP="009C6776">
      <w:pPr>
        <w:pStyle w:val="FootnoteText"/>
        <w:ind w:left="567" w:hanging="567"/>
        <w:rPr>
          <w:sz w:val="24"/>
          <w:szCs w:val="24"/>
          <w:lang w:val="lt-LT"/>
        </w:rPr>
      </w:pPr>
      <w:r w:rsidRPr="00FC0D11">
        <w:rPr>
          <w:rStyle w:val="FootnoteReference"/>
          <w:sz w:val="24"/>
          <w:szCs w:val="24"/>
          <w:lang w:val="lt-LT"/>
        </w:rPr>
        <w:footnoteRef/>
      </w:r>
      <w:r w:rsidR="009C6776" w:rsidRPr="00FC0D11">
        <w:rPr>
          <w:sz w:val="24"/>
          <w:szCs w:val="24"/>
          <w:lang w:val="lt-LT"/>
        </w:rPr>
        <w:t xml:space="preserve"> </w:t>
      </w:r>
      <w:r w:rsidR="009C6776" w:rsidRPr="00FC0D11">
        <w:rPr>
          <w:sz w:val="24"/>
          <w:szCs w:val="24"/>
          <w:lang w:val="lt-LT"/>
        </w:rPr>
        <w:tab/>
      </w:r>
      <w:r w:rsidRPr="00FC0D11">
        <w:rPr>
          <w:sz w:val="24"/>
          <w:szCs w:val="24"/>
          <w:lang w:val="lt-LT"/>
        </w:rPr>
        <w:t>OL C, C/2024/</w:t>
      </w:r>
      <w:r w:rsidRPr="00FC0D11">
        <w:rPr>
          <w:bCs/>
          <w:sz w:val="24"/>
          <w:szCs w:val="24"/>
          <w:lang w:val="lt-LT"/>
        </w:rPr>
        <w:t>6041</w:t>
      </w:r>
      <w:r w:rsidRPr="00FC0D11">
        <w:rPr>
          <w:sz w:val="24"/>
          <w:szCs w:val="24"/>
          <w:lang w:val="lt-LT"/>
        </w:rPr>
        <w:t xml:space="preserve">, 2024 10 10, ELI: </w:t>
      </w:r>
      <w:hyperlink r:id="rId2" w:history="1">
        <w:r w:rsidRPr="00FC0D11">
          <w:rPr>
            <w:rStyle w:val="Hyperlink"/>
            <w:sz w:val="24"/>
            <w:szCs w:val="24"/>
            <w:lang w:val="lt-LT"/>
          </w:rPr>
          <w:t>http://data.europa.eu/eli/C/2024/6041/oj</w:t>
        </w:r>
      </w:hyperlink>
      <w:r w:rsidRPr="00FC0D11">
        <w:rPr>
          <w:sz w:val="24"/>
          <w:szCs w:val="24"/>
          <w:lang w:val="lt-LT"/>
        </w:rPr>
        <w:t>.</w:t>
      </w:r>
    </w:p>
  </w:footnote>
  <w:footnote w:id="3">
    <w:p w14:paraId="14912850" w14:textId="0FD9A2ED" w:rsidR="00A14F06" w:rsidRPr="00FC0D11" w:rsidRDefault="00A14F06" w:rsidP="009C6776">
      <w:pPr>
        <w:pStyle w:val="FootnoteText"/>
        <w:ind w:left="567" w:hanging="567"/>
        <w:rPr>
          <w:sz w:val="24"/>
          <w:szCs w:val="24"/>
          <w:lang w:val="lt-LT"/>
        </w:rPr>
      </w:pPr>
      <w:r w:rsidRPr="00FC0D11">
        <w:rPr>
          <w:rStyle w:val="FootnoteReference"/>
          <w:sz w:val="24"/>
          <w:szCs w:val="24"/>
          <w:lang w:val="lt-LT"/>
        </w:rPr>
        <w:footnoteRef/>
      </w:r>
      <w:r w:rsidR="009C6776" w:rsidRPr="00FC0D11">
        <w:rPr>
          <w:sz w:val="24"/>
          <w:szCs w:val="24"/>
          <w:lang w:val="lt-LT"/>
        </w:rPr>
        <w:t xml:space="preserve"> </w:t>
      </w:r>
      <w:r w:rsidR="009C6776" w:rsidRPr="00FC0D11">
        <w:rPr>
          <w:sz w:val="24"/>
          <w:szCs w:val="24"/>
          <w:lang w:val="lt-LT"/>
        </w:rPr>
        <w:tab/>
      </w:r>
      <w:r w:rsidR="00B36827" w:rsidRPr="00FC0D11">
        <w:rPr>
          <w:sz w:val="24"/>
          <w:szCs w:val="24"/>
          <w:lang w:val="fi-FI"/>
        </w:rPr>
        <w:t>OL</w:t>
      </w:r>
      <w:r w:rsidR="00B36827" w:rsidRPr="00FC0D11">
        <w:rPr>
          <w:sz w:val="24"/>
          <w:szCs w:val="24"/>
          <w:lang w:val="lt-LT"/>
        </w:rPr>
        <w:t> </w:t>
      </w:r>
      <w:r w:rsidR="00B36827" w:rsidRPr="00FC0D11">
        <w:rPr>
          <w:sz w:val="24"/>
          <w:szCs w:val="24"/>
          <w:lang w:val="fi-FI"/>
        </w:rPr>
        <w:t xml:space="preserve">L, </w:t>
      </w:r>
      <w:r w:rsidR="0046654C" w:rsidRPr="00FC0D11">
        <w:rPr>
          <w:sz w:val="24"/>
          <w:szCs w:val="24"/>
          <w:lang w:val="fi-FI"/>
        </w:rPr>
        <w:t>2025/1663</w:t>
      </w:r>
      <w:r w:rsidR="00B36827" w:rsidRPr="00FC0D11">
        <w:rPr>
          <w:sz w:val="24"/>
          <w:szCs w:val="24"/>
          <w:lang w:val="fi-FI"/>
        </w:rPr>
        <w:t>, 2025</w:t>
      </w:r>
      <w:r w:rsidR="00B36827" w:rsidRPr="00FC0D11">
        <w:rPr>
          <w:sz w:val="24"/>
          <w:szCs w:val="24"/>
          <w:lang w:val="lt-LT"/>
        </w:rPr>
        <w:t> </w:t>
      </w:r>
      <w:r w:rsidR="00B36827" w:rsidRPr="00FC0D11">
        <w:rPr>
          <w:sz w:val="24"/>
          <w:szCs w:val="24"/>
          <w:lang w:val="fi-FI"/>
        </w:rPr>
        <w:t>10</w:t>
      </w:r>
      <w:r w:rsidR="00B36827" w:rsidRPr="00FC0D11">
        <w:rPr>
          <w:sz w:val="24"/>
          <w:szCs w:val="24"/>
          <w:lang w:val="lt-LT"/>
        </w:rPr>
        <w:t> </w:t>
      </w:r>
      <w:r w:rsidR="00B36827" w:rsidRPr="00FC0D11">
        <w:rPr>
          <w:sz w:val="24"/>
          <w:szCs w:val="24"/>
          <w:lang w:val="fi-FI"/>
        </w:rPr>
        <w:t>8, ELI: </w:t>
      </w:r>
      <w:hyperlink r:id="rId3" w:tgtFrame="_blank" w:tooltip="Gives access to this document through its ELI URI." w:history="1">
        <w:r w:rsidR="0046654C" w:rsidRPr="00142244">
          <w:rPr>
            <w:rStyle w:val="Hyperlink"/>
            <w:sz w:val="24"/>
            <w:szCs w:val="24"/>
            <w:lang w:val="fi-FI"/>
          </w:rPr>
          <w:t>http://data.europa.eu/eli/dec/2025/1663/oj</w:t>
        </w:r>
      </w:hyperlink>
      <w:r w:rsidRPr="00FC0D11">
        <w:rPr>
          <w:sz w:val="24"/>
          <w:szCs w:val="24"/>
          <w:lang w:val="lt-LT"/>
        </w:rPr>
        <w:t>.</w:t>
      </w:r>
    </w:p>
  </w:footnote>
  <w:footnote w:id="4">
    <w:p w14:paraId="1FC453F7" w14:textId="23ED3403" w:rsidR="00A14F06" w:rsidRPr="00FC0D11" w:rsidRDefault="00A14F06" w:rsidP="009C6776">
      <w:pPr>
        <w:pStyle w:val="FootnoteText"/>
        <w:ind w:left="567" w:hanging="567"/>
        <w:rPr>
          <w:sz w:val="24"/>
          <w:szCs w:val="24"/>
          <w:lang w:val="lt-LT"/>
        </w:rPr>
      </w:pPr>
      <w:r w:rsidRPr="00FC0D11">
        <w:rPr>
          <w:rStyle w:val="FootnoteReference"/>
          <w:sz w:val="24"/>
          <w:szCs w:val="24"/>
          <w:lang w:val="lt-LT"/>
        </w:rPr>
        <w:footnoteRef/>
      </w:r>
      <w:r w:rsidR="009C6776" w:rsidRPr="00FC0D11">
        <w:rPr>
          <w:sz w:val="24"/>
          <w:szCs w:val="24"/>
          <w:lang w:val="lt-LT"/>
        </w:rPr>
        <w:t xml:space="preserve"> </w:t>
      </w:r>
      <w:r w:rsidR="009C6776" w:rsidRPr="00FC0D11">
        <w:rPr>
          <w:sz w:val="24"/>
          <w:szCs w:val="24"/>
          <w:lang w:val="lt-LT"/>
        </w:rPr>
        <w:tab/>
      </w:r>
      <w:r w:rsidRPr="00FC0D11">
        <w:rPr>
          <w:sz w:val="24"/>
          <w:szCs w:val="24"/>
          <w:lang w:val="lt-LT"/>
        </w:rPr>
        <w:t>OL L 193, 2018 7 30, p. </w:t>
      </w:r>
      <w:r w:rsidRPr="00FC0D11">
        <w:rPr>
          <w:sz w:val="24"/>
          <w:szCs w:val="24"/>
          <w:lang w:val="lt-LT"/>
        </w:rPr>
        <w:t xml:space="preserve">1, ELI: </w:t>
      </w:r>
      <w:hyperlink r:id="rId4" w:history="1">
        <w:r w:rsidRPr="00FC0D11">
          <w:rPr>
            <w:rStyle w:val="Hyperlink"/>
            <w:sz w:val="24"/>
            <w:szCs w:val="24"/>
            <w:lang w:val="lt-LT"/>
          </w:rPr>
          <w:t>http://data.europa.eu/eli/reg/2018/1046/oj</w:t>
        </w:r>
      </w:hyperlink>
      <w:r w:rsidRPr="00FC0D11">
        <w:rPr>
          <w:sz w:val="24"/>
          <w:szCs w:val="24"/>
          <w:lang w:val="lt-LT"/>
        </w:rPr>
        <w:t>.</w:t>
      </w:r>
    </w:p>
  </w:footnote>
  <w:footnote w:id="5">
    <w:p w14:paraId="49D5E879" w14:textId="25F60E60" w:rsidR="00A14F06" w:rsidRPr="00FC0D11" w:rsidRDefault="00A14F06" w:rsidP="009C6776">
      <w:pPr>
        <w:pStyle w:val="FootnoteText"/>
        <w:ind w:left="567" w:hanging="567"/>
        <w:rPr>
          <w:sz w:val="24"/>
          <w:szCs w:val="24"/>
          <w:lang w:val="lt-LT"/>
        </w:rPr>
      </w:pPr>
      <w:r w:rsidRPr="00FC0D11">
        <w:rPr>
          <w:rStyle w:val="FootnoteReference"/>
          <w:sz w:val="24"/>
          <w:szCs w:val="24"/>
          <w:lang w:val="lt-LT"/>
        </w:rPr>
        <w:footnoteRef/>
      </w:r>
      <w:r w:rsidR="009C6776" w:rsidRPr="00FC0D11">
        <w:rPr>
          <w:sz w:val="24"/>
          <w:szCs w:val="24"/>
          <w:lang w:val="lt-LT"/>
        </w:rPr>
        <w:t xml:space="preserve"> </w:t>
      </w:r>
      <w:r w:rsidR="009C6776" w:rsidRPr="00FC0D11">
        <w:rPr>
          <w:sz w:val="24"/>
          <w:szCs w:val="24"/>
          <w:lang w:val="lt-LT"/>
        </w:rPr>
        <w:tab/>
      </w:r>
      <w:r w:rsidRPr="00FC0D11">
        <w:rPr>
          <w:sz w:val="24"/>
          <w:szCs w:val="24"/>
          <w:lang w:val="lt-LT"/>
        </w:rPr>
        <w:t xml:space="preserve">OL L, 2024/2509, 2024 9 26, ELI: </w:t>
      </w:r>
      <w:hyperlink r:id="rId5" w:history="1">
        <w:r w:rsidRPr="00FC0D11">
          <w:rPr>
            <w:rStyle w:val="Hyperlink"/>
            <w:sz w:val="24"/>
            <w:szCs w:val="24"/>
            <w:lang w:val="lt-LT"/>
          </w:rPr>
          <w:t>http://data.europa.eu/eli/reg/2024/2509/oj</w:t>
        </w:r>
      </w:hyperlink>
      <w:r w:rsidRPr="00FC0D11">
        <w:rPr>
          <w:sz w:val="24"/>
          <w:szCs w:val="24"/>
          <w:lang w:val="lt-LT"/>
        </w:rPr>
        <w:t>.</w:t>
      </w:r>
    </w:p>
  </w:footnote>
  <w:footnote w:id="6">
    <w:p w14:paraId="2E443736" w14:textId="1AA8EFB6" w:rsidR="00A14F06" w:rsidRPr="00FC0D11" w:rsidRDefault="00A14F06" w:rsidP="009C6776">
      <w:pPr>
        <w:pStyle w:val="FootnoteText"/>
        <w:ind w:left="567" w:hanging="567"/>
        <w:rPr>
          <w:sz w:val="24"/>
          <w:szCs w:val="24"/>
          <w:lang w:val="lt-LT"/>
        </w:rPr>
      </w:pPr>
      <w:r w:rsidRPr="00FC0D11">
        <w:rPr>
          <w:rStyle w:val="FootnoteReference"/>
          <w:sz w:val="24"/>
          <w:szCs w:val="24"/>
          <w:lang w:val="lt-LT"/>
        </w:rPr>
        <w:footnoteRef/>
      </w:r>
      <w:r w:rsidR="009C6776" w:rsidRPr="00FC0D11">
        <w:rPr>
          <w:sz w:val="24"/>
          <w:szCs w:val="24"/>
          <w:lang w:val="lt-LT"/>
        </w:rPr>
        <w:t xml:space="preserve"> </w:t>
      </w:r>
      <w:r w:rsidR="009C6776" w:rsidRPr="00FC0D11">
        <w:rPr>
          <w:sz w:val="24"/>
          <w:szCs w:val="24"/>
          <w:lang w:val="lt-LT"/>
        </w:rPr>
        <w:tab/>
      </w:r>
      <w:r w:rsidRPr="00FC0D11">
        <w:rPr>
          <w:sz w:val="24"/>
          <w:szCs w:val="24"/>
          <w:lang w:val="lt-LT"/>
        </w:rPr>
        <w:t>OL L 132, 2010 5 29, p. </w:t>
      </w:r>
      <w:r w:rsidRPr="00FC0D11">
        <w:rPr>
          <w:sz w:val="24"/>
          <w:szCs w:val="24"/>
          <w:lang w:val="lt-LT"/>
        </w:rPr>
        <w:t xml:space="preserve">11, ELI: </w:t>
      </w:r>
      <w:hyperlink r:id="rId6" w:history="1">
        <w:r w:rsidRPr="00FC0D11">
          <w:rPr>
            <w:rStyle w:val="Hyperlink"/>
            <w:sz w:val="24"/>
            <w:szCs w:val="24"/>
            <w:lang w:val="lt-LT"/>
          </w:rPr>
          <w:t>http://data.europa.eu/eli/reg/2010/439/oj</w:t>
        </w:r>
      </w:hyperlink>
      <w:r w:rsidRPr="00FC0D11">
        <w:rPr>
          <w:sz w:val="24"/>
          <w:szCs w:val="24"/>
          <w:lang w:val="lt-LT"/>
        </w:rPr>
        <w:t>.</w:t>
      </w:r>
    </w:p>
  </w:footnote>
  <w:footnote w:id="7">
    <w:p w14:paraId="0A06D083" w14:textId="25A389F5" w:rsidR="00A14F06" w:rsidRPr="00FC0D11" w:rsidRDefault="00A14F06" w:rsidP="009C6776">
      <w:pPr>
        <w:pStyle w:val="FootnoteText"/>
        <w:ind w:left="567" w:hanging="567"/>
        <w:rPr>
          <w:sz w:val="24"/>
          <w:szCs w:val="24"/>
          <w:lang w:val="lt-LT"/>
        </w:rPr>
      </w:pPr>
      <w:r w:rsidRPr="00FC0D11">
        <w:rPr>
          <w:rStyle w:val="FootnoteReference"/>
          <w:sz w:val="24"/>
          <w:szCs w:val="24"/>
          <w:lang w:val="lt-LT"/>
        </w:rPr>
        <w:footnoteRef/>
      </w:r>
      <w:r w:rsidR="009C6776" w:rsidRPr="00FC0D11">
        <w:rPr>
          <w:sz w:val="24"/>
          <w:szCs w:val="24"/>
          <w:lang w:val="lt-LT"/>
        </w:rPr>
        <w:t xml:space="preserve"> </w:t>
      </w:r>
      <w:r w:rsidR="009C6776" w:rsidRPr="00FC0D11">
        <w:rPr>
          <w:sz w:val="24"/>
          <w:szCs w:val="24"/>
          <w:lang w:val="lt-LT"/>
        </w:rPr>
        <w:tab/>
      </w:r>
      <w:r w:rsidRPr="00FC0D11">
        <w:rPr>
          <w:sz w:val="24"/>
          <w:szCs w:val="24"/>
          <w:lang w:val="lt-LT"/>
        </w:rPr>
        <w:t>OL L 468, 2021 12 30, p. </w:t>
      </w:r>
      <w:r w:rsidRPr="00FC0D11">
        <w:rPr>
          <w:sz w:val="24"/>
          <w:szCs w:val="24"/>
          <w:lang w:val="lt-LT"/>
        </w:rPr>
        <w:t xml:space="preserve">1, ELI: </w:t>
      </w:r>
      <w:hyperlink r:id="rId7" w:history="1">
        <w:r w:rsidRPr="00FC0D11">
          <w:rPr>
            <w:rStyle w:val="Hyperlink"/>
            <w:sz w:val="24"/>
            <w:szCs w:val="24"/>
            <w:lang w:val="lt-LT"/>
          </w:rPr>
          <w:t>http://data.europa.eu/eli/reg/2021/2303/oj</w:t>
        </w:r>
      </w:hyperlink>
      <w:r w:rsidRPr="00FC0D11">
        <w:rPr>
          <w:sz w:val="24"/>
          <w:szCs w:val="24"/>
          <w:lang w:val="lt-LT"/>
        </w:rPr>
        <w:t>.</w:t>
      </w:r>
    </w:p>
  </w:footnote>
  <w:footnote w:id="8">
    <w:p w14:paraId="4279E66A" w14:textId="293D2F14" w:rsidR="00A14F06" w:rsidRPr="00FC0D11" w:rsidRDefault="00A14F06" w:rsidP="009C6776">
      <w:pPr>
        <w:pStyle w:val="FootnoteText"/>
        <w:ind w:left="567" w:hanging="567"/>
        <w:rPr>
          <w:sz w:val="24"/>
          <w:szCs w:val="24"/>
          <w:lang w:val="lt-LT"/>
        </w:rPr>
      </w:pPr>
      <w:r w:rsidRPr="00FC0D11">
        <w:rPr>
          <w:rStyle w:val="FootnoteReference"/>
          <w:sz w:val="24"/>
          <w:szCs w:val="24"/>
          <w:lang w:val="lt-LT"/>
        </w:rPr>
        <w:footnoteRef/>
      </w:r>
      <w:r w:rsidR="009C6776" w:rsidRPr="00FC0D11">
        <w:rPr>
          <w:sz w:val="24"/>
          <w:szCs w:val="24"/>
          <w:lang w:val="lt-LT"/>
        </w:rPr>
        <w:t xml:space="preserve"> </w:t>
      </w:r>
      <w:r w:rsidR="009C6776" w:rsidRPr="00FC0D11">
        <w:rPr>
          <w:sz w:val="24"/>
          <w:szCs w:val="24"/>
          <w:lang w:val="lt-LT"/>
        </w:rPr>
        <w:tab/>
      </w:r>
      <w:r w:rsidRPr="00FC0D11">
        <w:rPr>
          <w:sz w:val="24"/>
          <w:szCs w:val="24"/>
          <w:lang w:val="lt-LT"/>
        </w:rPr>
        <w:t>OL L 122, 2019 5 10, p. </w:t>
      </w:r>
      <w:r w:rsidRPr="00FC0D11">
        <w:rPr>
          <w:sz w:val="24"/>
          <w:szCs w:val="24"/>
          <w:lang w:val="lt-LT"/>
        </w:rPr>
        <w:t xml:space="preserve">1, ELI: </w:t>
      </w:r>
      <w:hyperlink r:id="rId8" w:history="1">
        <w:r w:rsidRPr="00FC0D11">
          <w:rPr>
            <w:rStyle w:val="Hyperlink"/>
            <w:sz w:val="24"/>
            <w:szCs w:val="24"/>
            <w:lang w:val="lt-LT"/>
          </w:rPr>
          <w:t>http://data.europa.eu/eli/reg_del/2019/715/oj</w:t>
        </w:r>
      </w:hyperlink>
      <w:r w:rsidRPr="00FC0D11">
        <w:rPr>
          <w:sz w:val="24"/>
          <w:szCs w:val="24"/>
          <w:lang w:val="lt-LT"/>
        </w:rPr>
        <w:t>.</w:t>
      </w:r>
    </w:p>
  </w:footnote>
  <w:footnote w:id="9">
    <w:p w14:paraId="59894C85" w14:textId="782AB221" w:rsidR="00A14F06" w:rsidRPr="00FC0D11" w:rsidRDefault="00A14F06" w:rsidP="009C6776">
      <w:pPr>
        <w:pStyle w:val="FootnoteText"/>
        <w:ind w:left="567" w:hanging="567"/>
        <w:rPr>
          <w:sz w:val="24"/>
          <w:szCs w:val="24"/>
          <w:lang w:val="lt-LT"/>
        </w:rPr>
      </w:pPr>
      <w:r w:rsidRPr="00FC0D11">
        <w:rPr>
          <w:rStyle w:val="FootnoteReference"/>
          <w:sz w:val="24"/>
          <w:szCs w:val="24"/>
          <w:lang w:val="lt-LT"/>
        </w:rPr>
        <w:footnoteRef/>
      </w:r>
      <w:r w:rsidR="009C6776" w:rsidRPr="00FC0D11">
        <w:rPr>
          <w:sz w:val="24"/>
          <w:szCs w:val="24"/>
          <w:lang w:val="lt-LT"/>
        </w:rPr>
        <w:t xml:space="preserve"> </w:t>
      </w:r>
      <w:r w:rsidR="009C6776" w:rsidRPr="00FC0D11">
        <w:rPr>
          <w:sz w:val="24"/>
          <w:szCs w:val="24"/>
          <w:lang w:val="lt-LT"/>
        </w:rPr>
        <w:tab/>
      </w:r>
      <w:r w:rsidRPr="00FC0D11">
        <w:rPr>
          <w:sz w:val="24"/>
          <w:szCs w:val="24"/>
          <w:lang w:val="lt-LT"/>
        </w:rPr>
        <w:t xml:space="preserve">OL C, C/2024/6332, 2024 10 24, ELI: </w:t>
      </w:r>
      <w:hyperlink r:id="rId9" w:history="1">
        <w:r w:rsidRPr="00FC0D11">
          <w:rPr>
            <w:rStyle w:val="Hyperlink"/>
            <w:sz w:val="24"/>
            <w:szCs w:val="24"/>
            <w:lang w:val="lt-LT"/>
          </w:rPr>
          <w:t>http://data.europa.eu/eli/C/2024/6332/oj</w:t>
        </w:r>
      </w:hyperlink>
      <w:r w:rsidRPr="00FC0D11">
        <w:rPr>
          <w:sz w:val="24"/>
          <w:szCs w:val="24"/>
          <w:lang w:val="lt-LT"/>
        </w:rPr>
        <w:t>.</w:t>
      </w:r>
    </w:p>
  </w:footnote>
  <w:footnote w:id="10">
    <w:p w14:paraId="03496642" w14:textId="0F723091" w:rsidR="00A14F06" w:rsidRPr="00FC0D11" w:rsidRDefault="00A14F06" w:rsidP="009C6776">
      <w:pPr>
        <w:pStyle w:val="FootnoteText"/>
        <w:ind w:left="567" w:hanging="567"/>
        <w:rPr>
          <w:sz w:val="24"/>
          <w:szCs w:val="24"/>
          <w:lang w:val="lt-LT"/>
        </w:rPr>
      </w:pPr>
      <w:r w:rsidRPr="00FC0D11">
        <w:rPr>
          <w:rStyle w:val="FootnoteReference"/>
          <w:sz w:val="24"/>
          <w:szCs w:val="24"/>
          <w:lang w:val="lt-LT"/>
        </w:rPr>
        <w:footnoteRef/>
      </w:r>
      <w:r w:rsidR="009C6776" w:rsidRPr="00FC0D11">
        <w:rPr>
          <w:sz w:val="24"/>
          <w:szCs w:val="24"/>
          <w:lang w:val="lt-LT"/>
        </w:rPr>
        <w:t xml:space="preserve"> </w:t>
      </w:r>
      <w:r w:rsidR="009C6776" w:rsidRPr="00FC0D11">
        <w:rPr>
          <w:sz w:val="24"/>
          <w:szCs w:val="24"/>
          <w:lang w:val="lt-LT"/>
        </w:rPr>
        <w:tab/>
      </w:r>
      <w:r w:rsidRPr="00FC0D11">
        <w:rPr>
          <w:sz w:val="24"/>
          <w:szCs w:val="24"/>
          <w:lang w:val="lt-LT"/>
        </w:rPr>
        <w:t xml:space="preserve">OL C, C/2024/6041, 2024 10 10, ELI: </w:t>
      </w:r>
      <w:hyperlink r:id="rId10" w:history="1">
        <w:r w:rsidRPr="00FC0D11">
          <w:rPr>
            <w:rStyle w:val="Hyperlink"/>
            <w:sz w:val="24"/>
            <w:szCs w:val="24"/>
            <w:lang w:val="lt-LT"/>
          </w:rPr>
          <w:t>http://data.europa.eu/eli/C/2024/6041/oj</w:t>
        </w:r>
      </w:hyperlink>
      <w:r w:rsidRPr="00FC0D11">
        <w:rPr>
          <w:sz w:val="24"/>
          <w:szCs w:val="24"/>
          <w:lang w:val="lt-LT"/>
        </w:rPr>
        <w:t>.</w:t>
      </w:r>
    </w:p>
  </w:footnote>
  <w:footnote w:id="11">
    <w:p w14:paraId="31E4A095" w14:textId="7FD9CE9E" w:rsidR="00A14F06" w:rsidRPr="00FC0D11" w:rsidRDefault="00A14F06" w:rsidP="009C6776">
      <w:pPr>
        <w:pStyle w:val="FootnoteText"/>
        <w:ind w:left="567" w:hanging="567"/>
        <w:rPr>
          <w:sz w:val="24"/>
          <w:szCs w:val="24"/>
          <w:lang w:val="lt-LT"/>
        </w:rPr>
      </w:pPr>
      <w:r w:rsidRPr="00FC0D11">
        <w:rPr>
          <w:rStyle w:val="FootnoteReference"/>
          <w:sz w:val="24"/>
          <w:szCs w:val="24"/>
          <w:lang w:val="lt-LT"/>
        </w:rPr>
        <w:footnoteRef/>
      </w:r>
      <w:r w:rsidR="009C6776" w:rsidRPr="00FC0D11">
        <w:rPr>
          <w:sz w:val="24"/>
          <w:szCs w:val="24"/>
          <w:lang w:val="lt-LT"/>
        </w:rPr>
        <w:t xml:space="preserve"> </w:t>
      </w:r>
      <w:r w:rsidR="009C6776" w:rsidRPr="00FC0D11">
        <w:rPr>
          <w:sz w:val="24"/>
          <w:szCs w:val="24"/>
          <w:lang w:val="lt-LT"/>
        </w:rPr>
        <w:tab/>
      </w:r>
      <w:r w:rsidR="003B1E90" w:rsidRPr="00FC0D11">
        <w:rPr>
          <w:sz w:val="24"/>
          <w:szCs w:val="24"/>
          <w:lang w:val="fi-FI"/>
        </w:rPr>
        <w:t>OL</w:t>
      </w:r>
      <w:r w:rsidR="003B1E90" w:rsidRPr="00FC0D11">
        <w:rPr>
          <w:sz w:val="24"/>
          <w:szCs w:val="24"/>
          <w:lang w:val="lt-LT"/>
        </w:rPr>
        <w:t> </w:t>
      </w:r>
      <w:r w:rsidR="003B1E90" w:rsidRPr="00FC0D11">
        <w:rPr>
          <w:sz w:val="24"/>
          <w:szCs w:val="24"/>
          <w:lang w:val="fi-FI"/>
        </w:rPr>
        <w:t>L, 2025/16</w:t>
      </w:r>
      <w:r w:rsidR="00A50CDD" w:rsidRPr="00FC0D11">
        <w:rPr>
          <w:sz w:val="24"/>
          <w:szCs w:val="24"/>
          <w:lang w:val="fi-FI"/>
        </w:rPr>
        <w:t>63</w:t>
      </w:r>
      <w:r w:rsidR="003B1E90" w:rsidRPr="00FC0D11">
        <w:rPr>
          <w:sz w:val="24"/>
          <w:szCs w:val="24"/>
          <w:lang w:val="fi-FI"/>
        </w:rPr>
        <w:t>, 2025</w:t>
      </w:r>
      <w:r w:rsidR="003B1E90" w:rsidRPr="00FC0D11">
        <w:rPr>
          <w:sz w:val="24"/>
          <w:szCs w:val="24"/>
          <w:lang w:val="lt-LT"/>
        </w:rPr>
        <w:t> </w:t>
      </w:r>
      <w:r w:rsidR="003B1E90" w:rsidRPr="00FC0D11">
        <w:rPr>
          <w:sz w:val="24"/>
          <w:szCs w:val="24"/>
          <w:lang w:val="fi-FI"/>
        </w:rPr>
        <w:t>10</w:t>
      </w:r>
      <w:r w:rsidR="003B1E90" w:rsidRPr="00FC0D11">
        <w:rPr>
          <w:sz w:val="24"/>
          <w:szCs w:val="24"/>
          <w:lang w:val="lt-LT"/>
        </w:rPr>
        <w:t> </w:t>
      </w:r>
      <w:r w:rsidR="003B1E90" w:rsidRPr="00FC0D11">
        <w:rPr>
          <w:sz w:val="24"/>
          <w:szCs w:val="24"/>
          <w:lang w:val="fi-FI"/>
        </w:rPr>
        <w:t>8, ELI: </w:t>
      </w:r>
      <w:hyperlink r:id="rId11" w:tgtFrame="_blank" w:tooltip="Gives access to this document through its ELI URI." w:history="1">
        <w:r w:rsidR="00A50CDD" w:rsidRPr="00142244">
          <w:rPr>
            <w:rStyle w:val="Hyperlink"/>
            <w:sz w:val="24"/>
            <w:szCs w:val="24"/>
            <w:lang w:val="fi-FI"/>
          </w:rPr>
          <w:t>http://data.europa.eu/eli/dec/2025/1663/oj</w:t>
        </w:r>
      </w:hyperlink>
      <w:r w:rsidRPr="00FC0D11">
        <w:rPr>
          <w:sz w:val="24"/>
          <w:szCs w:val="24"/>
          <w:lang w:val="lt-LT"/>
        </w:rPr>
        <w:t>.</w:t>
      </w:r>
    </w:p>
  </w:footnote>
  <w:footnote w:id="12">
    <w:p w14:paraId="2AF14D39" w14:textId="5BB5DA03" w:rsidR="00A14F06" w:rsidRPr="00FC0D11" w:rsidRDefault="00A14F06" w:rsidP="009C6776">
      <w:pPr>
        <w:pStyle w:val="FootnoteText"/>
        <w:ind w:left="567" w:hanging="567"/>
        <w:rPr>
          <w:sz w:val="24"/>
          <w:szCs w:val="24"/>
          <w:lang w:val="lt-LT"/>
        </w:rPr>
      </w:pPr>
      <w:r w:rsidRPr="00FC0D11">
        <w:rPr>
          <w:rStyle w:val="FootnoteReference"/>
          <w:sz w:val="24"/>
          <w:szCs w:val="24"/>
          <w:lang w:val="lt-LT"/>
        </w:rPr>
        <w:footnoteRef/>
      </w:r>
      <w:r w:rsidR="009C6776" w:rsidRPr="00FC0D11">
        <w:rPr>
          <w:sz w:val="24"/>
          <w:szCs w:val="24"/>
          <w:lang w:val="lt-LT"/>
        </w:rPr>
        <w:t xml:space="preserve"> </w:t>
      </w:r>
      <w:r w:rsidR="009C6776" w:rsidRPr="00FC0D11">
        <w:rPr>
          <w:sz w:val="24"/>
          <w:szCs w:val="24"/>
          <w:lang w:val="lt-LT"/>
        </w:rPr>
        <w:tab/>
      </w:r>
      <w:r w:rsidRPr="00FC0D11">
        <w:rPr>
          <w:sz w:val="24"/>
          <w:szCs w:val="24"/>
          <w:lang w:val="lt-LT"/>
        </w:rPr>
        <w:t>OL L 193, 2018 7 30, p. </w:t>
      </w:r>
      <w:r w:rsidRPr="00FC0D11">
        <w:rPr>
          <w:sz w:val="24"/>
          <w:szCs w:val="24"/>
          <w:lang w:val="lt-LT"/>
        </w:rPr>
        <w:t xml:space="preserve">1, ELI: </w:t>
      </w:r>
      <w:hyperlink r:id="rId12" w:history="1">
        <w:r w:rsidRPr="00FC0D11">
          <w:rPr>
            <w:rStyle w:val="Hyperlink"/>
            <w:sz w:val="24"/>
            <w:szCs w:val="24"/>
            <w:lang w:val="lt-LT"/>
          </w:rPr>
          <w:t>http://data.europa.eu/eli/reg/2018/1046/oj</w:t>
        </w:r>
      </w:hyperlink>
      <w:r w:rsidRPr="00FC0D11">
        <w:rPr>
          <w:sz w:val="24"/>
          <w:szCs w:val="24"/>
          <w:lang w:val="lt-LT"/>
        </w:rPr>
        <w:t>.</w:t>
      </w:r>
    </w:p>
  </w:footnote>
  <w:footnote w:id="13">
    <w:p w14:paraId="062C4D11" w14:textId="4A410EA6" w:rsidR="00A14F06" w:rsidRPr="00FC0D11" w:rsidRDefault="00A14F06" w:rsidP="009C6776">
      <w:pPr>
        <w:pStyle w:val="FootnoteText"/>
        <w:ind w:left="567" w:hanging="567"/>
        <w:rPr>
          <w:sz w:val="24"/>
          <w:szCs w:val="24"/>
          <w:lang w:val="lt-LT"/>
        </w:rPr>
      </w:pPr>
      <w:r w:rsidRPr="00FC0D11">
        <w:rPr>
          <w:rStyle w:val="FootnoteReference"/>
          <w:sz w:val="24"/>
          <w:szCs w:val="24"/>
          <w:lang w:val="lt-LT"/>
        </w:rPr>
        <w:footnoteRef/>
      </w:r>
      <w:r w:rsidR="009C6776" w:rsidRPr="00FC0D11">
        <w:rPr>
          <w:sz w:val="24"/>
          <w:szCs w:val="24"/>
          <w:lang w:val="lt-LT"/>
        </w:rPr>
        <w:t xml:space="preserve"> </w:t>
      </w:r>
      <w:r w:rsidR="009C6776" w:rsidRPr="00FC0D11">
        <w:rPr>
          <w:sz w:val="24"/>
          <w:szCs w:val="24"/>
          <w:lang w:val="lt-LT"/>
        </w:rPr>
        <w:tab/>
      </w:r>
      <w:r w:rsidRPr="00FC0D11">
        <w:rPr>
          <w:sz w:val="24"/>
          <w:szCs w:val="24"/>
          <w:lang w:val="lt-LT"/>
        </w:rPr>
        <w:t xml:space="preserve">OL L, 2024/2509, 2024 9 26, ELI: </w:t>
      </w:r>
      <w:hyperlink r:id="rId13" w:history="1">
        <w:r w:rsidRPr="00FC0D11">
          <w:rPr>
            <w:rStyle w:val="Hyperlink"/>
            <w:sz w:val="24"/>
            <w:szCs w:val="24"/>
            <w:lang w:val="lt-LT"/>
          </w:rPr>
          <w:t>http://data.europa.eu/eli/reg/2024/2509/oj</w:t>
        </w:r>
      </w:hyperlink>
      <w:r w:rsidRPr="00FC0D11">
        <w:rPr>
          <w:sz w:val="24"/>
          <w:szCs w:val="24"/>
          <w:lang w:val="lt-LT"/>
        </w:rPr>
        <w:t>.</w:t>
      </w:r>
    </w:p>
  </w:footnote>
  <w:footnote w:id="14">
    <w:p w14:paraId="6C9531FB" w14:textId="30CFDC68" w:rsidR="00A14F06" w:rsidRPr="00FC0D11" w:rsidRDefault="00A14F06" w:rsidP="009C6776">
      <w:pPr>
        <w:pStyle w:val="FootnoteText"/>
        <w:ind w:left="567" w:hanging="567"/>
        <w:rPr>
          <w:sz w:val="24"/>
          <w:szCs w:val="24"/>
          <w:lang w:val="lt-LT"/>
        </w:rPr>
      </w:pPr>
      <w:r w:rsidRPr="00FC0D11">
        <w:rPr>
          <w:rStyle w:val="FootnoteReference"/>
          <w:sz w:val="24"/>
          <w:szCs w:val="24"/>
          <w:lang w:val="lt-LT"/>
        </w:rPr>
        <w:footnoteRef/>
      </w:r>
      <w:r w:rsidR="009C6776" w:rsidRPr="00FC0D11">
        <w:rPr>
          <w:sz w:val="24"/>
          <w:szCs w:val="24"/>
          <w:lang w:val="lt-LT"/>
        </w:rPr>
        <w:t xml:space="preserve"> </w:t>
      </w:r>
      <w:r w:rsidR="009C6776" w:rsidRPr="00FC0D11">
        <w:rPr>
          <w:sz w:val="24"/>
          <w:szCs w:val="24"/>
          <w:lang w:val="lt-LT"/>
        </w:rPr>
        <w:tab/>
      </w:r>
      <w:r w:rsidRPr="00FC0D11">
        <w:rPr>
          <w:sz w:val="24"/>
          <w:szCs w:val="24"/>
          <w:lang w:val="lt-LT"/>
        </w:rPr>
        <w:t>OL L 132, 2010 5 29, p. </w:t>
      </w:r>
      <w:r w:rsidRPr="00FC0D11">
        <w:rPr>
          <w:sz w:val="24"/>
          <w:szCs w:val="24"/>
          <w:lang w:val="lt-LT"/>
        </w:rPr>
        <w:t xml:space="preserve">11, ELI: </w:t>
      </w:r>
      <w:hyperlink r:id="rId14" w:history="1">
        <w:r w:rsidRPr="00FC0D11">
          <w:rPr>
            <w:rStyle w:val="Hyperlink"/>
            <w:sz w:val="24"/>
            <w:szCs w:val="24"/>
            <w:lang w:val="lt-LT"/>
          </w:rPr>
          <w:t>http://data.europa.eu/eli/reg/2010/439/oj</w:t>
        </w:r>
      </w:hyperlink>
      <w:r w:rsidRPr="00FC0D11">
        <w:rPr>
          <w:sz w:val="24"/>
          <w:szCs w:val="24"/>
          <w:lang w:val="lt-LT"/>
        </w:rPr>
        <w:t>.</w:t>
      </w:r>
    </w:p>
  </w:footnote>
  <w:footnote w:id="15">
    <w:p w14:paraId="32AB5BDA" w14:textId="4DEB6215" w:rsidR="00A14F06" w:rsidRPr="00FC0D11" w:rsidRDefault="00A14F06" w:rsidP="009C6776">
      <w:pPr>
        <w:pStyle w:val="FootnoteText"/>
        <w:ind w:left="567" w:hanging="567"/>
        <w:rPr>
          <w:sz w:val="24"/>
          <w:szCs w:val="24"/>
          <w:lang w:val="lt-LT"/>
        </w:rPr>
      </w:pPr>
      <w:r w:rsidRPr="00FC0D11">
        <w:rPr>
          <w:rStyle w:val="FootnoteReference"/>
          <w:sz w:val="24"/>
          <w:szCs w:val="24"/>
          <w:lang w:val="lt-LT"/>
        </w:rPr>
        <w:footnoteRef/>
      </w:r>
      <w:r w:rsidR="009C6776" w:rsidRPr="00FC0D11">
        <w:rPr>
          <w:sz w:val="24"/>
          <w:szCs w:val="24"/>
          <w:lang w:val="lt-LT"/>
        </w:rPr>
        <w:t xml:space="preserve"> </w:t>
      </w:r>
      <w:r w:rsidR="009C6776" w:rsidRPr="00FC0D11">
        <w:rPr>
          <w:sz w:val="24"/>
          <w:szCs w:val="24"/>
          <w:lang w:val="lt-LT"/>
        </w:rPr>
        <w:tab/>
      </w:r>
      <w:r w:rsidRPr="00FC0D11">
        <w:rPr>
          <w:sz w:val="24"/>
          <w:szCs w:val="24"/>
          <w:lang w:val="lt-LT"/>
        </w:rPr>
        <w:t>OL L 468, 2021 12 30, p. </w:t>
      </w:r>
      <w:r w:rsidRPr="00FC0D11">
        <w:rPr>
          <w:sz w:val="24"/>
          <w:szCs w:val="24"/>
          <w:lang w:val="lt-LT"/>
        </w:rPr>
        <w:t xml:space="preserve">1, ELI: </w:t>
      </w:r>
      <w:hyperlink r:id="rId15" w:history="1">
        <w:r w:rsidRPr="00FC0D11">
          <w:rPr>
            <w:rStyle w:val="Hyperlink"/>
            <w:sz w:val="24"/>
            <w:szCs w:val="24"/>
            <w:lang w:val="lt-LT"/>
          </w:rPr>
          <w:t>http://data.europa.eu/eli/reg/2021/2303/oj</w:t>
        </w:r>
      </w:hyperlink>
      <w:r w:rsidRPr="00FC0D11">
        <w:rPr>
          <w:sz w:val="24"/>
          <w:szCs w:val="24"/>
          <w:lang w:val="lt-LT"/>
        </w:rPr>
        <w:t>.</w:t>
      </w:r>
    </w:p>
  </w:footnote>
  <w:footnote w:id="16">
    <w:p w14:paraId="72EF82CC" w14:textId="05AAA2ED" w:rsidR="00A14F06" w:rsidRPr="00FC0D11" w:rsidRDefault="00A14F06" w:rsidP="009C6776">
      <w:pPr>
        <w:pStyle w:val="FootnoteText"/>
        <w:ind w:left="567" w:hanging="567"/>
        <w:rPr>
          <w:sz w:val="24"/>
          <w:szCs w:val="24"/>
          <w:lang w:val="lt-LT"/>
        </w:rPr>
      </w:pPr>
      <w:r w:rsidRPr="00FC0D11">
        <w:rPr>
          <w:rStyle w:val="FootnoteReference"/>
          <w:sz w:val="24"/>
          <w:szCs w:val="24"/>
          <w:lang w:val="lt-LT"/>
        </w:rPr>
        <w:footnoteRef/>
      </w:r>
      <w:r w:rsidR="009C6776" w:rsidRPr="00FC0D11">
        <w:rPr>
          <w:sz w:val="24"/>
          <w:szCs w:val="24"/>
          <w:lang w:val="lt-LT"/>
        </w:rPr>
        <w:t xml:space="preserve"> </w:t>
      </w:r>
      <w:r w:rsidR="009C6776" w:rsidRPr="00FC0D11">
        <w:rPr>
          <w:sz w:val="24"/>
          <w:szCs w:val="24"/>
          <w:lang w:val="lt-LT"/>
        </w:rPr>
        <w:tab/>
      </w:r>
      <w:r w:rsidRPr="00FC0D11">
        <w:rPr>
          <w:sz w:val="24"/>
          <w:szCs w:val="24"/>
          <w:lang w:val="lt-LT"/>
        </w:rPr>
        <w:t>OL L 122, 2019 5 10, p. </w:t>
      </w:r>
      <w:r w:rsidRPr="00FC0D11">
        <w:rPr>
          <w:sz w:val="24"/>
          <w:szCs w:val="24"/>
          <w:lang w:val="lt-LT"/>
        </w:rPr>
        <w:t xml:space="preserve">1, ELI: </w:t>
      </w:r>
      <w:hyperlink r:id="rId16" w:history="1">
        <w:r w:rsidRPr="00FC0D11">
          <w:rPr>
            <w:rStyle w:val="Hyperlink"/>
            <w:sz w:val="24"/>
            <w:szCs w:val="24"/>
            <w:lang w:val="lt-LT"/>
          </w:rPr>
          <w:t>http://data.europa.eu/eli/reg_del/2019/715/oj</w:t>
        </w:r>
      </w:hyperlink>
      <w:r w:rsidRPr="00FC0D11">
        <w:rPr>
          <w:sz w:val="24"/>
          <w:szCs w:val="24"/>
          <w:lang w:val="lt-LT"/>
        </w:rPr>
        <w:t>.</w:t>
      </w:r>
    </w:p>
  </w:footnote>
  <w:footnote w:id="17">
    <w:p w14:paraId="50B4D881" w14:textId="6FF83136" w:rsidR="00DB1238" w:rsidRPr="00FC0D11" w:rsidRDefault="00DB1238" w:rsidP="003B572B">
      <w:pPr>
        <w:pStyle w:val="FootnoteText"/>
        <w:ind w:left="567" w:hanging="567"/>
        <w:rPr>
          <w:sz w:val="24"/>
          <w:szCs w:val="24"/>
          <w:lang w:val="lt-LT"/>
        </w:rPr>
      </w:pPr>
      <w:r w:rsidRPr="00FC0D11">
        <w:rPr>
          <w:rStyle w:val="FootnoteReference"/>
          <w:sz w:val="24"/>
          <w:szCs w:val="24"/>
        </w:rPr>
        <w:footnoteRef/>
      </w:r>
      <w:r w:rsidRPr="00FC0D11">
        <w:rPr>
          <w:sz w:val="24"/>
          <w:szCs w:val="24"/>
          <w:lang w:val="lt-LT"/>
        </w:rPr>
        <w:t xml:space="preserve"> </w:t>
      </w:r>
      <w:r w:rsidRPr="00FC0D11">
        <w:rPr>
          <w:sz w:val="24"/>
          <w:szCs w:val="24"/>
          <w:lang w:val="lt-LT"/>
        </w:rPr>
        <w:tab/>
        <w:t>2021 m. gruodžio 15 d. Europos Parlamento ir Tarybos reglamentas (ES) 2021/2303 dėl Europos Sąjungos prieglobsčio agentūros, kuriuo panaikinamas Reglamentas (ES) Nr. 439/2010 (OL</w:t>
      </w:r>
      <w:r w:rsidR="00B552BB" w:rsidRPr="00FC0D11">
        <w:rPr>
          <w:sz w:val="24"/>
          <w:szCs w:val="24"/>
          <w:lang w:val="lt-LT"/>
        </w:rPr>
        <w:t> </w:t>
      </w:r>
      <w:r w:rsidRPr="00FC0D11">
        <w:rPr>
          <w:sz w:val="24"/>
          <w:szCs w:val="24"/>
          <w:lang w:val="lt-LT"/>
        </w:rPr>
        <w:t>L</w:t>
      </w:r>
      <w:r w:rsidR="00B552BB" w:rsidRPr="00FC0D11">
        <w:rPr>
          <w:sz w:val="24"/>
          <w:szCs w:val="24"/>
          <w:lang w:val="lt-LT"/>
        </w:rPr>
        <w:t> </w:t>
      </w:r>
      <w:r w:rsidRPr="00FC0D11">
        <w:rPr>
          <w:sz w:val="24"/>
          <w:szCs w:val="24"/>
          <w:lang w:val="lt-LT"/>
        </w:rPr>
        <w:t>468, 2021</w:t>
      </w:r>
      <w:r w:rsidR="00B552BB" w:rsidRPr="00FC0D11">
        <w:rPr>
          <w:sz w:val="24"/>
          <w:szCs w:val="24"/>
          <w:lang w:val="lt-LT"/>
        </w:rPr>
        <w:t> </w:t>
      </w:r>
      <w:r w:rsidRPr="00FC0D11">
        <w:rPr>
          <w:sz w:val="24"/>
          <w:szCs w:val="24"/>
          <w:lang w:val="lt-LT"/>
        </w:rPr>
        <w:t>12</w:t>
      </w:r>
      <w:r w:rsidR="00B552BB" w:rsidRPr="00FC0D11">
        <w:rPr>
          <w:sz w:val="24"/>
          <w:szCs w:val="24"/>
          <w:lang w:val="lt-LT"/>
        </w:rPr>
        <w:t> </w:t>
      </w:r>
      <w:r w:rsidRPr="00FC0D11">
        <w:rPr>
          <w:sz w:val="24"/>
          <w:szCs w:val="24"/>
          <w:lang w:val="lt-LT"/>
        </w:rPr>
        <w:t>30, p.</w:t>
      </w:r>
      <w:r w:rsidR="00B552BB" w:rsidRPr="00FC0D11">
        <w:rPr>
          <w:sz w:val="24"/>
          <w:szCs w:val="24"/>
          <w:lang w:val="lt-LT"/>
        </w:rPr>
        <w:t> </w:t>
      </w:r>
      <w:r w:rsidRPr="00FC0D11">
        <w:rPr>
          <w:sz w:val="24"/>
          <w:szCs w:val="24"/>
          <w:lang w:val="lt-LT"/>
        </w:rPr>
        <w:t xml:space="preserve">1, ELI: </w:t>
      </w:r>
      <w:hyperlink r:id="rId17" w:tooltip="Suteikiama prieiga prie šio dokumento naudojantis jo ELI URI." w:history="1">
        <w:r w:rsidRPr="00FC0D11">
          <w:rPr>
            <w:rStyle w:val="Hyperlink"/>
            <w:sz w:val="24"/>
            <w:szCs w:val="24"/>
            <w:lang w:val="lt-LT"/>
          </w:rPr>
          <w:t>http://data.europa.eu/eli/reg/2021/2303/oj</w:t>
        </w:r>
      </w:hyperlink>
      <w:r w:rsidRPr="00FC0D11">
        <w:rPr>
          <w:rStyle w:val="Hyperlink"/>
          <w:sz w:val="24"/>
          <w:szCs w:val="24"/>
          <w:lang w:val="lt-LT"/>
        </w:rPr>
        <w:t>)</w:t>
      </w:r>
      <w:r w:rsidRPr="00FC0D11">
        <w:rPr>
          <w:sz w:val="24"/>
          <w:szCs w:val="24"/>
          <w:lang w:val="lt-LT" w:eastAsia="en-GB"/>
        </w:rPr>
        <w:t>.</w:t>
      </w:r>
    </w:p>
  </w:footnote>
  <w:footnote w:id="18">
    <w:p w14:paraId="6979CCAF" w14:textId="77E233B8" w:rsidR="00A14F06" w:rsidRPr="00FC0D11" w:rsidRDefault="00A14F06" w:rsidP="009C6776">
      <w:pPr>
        <w:pStyle w:val="FootnoteText"/>
        <w:ind w:left="567" w:hanging="567"/>
        <w:rPr>
          <w:sz w:val="24"/>
          <w:szCs w:val="24"/>
          <w:lang w:val="lt-LT"/>
        </w:rPr>
      </w:pPr>
      <w:r w:rsidRPr="00FC0D11">
        <w:rPr>
          <w:rStyle w:val="FootnoteReference"/>
          <w:sz w:val="24"/>
          <w:szCs w:val="24"/>
          <w:lang w:val="lt-LT"/>
        </w:rPr>
        <w:footnoteRef/>
      </w:r>
      <w:r w:rsidR="009C6776" w:rsidRPr="00FC0D11">
        <w:rPr>
          <w:sz w:val="24"/>
          <w:szCs w:val="24"/>
          <w:lang w:val="lt-LT"/>
        </w:rPr>
        <w:t xml:space="preserve"> </w:t>
      </w:r>
      <w:r w:rsidR="009C6776" w:rsidRPr="00FC0D11">
        <w:rPr>
          <w:sz w:val="24"/>
          <w:szCs w:val="24"/>
          <w:lang w:val="lt-LT"/>
        </w:rPr>
        <w:tab/>
      </w:r>
      <w:r w:rsidR="001925A2" w:rsidRPr="00FC0D11">
        <w:rPr>
          <w:sz w:val="24"/>
          <w:szCs w:val="24"/>
          <w:lang w:val="pl-PL"/>
        </w:rPr>
        <w:t>OL</w:t>
      </w:r>
      <w:r w:rsidR="001925A2" w:rsidRPr="00FC0D11">
        <w:rPr>
          <w:sz w:val="24"/>
          <w:szCs w:val="24"/>
          <w:lang w:val="lt-LT"/>
        </w:rPr>
        <w:t> </w:t>
      </w:r>
      <w:r w:rsidR="001925A2" w:rsidRPr="00FC0D11">
        <w:rPr>
          <w:sz w:val="24"/>
          <w:szCs w:val="24"/>
          <w:lang w:val="pl-PL"/>
        </w:rPr>
        <w:t>L, 2025/1681, 2025</w:t>
      </w:r>
      <w:r w:rsidR="001925A2" w:rsidRPr="00FC0D11">
        <w:rPr>
          <w:sz w:val="24"/>
          <w:szCs w:val="24"/>
          <w:lang w:val="lt-LT"/>
        </w:rPr>
        <w:t> </w:t>
      </w:r>
      <w:r w:rsidR="001925A2" w:rsidRPr="00FC0D11">
        <w:rPr>
          <w:sz w:val="24"/>
          <w:szCs w:val="24"/>
          <w:lang w:val="pl-PL"/>
        </w:rPr>
        <w:t>10</w:t>
      </w:r>
      <w:r w:rsidR="001925A2" w:rsidRPr="00FC0D11">
        <w:rPr>
          <w:sz w:val="24"/>
          <w:szCs w:val="24"/>
          <w:lang w:val="lt-LT"/>
        </w:rPr>
        <w:t> </w:t>
      </w:r>
      <w:r w:rsidR="001925A2" w:rsidRPr="00FC0D11">
        <w:rPr>
          <w:sz w:val="24"/>
          <w:szCs w:val="24"/>
          <w:lang w:val="pl-PL"/>
        </w:rPr>
        <w:t>8, ELI: </w:t>
      </w:r>
      <w:hyperlink r:id="rId18" w:tgtFrame="_blank" w:tooltip="Gives access to this document through its ELI URI." w:history="1">
        <w:r w:rsidR="001925A2" w:rsidRPr="00FC0D11">
          <w:rPr>
            <w:rStyle w:val="Hyperlink"/>
            <w:sz w:val="24"/>
            <w:szCs w:val="24"/>
            <w:lang w:val="pl-PL"/>
          </w:rPr>
          <w:t>http://data.europa.eu/eli/res/2025/1681/oj</w:t>
        </w:r>
      </w:hyperlink>
      <w:r w:rsidRPr="00FC0D11">
        <w:rPr>
          <w:sz w:val="24"/>
          <w:szCs w:val="24"/>
          <w:lang w:val="lt-LT"/>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6AC079E" w14:textId="77777777" w:rsidR="00064002" w:rsidRPr="009C6776"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027C034" w14:textId="77777777" w:rsidR="00064002" w:rsidRPr="009C6776"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579A527" w14:textId="77777777" w:rsidR="00064002" w:rsidRPr="009C6776"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930962649">
    <w:abstractNumId w:val="9"/>
  </w:num>
  <w:num w:numId="2" w16cid:durableId="391738879">
    <w:abstractNumId w:val="9"/>
  </w:num>
  <w:num w:numId="3" w16cid:durableId="453721475">
    <w:abstractNumId w:val="7"/>
  </w:num>
  <w:num w:numId="4" w16cid:durableId="1061708295">
    <w:abstractNumId w:val="7"/>
  </w:num>
  <w:num w:numId="5" w16cid:durableId="584191631">
    <w:abstractNumId w:val="6"/>
  </w:num>
  <w:num w:numId="6" w16cid:durableId="342519027">
    <w:abstractNumId w:val="6"/>
  </w:num>
  <w:num w:numId="7" w16cid:durableId="1719012473">
    <w:abstractNumId w:val="5"/>
  </w:num>
  <w:num w:numId="8" w16cid:durableId="1424107428">
    <w:abstractNumId w:val="5"/>
  </w:num>
  <w:num w:numId="9" w16cid:durableId="31227128">
    <w:abstractNumId w:val="4"/>
  </w:num>
  <w:num w:numId="10" w16cid:durableId="1374230196">
    <w:abstractNumId w:val="4"/>
  </w:num>
  <w:num w:numId="11" w16cid:durableId="904487773">
    <w:abstractNumId w:val="8"/>
  </w:num>
  <w:num w:numId="12" w16cid:durableId="137697205">
    <w:abstractNumId w:val="8"/>
  </w:num>
  <w:num w:numId="13" w16cid:durableId="2061977472">
    <w:abstractNumId w:val="3"/>
  </w:num>
  <w:num w:numId="14" w16cid:durableId="410086940">
    <w:abstractNumId w:val="3"/>
  </w:num>
  <w:num w:numId="15" w16cid:durableId="248926050">
    <w:abstractNumId w:val="2"/>
  </w:num>
  <w:num w:numId="16" w16cid:durableId="193155241">
    <w:abstractNumId w:val="2"/>
  </w:num>
  <w:num w:numId="17" w16cid:durableId="416831643">
    <w:abstractNumId w:val="1"/>
  </w:num>
  <w:num w:numId="18" w16cid:durableId="1574848627">
    <w:abstractNumId w:val="1"/>
  </w:num>
  <w:num w:numId="19" w16cid:durableId="1129934207">
    <w:abstractNumId w:val="0"/>
  </w:num>
  <w:num w:numId="20" w16cid:durableId="1924104048">
    <w:abstractNumId w:val="0"/>
  </w:num>
  <w:num w:numId="21" w16cid:durableId="448159221">
    <w:abstractNumId w:val="9"/>
  </w:num>
  <w:num w:numId="22" w16cid:durableId="980303892">
    <w:abstractNumId w:val="7"/>
  </w:num>
  <w:num w:numId="23" w16cid:durableId="1859584581">
    <w:abstractNumId w:val="6"/>
  </w:num>
  <w:num w:numId="24" w16cid:durableId="999428791">
    <w:abstractNumId w:val="5"/>
  </w:num>
  <w:num w:numId="25" w16cid:durableId="1185825640">
    <w:abstractNumId w:val="4"/>
  </w:num>
  <w:num w:numId="26" w16cid:durableId="2142115805">
    <w:abstractNumId w:val="8"/>
  </w:num>
  <w:num w:numId="27" w16cid:durableId="229190901">
    <w:abstractNumId w:val="3"/>
  </w:num>
  <w:num w:numId="28" w16cid:durableId="1025253462">
    <w:abstractNumId w:val="2"/>
  </w:num>
  <w:num w:numId="29" w16cid:durableId="278687667">
    <w:abstractNumId w:val="1"/>
  </w:num>
  <w:num w:numId="30" w16cid:durableId="2030644622">
    <w:abstractNumId w:val="0"/>
  </w:num>
  <w:num w:numId="31" w16cid:durableId="261843543">
    <w:abstractNumId w:val="9"/>
  </w:num>
  <w:num w:numId="32" w16cid:durableId="730621965">
    <w:abstractNumId w:val="7"/>
  </w:num>
  <w:num w:numId="33" w16cid:durableId="1388648747">
    <w:abstractNumId w:val="6"/>
  </w:num>
  <w:num w:numId="34" w16cid:durableId="364643450">
    <w:abstractNumId w:val="5"/>
  </w:num>
  <w:num w:numId="35" w16cid:durableId="1874920197">
    <w:abstractNumId w:val="4"/>
  </w:num>
  <w:num w:numId="36" w16cid:durableId="1828670462">
    <w:abstractNumId w:val="8"/>
  </w:num>
  <w:num w:numId="37" w16cid:durableId="1844394218">
    <w:abstractNumId w:val="3"/>
  </w:num>
  <w:num w:numId="38" w16cid:durableId="916015971">
    <w:abstractNumId w:val="2"/>
  </w:num>
  <w:num w:numId="39" w16cid:durableId="1149521234">
    <w:abstractNumId w:val="1"/>
  </w:num>
  <w:num w:numId="40" w16cid:durableId="199055423">
    <w:abstractNumId w:val="0"/>
  </w:num>
  <w:num w:numId="41" w16cid:durableId="1712916988">
    <w:abstractNumId w:val="10"/>
  </w:num>
  <w:num w:numId="42" w16cid:durableId="1923177910">
    <w:abstractNumId w:val="10"/>
  </w:num>
  <w:num w:numId="43" w16cid:durableId="580867752">
    <w:abstractNumId w:val="10"/>
  </w:num>
  <w:num w:numId="44" w16cid:durableId="1875968427">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169/2025"/>
    <w:docVar w:name="dvlangue" w:val="LT"/>
    <w:docVar w:name="dvnumam" w:val="0"/>
    <w:docVar w:name="dvpe" w:val="774.259"/>
    <w:docVar w:name="dvrapporteur" w:val="Pranešėjas: "/>
    <w:docVar w:name="dvtitre" w:val="2025 m. spalio 22 d. Europos Parlamento teisėkūros rezoliucija dėl Europos Sąjungos agentūrų 2023 finansinių metų biudžeto įvykdymo patvirtinimo(2024/2030(DEC))"/>
  </w:docVars>
  <w:rsids>
    <w:rsidRoot w:val="00F163A6"/>
    <w:rsid w:val="00002272"/>
    <w:rsid w:val="00052296"/>
    <w:rsid w:val="00064002"/>
    <w:rsid w:val="000677B9"/>
    <w:rsid w:val="000831BA"/>
    <w:rsid w:val="000A42CC"/>
    <w:rsid w:val="000B5434"/>
    <w:rsid w:val="000D4B29"/>
    <w:rsid w:val="000D5016"/>
    <w:rsid w:val="000E7DD9"/>
    <w:rsid w:val="0010095E"/>
    <w:rsid w:val="00125B37"/>
    <w:rsid w:val="00142244"/>
    <w:rsid w:val="00187494"/>
    <w:rsid w:val="001925A2"/>
    <w:rsid w:val="001F32AE"/>
    <w:rsid w:val="00265A71"/>
    <w:rsid w:val="002767FF"/>
    <w:rsid w:val="002B18FE"/>
    <w:rsid w:val="002B5493"/>
    <w:rsid w:val="00343214"/>
    <w:rsid w:val="003575BA"/>
    <w:rsid w:val="00361C00"/>
    <w:rsid w:val="00395FA1"/>
    <w:rsid w:val="003B1E90"/>
    <w:rsid w:val="003B572B"/>
    <w:rsid w:val="003E15D4"/>
    <w:rsid w:val="004119FB"/>
    <w:rsid w:val="00411CCE"/>
    <w:rsid w:val="00413962"/>
    <w:rsid w:val="0041666E"/>
    <w:rsid w:val="00421060"/>
    <w:rsid w:val="004521B6"/>
    <w:rsid w:val="0046654C"/>
    <w:rsid w:val="00471C19"/>
    <w:rsid w:val="00472331"/>
    <w:rsid w:val="004867E3"/>
    <w:rsid w:val="00494A28"/>
    <w:rsid w:val="004A12F4"/>
    <w:rsid w:val="004A2C53"/>
    <w:rsid w:val="004C0004"/>
    <w:rsid w:val="004C5D52"/>
    <w:rsid w:val="0050519A"/>
    <w:rsid w:val="00505787"/>
    <w:rsid w:val="005072A1"/>
    <w:rsid w:val="00514517"/>
    <w:rsid w:val="00545827"/>
    <w:rsid w:val="00560270"/>
    <w:rsid w:val="00571167"/>
    <w:rsid w:val="005C2568"/>
    <w:rsid w:val="005E3A04"/>
    <w:rsid w:val="005F1B17"/>
    <w:rsid w:val="006037C0"/>
    <w:rsid w:val="00650041"/>
    <w:rsid w:val="00651510"/>
    <w:rsid w:val="006631B6"/>
    <w:rsid w:val="00664155"/>
    <w:rsid w:val="00680577"/>
    <w:rsid w:val="006A3646"/>
    <w:rsid w:val="006F74FA"/>
    <w:rsid w:val="00731ADD"/>
    <w:rsid w:val="00734777"/>
    <w:rsid w:val="00747932"/>
    <w:rsid w:val="00751A4A"/>
    <w:rsid w:val="00756632"/>
    <w:rsid w:val="00762C74"/>
    <w:rsid w:val="00781A49"/>
    <w:rsid w:val="00786EC0"/>
    <w:rsid w:val="007D1690"/>
    <w:rsid w:val="007E22AD"/>
    <w:rsid w:val="00817416"/>
    <w:rsid w:val="00842779"/>
    <w:rsid w:val="008631EE"/>
    <w:rsid w:val="00865F67"/>
    <w:rsid w:val="00881A7B"/>
    <w:rsid w:val="008840E5"/>
    <w:rsid w:val="00887B3E"/>
    <w:rsid w:val="008C2AC6"/>
    <w:rsid w:val="009139E0"/>
    <w:rsid w:val="00930C23"/>
    <w:rsid w:val="0093193B"/>
    <w:rsid w:val="009509D8"/>
    <w:rsid w:val="00950B64"/>
    <w:rsid w:val="00981893"/>
    <w:rsid w:val="009C6776"/>
    <w:rsid w:val="009F057D"/>
    <w:rsid w:val="00A14F06"/>
    <w:rsid w:val="00A1687D"/>
    <w:rsid w:val="00A43E52"/>
    <w:rsid w:val="00A4678D"/>
    <w:rsid w:val="00A50CDD"/>
    <w:rsid w:val="00A778C7"/>
    <w:rsid w:val="00AB441E"/>
    <w:rsid w:val="00AB60C9"/>
    <w:rsid w:val="00AB6293"/>
    <w:rsid w:val="00AE0928"/>
    <w:rsid w:val="00AF3B82"/>
    <w:rsid w:val="00B12E95"/>
    <w:rsid w:val="00B13330"/>
    <w:rsid w:val="00B22876"/>
    <w:rsid w:val="00B36827"/>
    <w:rsid w:val="00B552BB"/>
    <w:rsid w:val="00B558F0"/>
    <w:rsid w:val="00B70034"/>
    <w:rsid w:val="00BD48FE"/>
    <w:rsid w:val="00BD7BD8"/>
    <w:rsid w:val="00BE6ADC"/>
    <w:rsid w:val="00C05BFE"/>
    <w:rsid w:val="00C23CD4"/>
    <w:rsid w:val="00C61C0C"/>
    <w:rsid w:val="00C7578B"/>
    <w:rsid w:val="00C941CB"/>
    <w:rsid w:val="00CB3E3A"/>
    <w:rsid w:val="00CC2357"/>
    <w:rsid w:val="00CD3941"/>
    <w:rsid w:val="00CF071A"/>
    <w:rsid w:val="00CF08ED"/>
    <w:rsid w:val="00D058B8"/>
    <w:rsid w:val="00D56C11"/>
    <w:rsid w:val="00D64417"/>
    <w:rsid w:val="00D834A0"/>
    <w:rsid w:val="00D872DF"/>
    <w:rsid w:val="00D91E21"/>
    <w:rsid w:val="00DA7FCD"/>
    <w:rsid w:val="00DB1238"/>
    <w:rsid w:val="00DF2416"/>
    <w:rsid w:val="00E365E1"/>
    <w:rsid w:val="00E820A4"/>
    <w:rsid w:val="00EB006A"/>
    <w:rsid w:val="00EB4772"/>
    <w:rsid w:val="00ED169E"/>
    <w:rsid w:val="00ED4235"/>
    <w:rsid w:val="00ED4C0C"/>
    <w:rsid w:val="00F04346"/>
    <w:rsid w:val="00F075DC"/>
    <w:rsid w:val="00F149E9"/>
    <w:rsid w:val="00F163A6"/>
    <w:rsid w:val="00F5134D"/>
    <w:rsid w:val="00F5219A"/>
    <w:rsid w:val="00F74202"/>
    <w:rsid w:val="00F87713"/>
    <w:rsid w:val="00FB4360"/>
    <w:rsid w:val="00FC0D11"/>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CAE73EF"/>
  <w15:chartTrackingRefBased/>
  <w15:docId w15:val="{CB119364-21A6-41DD-A026-9FDAE8D19D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uiPriority="99"/>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64417"/>
    <w:pPr>
      <w:widowControl w:val="0"/>
    </w:pPr>
    <w:rPr>
      <w:sz w:val="24"/>
      <w:lang w:val="lt-LT"/>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A14F06"/>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A14F06"/>
    <w:pPr>
      <w:spacing w:before="480" w:after="240"/>
    </w:pPr>
  </w:style>
  <w:style w:type="paragraph" w:customStyle="1" w:styleId="NormalBold">
    <w:name w:val="NormalBold"/>
    <w:basedOn w:val="Normal"/>
    <w:rsid w:val="00A14F06"/>
    <w:rPr>
      <w:b/>
    </w:rPr>
  </w:style>
  <w:style w:type="paragraph" w:customStyle="1" w:styleId="NormalHanging12a">
    <w:name w:val="NormalHanging12a"/>
    <w:basedOn w:val="Normal"/>
    <w:link w:val="NormalHanging12aChar"/>
    <w:rsid w:val="00A14F06"/>
    <w:pPr>
      <w:spacing w:after="240"/>
      <w:ind w:left="567" w:hanging="567"/>
    </w:pPr>
  </w:style>
  <w:style w:type="paragraph" w:customStyle="1" w:styleId="EPFooter">
    <w:name w:val="EPFooter"/>
    <w:basedOn w:val="Normal"/>
    <w:rsid w:val="00A14F06"/>
    <w:pPr>
      <w:tabs>
        <w:tab w:val="center" w:pos="4535"/>
        <w:tab w:val="right" w:pos="9071"/>
      </w:tabs>
      <w:spacing w:before="240" w:after="240"/>
    </w:pPr>
    <w:rPr>
      <w:color w:val="010000"/>
      <w:sz w:val="22"/>
    </w:rPr>
  </w:style>
  <w:style w:type="character" w:customStyle="1" w:styleId="NormalHanging12aChar">
    <w:name w:val="NormalHanging12a Char"/>
    <w:basedOn w:val="DefaultParagraphFont"/>
    <w:link w:val="NormalHanging12a"/>
    <w:rsid w:val="00A14F06"/>
    <w:rPr>
      <w:sz w:val="24"/>
      <w:lang w:val="lt-LT"/>
    </w:rPr>
  </w:style>
  <w:style w:type="paragraph" w:customStyle="1" w:styleId="PageHeadingDec">
    <w:name w:val="PageHeadingDec"/>
    <w:basedOn w:val="Normal"/>
    <w:link w:val="PageHeadingDecChar"/>
    <w:qFormat/>
    <w:rsid w:val="00A14F06"/>
    <w:pPr>
      <w:keepNext/>
      <w:spacing w:after="480"/>
      <w:jc w:val="center"/>
    </w:pPr>
    <w:rPr>
      <w:rFonts w:cs="Arial"/>
      <w:b/>
    </w:rPr>
  </w:style>
  <w:style w:type="character" w:customStyle="1" w:styleId="PageHeadingDecChar">
    <w:name w:val="PageHeadingDec Char"/>
    <w:basedOn w:val="DefaultParagraphFont"/>
    <w:link w:val="PageHeadingDec"/>
    <w:rsid w:val="00A14F06"/>
    <w:rPr>
      <w:rFonts w:cs="Arial"/>
      <w:b/>
      <w:sz w:val="24"/>
      <w:lang w:val="lt-LT"/>
    </w:rPr>
  </w:style>
  <w:style w:type="paragraph" w:customStyle="1" w:styleId="PageHeadingNotTOC">
    <w:name w:val="PageHeadingNotTOC"/>
    <w:basedOn w:val="Normal"/>
    <w:rsid w:val="00A14F06"/>
    <w:pPr>
      <w:keepNext/>
      <w:spacing w:after="480"/>
      <w:jc w:val="center"/>
    </w:pPr>
    <w:rPr>
      <w:rFonts w:ascii="Arial" w:hAnsi="Arial" w:cs="Arial"/>
      <w:b/>
    </w:rPr>
  </w:style>
  <w:style w:type="paragraph" w:styleId="Footer">
    <w:name w:val="footer"/>
    <w:basedOn w:val="Normal"/>
    <w:link w:val="FooterChar"/>
    <w:uiPriority w:val="99"/>
    <w:rsid w:val="00A14F06"/>
    <w:pPr>
      <w:tabs>
        <w:tab w:val="center" w:pos="4513"/>
        <w:tab w:val="right" w:pos="9026"/>
      </w:tabs>
    </w:pPr>
  </w:style>
  <w:style w:type="character" w:customStyle="1" w:styleId="FooterChar">
    <w:name w:val="Footer Char"/>
    <w:basedOn w:val="DefaultParagraphFont"/>
    <w:link w:val="Footer"/>
    <w:uiPriority w:val="99"/>
    <w:rsid w:val="00A14F06"/>
    <w:rPr>
      <w:sz w:val="24"/>
      <w:lang w:val="lt-LT"/>
    </w:rPr>
  </w:style>
  <w:style w:type="character" w:styleId="Hyperlink">
    <w:name w:val="Hyperlink"/>
    <w:basedOn w:val="DefaultParagraphFont"/>
    <w:uiPriority w:val="99"/>
    <w:rsid w:val="00A14F06"/>
    <w:rPr>
      <w:color w:val="0563C1" w:themeColor="hyperlink"/>
      <w:u w:val="single"/>
    </w:rPr>
  </w:style>
  <w:style w:type="paragraph" w:customStyle="1" w:styleId="CM1">
    <w:name w:val="CM1"/>
    <w:basedOn w:val="Normal"/>
    <w:next w:val="Normal"/>
    <w:rsid w:val="00A14F06"/>
    <w:pPr>
      <w:widowControl/>
      <w:autoSpaceDE w:val="0"/>
      <w:autoSpaceDN w:val="0"/>
      <w:adjustRightInd w:val="0"/>
    </w:pPr>
    <w:rPr>
      <w:rFonts w:ascii="EUAlbertina" w:hAnsi="EUAlbertina"/>
      <w:szCs w:val="24"/>
    </w:rPr>
  </w:style>
  <w:style w:type="paragraph" w:styleId="Header">
    <w:name w:val="header"/>
    <w:basedOn w:val="Normal"/>
    <w:link w:val="HeaderChar"/>
    <w:rsid w:val="009C6776"/>
    <w:pPr>
      <w:tabs>
        <w:tab w:val="center" w:pos="4513"/>
        <w:tab w:val="right" w:pos="9026"/>
      </w:tabs>
    </w:pPr>
  </w:style>
  <w:style w:type="character" w:customStyle="1" w:styleId="HeaderChar">
    <w:name w:val="Header Char"/>
    <w:basedOn w:val="DefaultParagraphFont"/>
    <w:link w:val="Header"/>
    <w:rsid w:val="009C6776"/>
    <w:rPr>
      <w:sz w:val="24"/>
      <w:lang w:val="lt-LT"/>
    </w:rPr>
  </w:style>
  <w:style w:type="paragraph" w:styleId="Revision">
    <w:name w:val="Revision"/>
    <w:hidden/>
    <w:uiPriority w:val="99"/>
    <w:semiHidden/>
    <w:rsid w:val="00DF2416"/>
    <w:rPr>
      <w:sz w:val="24"/>
      <w:lang w:val="lt-LT"/>
    </w:rPr>
  </w:style>
  <w:style w:type="character" w:styleId="UnresolvedMention">
    <w:name w:val="Unresolved Mention"/>
    <w:basedOn w:val="DefaultParagraphFont"/>
    <w:uiPriority w:val="99"/>
    <w:semiHidden/>
    <w:unhideWhenUsed/>
    <w:rsid w:val="00B36827"/>
    <w:rPr>
      <w:color w:val="605E5C"/>
      <w:shd w:val="clear" w:color="auto" w:fill="E1DFDD"/>
    </w:rPr>
  </w:style>
  <w:style w:type="character" w:styleId="FollowedHyperlink">
    <w:name w:val="FollowedHyperlink"/>
    <w:basedOn w:val="DefaultParagraphFont"/>
    <w:rsid w:val="00142244"/>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3.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4.xml"/></Relationships>
</file>

<file path=word/_rels/footnotes.xml.rels><?xml version="1.0" encoding="UTF-8" standalone="yes"?>
<Relationships xmlns="http://schemas.openxmlformats.org/package/2006/relationships"><Relationship Id="rId8" Type="http://schemas.openxmlformats.org/officeDocument/2006/relationships/hyperlink" Target="http://data.europa.eu/eli/reg_del/2019/715/oj" TargetMode="External"/><Relationship Id="rId13" Type="http://schemas.openxmlformats.org/officeDocument/2006/relationships/hyperlink" Target="http://data.europa.eu/eli/reg/2024/2509/oj" TargetMode="External"/><Relationship Id="rId18" Type="http://schemas.openxmlformats.org/officeDocument/2006/relationships/hyperlink" Target="http://data.europa.eu/eli/res/2025/1681/oj" TargetMode="External"/><Relationship Id="rId3" Type="http://schemas.openxmlformats.org/officeDocument/2006/relationships/hyperlink" Target="http://data.europa.eu/eli/dec/2025/1663/oj" TargetMode="External"/><Relationship Id="rId7" Type="http://schemas.openxmlformats.org/officeDocument/2006/relationships/hyperlink" Target="http://data.europa.eu/eli/reg/2021/2303/oj" TargetMode="External"/><Relationship Id="rId12" Type="http://schemas.openxmlformats.org/officeDocument/2006/relationships/hyperlink" Target="http://data.europa.eu/eli/reg/2018/1046/oj" TargetMode="External"/><Relationship Id="rId17" Type="http://schemas.openxmlformats.org/officeDocument/2006/relationships/hyperlink" Target="http://data.europa.eu/eli/reg/2021/2303/oj" TargetMode="External"/><Relationship Id="rId2" Type="http://schemas.openxmlformats.org/officeDocument/2006/relationships/hyperlink" Target="http://data.europa.eu/eli/C/2024/6041/oj" TargetMode="External"/><Relationship Id="rId16" Type="http://schemas.openxmlformats.org/officeDocument/2006/relationships/hyperlink" Target="http://data.europa.eu/eli/reg_del/2019/715/oj" TargetMode="External"/><Relationship Id="rId1" Type="http://schemas.openxmlformats.org/officeDocument/2006/relationships/hyperlink" Target="http://data.europa.eu/eli/C/2024/6332/oj" TargetMode="External"/><Relationship Id="rId6" Type="http://schemas.openxmlformats.org/officeDocument/2006/relationships/hyperlink" Target="http://data.europa.eu/eli/reg/2010/439/oj" TargetMode="External"/><Relationship Id="rId11" Type="http://schemas.openxmlformats.org/officeDocument/2006/relationships/hyperlink" Target="http://data.europa.eu/eli/dec/2025/1663/oj" TargetMode="External"/><Relationship Id="rId5" Type="http://schemas.openxmlformats.org/officeDocument/2006/relationships/hyperlink" Target="http://data.europa.eu/eli/reg/2024/2509/oj" TargetMode="External"/><Relationship Id="rId15" Type="http://schemas.openxmlformats.org/officeDocument/2006/relationships/hyperlink" Target="http://data.europa.eu/eli/reg/2021/2303/oj" TargetMode="External"/><Relationship Id="rId10" Type="http://schemas.openxmlformats.org/officeDocument/2006/relationships/hyperlink" Target="http://data.europa.eu/eli/C/2024/6041/oj" TargetMode="External"/><Relationship Id="rId4" Type="http://schemas.openxmlformats.org/officeDocument/2006/relationships/hyperlink" Target="http://data.europa.eu/eli/reg/2018/1046/oj" TargetMode="External"/><Relationship Id="rId9" Type="http://schemas.openxmlformats.org/officeDocument/2006/relationships/hyperlink" Target="http://data.europa.eu/eli/C/2024/6332/oj" TargetMode="External"/><Relationship Id="rId14" Type="http://schemas.openxmlformats.org/officeDocument/2006/relationships/hyperlink" Target="http://data.europa.eu/eli/reg/2010/439/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9</Pages>
  <Words>2568</Words>
  <Characters>18136</Characters>
  <Application>Microsoft Office Word</Application>
  <DocSecurity>0</DocSecurity>
  <Lines>151</Lines>
  <Paragraphs>41</Paragraphs>
  <ScaleCrop>false</ScaleCrop>
  <HeadingPairs>
    <vt:vector size="4" baseType="variant">
      <vt:variant>
        <vt:lpstr>Title</vt:lpstr>
      </vt:variant>
      <vt:variant>
        <vt:i4>1</vt:i4>
      </vt:variant>
      <vt:variant>
        <vt:lpstr>Headings</vt:lpstr>
      </vt:variant>
      <vt:variant>
        <vt:i4>5</vt:i4>
      </vt:variant>
    </vt:vector>
  </HeadingPairs>
  <TitlesOfParts>
    <vt:vector size="6" baseType="lpstr">
      <vt:lpstr>TA</vt:lpstr>
      <vt:lpstr>P10_TA(2025)0246</vt:lpstr>
      <vt:lpstr>    2023 m. biudžeto įvykdymo patvirtinimas: Agentūros</vt:lpstr>
      <vt:lpstr>        1. 2025 m. spalio 22 d. Europos Parlamento sprendimas dėl Europos Sąjungos prieg</vt:lpstr>
      <vt:lpstr>        2. 2025 m. spalio 22 d. Europos Parlamento sprendimas dėl Europos Sąjungos prieg</vt:lpstr>
      <vt:lpstr>        3. 2025 m. spalio 22 d. Europos Parlamento rezoliucija su pastabomis, sudarančio</vt:lpstr>
    </vt:vector>
  </TitlesOfParts>
  <Company/>
  <LinksUpToDate>false</LinksUpToDate>
  <CharactersWithSpaces>20663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SKEIVYTE Silvija</dc:creator>
  <cp:keywords/>
  <cp:lastModifiedBy>ILLY_D</cp:lastModifiedBy>
  <cp:revision>5</cp:revision>
  <cp:lastPrinted>2004-11-19T15:42:00Z</cp:lastPrinted>
  <dcterms:created xsi:type="dcterms:W3CDTF">2025-11-27T13:04:00Z</dcterms:created>
  <dcterms:modified xsi:type="dcterms:W3CDTF">2026-02-10T09:21:00Z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LT</vt:lpwstr>
  </property>
  <property fmtid="{D5CDD505-2E9C-101B-9397-08002B2CF9AE}" pid="3" name="&lt;FdR&gt;">
    <vt:lpwstr>P10_TA(2025)0246_</vt:lpwstr>
  </property>
  <property fmtid="{D5CDD505-2E9C-101B-9397-08002B2CF9AE}" pid="4" name="&lt;Type&gt;">
    <vt:lpwstr>RR</vt:lpwstr>
  </property>
</Properties>
</file>